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1.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04C633" w14:textId="672070DC" w:rsidR="00697AF0" w:rsidRDefault="007221D4" w:rsidP="003703FB">
      <w:pPr>
        <w:spacing w:before="0" w:after="200" w:line="276" w:lineRule="auto"/>
        <w:jc w:val="left"/>
        <w:rPr>
          <w:rFonts w:asciiTheme="minorHAnsi" w:hAnsiTheme="minorHAnsi"/>
          <w:b/>
          <w:sz w:val="40"/>
        </w:rPr>
      </w:pPr>
      <w:bookmarkStart w:id="0" w:name="_Toc367284418"/>
      <w:bookmarkStart w:id="1" w:name="_Toc294258175"/>
      <w:bookmarkStart w:id="2" w:name="_Ref293240461"/>
      <w:bookmarkStart w:id="3" w:name="_Ref289690299"/>
      <w:bookmarkStart w:id="4" w:name="_Toc245812634"/>
      <w:r>
        <w:rPr>
          <w:noProof/>
          <w:lang w:eastAsia="en-NZ"/>
        </w:rPr>
        <w:drawing>
          <wp:anchor distT="0" distB="0" distL="114300" distR="114300" simplePos="0" relativeHeight="251661312" behindDoc="1" locked="0" layoutInCell="1" allowOverlap="1" wp14:anchorId="0F04D3A4" wp14:editId="457B0ACD">
            <wp:simplePos x="0" y="0"/>
            <wp:positionH relativeFrom="column">
              <wp:posOffset>10795</wp:posOffset>
            </wp:positionH>
            <wp:positionV relativeFrom="paragraph">
              <wp:posOffset>-422910</wp:posOffset>
            </wp:positionV>
            <wp:extent cx="3429635" cy="600075"/>
            <wp:effectExtent l="0" t="0" r="0" b="9525"/>
            <wp:wrapTight wrapText="bothSides">
              <wp:wrapPolygon edited="0">
                <wp:start x="0" y="0"/>
                <wp:lineTo x="0" y="21257"/>
                <wp:lineTo x="21476" y="21257"/>
                <wp:lineTo x="21476" y="0"/>
                <wp:lineTo x="0" y="0"/>
              </wp:wrapPolygon>
            </wp:wrapTight>
            <wp:docPr id="37" name="Picture 37" descr="UniServices Logo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Services Logo large"/>
                    <pic:cNvPicPr>
                      <a:picLocks noChangeAspect="1" noChangeArrowheads="1"/>
                    </pic:cNvPicPr>
                  </pic:nvPicPr>
                  <pic:blipFill>
                    <a:blip r:embed="rId8" cstate="print">
                      <a:extLst>
                        <a:ext uri="{28A0092B-C50C-407E-A947-70E740481C1C}">
                          <a14:useLocalDpi xmlns:a14="http://schemas.microsoft.com/office/drawing/2010/main" val="0"/>
                        </a:ext>
                      </a:extLst>
                    </a:blip>
                    <a:srcRect l="8096" t="22894" r="6572" b="22894"/>
                    <a:stretch>
                      <a:fillRect/>
                    </a:stretch>
                  </pic:blipFill>
                  <pic:spPr bwMode="auto">
                    <a:xfrm>
                      <a:off x="0" y="0"/>
                      <a:ext cx="342963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b/>
          <w:noProof/>
          <w:color w:val="1F497D" w:themeColor="text2"/>
          <w:sz w:val="44"/>
          <w:lang w:eastAsia="en-NZ"/>
        </w:rPr>
        <w:drawing>
          <wp:anchor distT="0" distB="0" distL="114300" distR="114300" simplePos="0" relativeHeight="251659264" behindDoc="1" locked="0" layoutInCell="0" allowOverlap="1" wp14:anchorId="3C0C1B7A" wp14:editId="62969265">
            <wp:simplePos x="0" y="0"/>
            <wp:positionH relativeFrom="margin">
              <wp:posOffset>-731520</wp:posOffset>
            </wp:positionH>
            <wp:positionV relativeFrom="margin">
              <wp:posOffset>-911860</wp:posOffset>
            </wp:positionV>
            <wp:extent cx="7776210" cy="10259695"/>
            <wp:effectExtent l="0" t="0" r="0" b="8255"/>
            <wp:wrapNone/>
            <wp:docPr id="36" name="Picture 36" descr="lett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7568858" descr="letterhead"/>
                    <pic:cNvPicPr>
                      <a:picLocks noChangeAspect="1" noChangeArrowheads="1"/>
                    </pic:cNvPicPr>
                  </pic:nvPicPr>
                  <pic:blipFill>
                    <a:blip r:embed="rId9" cstate="print">
                      <a:extLst>
                        <a:ext uri="{28A0092B-C50C-407E-A947-70E740481C1C}">
                          <a14:useLocalDpi xmlns:a14="http://schemas.microsoft.com/office/drawing/2010/main" val="0"/>
                        </a:ext>
                      </a:extLst>
                    </a:blip>
                    <a:srcRect t="20200"/>
                    <a:stretch>
                      <a:fillRect/>
                    </a:stretch>
                  </pic:blipFill>
                  <pic:spPr bwMode="auto">
                    <a:xfrm>
                      <a:off x="0" y="0"/>
                      <a:ext cx="7776210" cy="1025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477C1" w14:textId="06728836" w:rsidR="00131E3D" w:rsidRDefault="00131E3D">
      <w:pPr>
        <w:spacing w:before="0" w:after="200" w:line="276" w:lineRule="auto"/>
        <w:jc w:val="left"/>
        <w:rPr>
          <w:rFonts w:asciiTheme="minorHAnsi" w:hAnsiTheme="minorHAnsi"/>
          <w:b/>
          <w:sz w:val="40"/>
        </w:rPr>
      </w:pPr>
    </w:p>
    <w:p w14:paraId="14E3102A" w14:textId="77777777" w:rsidR="00697AF0" w:rsidRPr="003703FB" w:rsidRDefault="00697AF0">
      <w:pPr>
        <w:spacing w:before="0" w:after="200" w:line="276" w:lineRule="auto"/>
        <w:jc w:val="left"/>
        <w:rPr>
          <w:rFonts w:asciiTheme="minorHAnsi" w:hAnsiTheme="minorHAnsi"/>
          <w:b/>
          <w:color w:val="1F497D" w:themeColor="text2"/>
          <w:sz w:val="52"/>
        </w:rPr>
      </w:pPr>
      <w:r w:rsidRPr="003703FB">
        <w:rPr>
          <w:rFonts w:asciiTheme="minorHAnsi" w:hAnsiTheme="minorHAnsi"/>
          <w:b/>
          <w:color w:val="1F497D" w:themeColor="text2"/>
          <w:sz w:val="52"/>
        </w:rPr>
        <w:t>GAMBLING AND PROBLEM GAMBLING:</w:t>
      </w:r>
    </w:p>
    <w:p w14:paraId="65EFE80F" w14:textId="77777777" w:rsidR="00697AF0" w:rsidRPr="003703FB" w:rsidRDefault="00697AF0" w:rsidP="00F405C3">
      <w:pPr>
        <w:spacing w:before="0" w:line="276" w:lineRule="auto"/>
        <w:jc w:val="left"/>
        <w:rPr>
          <w:rFonts w:asciiTheme="minorHAnsi" w:hAnsiTheme="minorHAnsi"/>
          <w:b/>
          <w:color w:val="1F497D" w:themeColor="text2"/>
          <w:sz w:val="48"/>
        </w:rPr>
      </w:pPr>
      <w:r w:rsidRPr="003703FB">
        <w:rPr>
          <w:rFonts w:asciiTheme="minorHAnsi" w:hAnsiTheme="minorHAnsi"/>
          <w:b/>
          <w:color w:val="1F497D" w:themeColor="text2"/>
          <w:sz w:val="48"/>
        </w:rPr>
        <w:t>RESULTS OF THE 2011/12 NEW ZEALAND HEALTH SURVEY</w:t>
      </w:r>
    </w:p>
    <w:p w14:paraId="3FA66842" w14:textId="77777777" w:rsidR="00131E3D" w:rsidRPr="009334D4" w:rsidRDefault="00CA3637">
      <w:pPr>
        <w:spacing w:before="0" w:after="200" w:line="276" w:lineRule="auto"/>
        <w:jc w:val="left"/>
        <w:rPr>
          <w:rFonts w:asciiTheme="minorHAnsi" w:hAnsiTheme="minorHAnsi"/>
          <w:b/>
          <w:color w:val="1F497D" w:themeColor="text2"/>
          <w:sz w:val="44"/>
        </w:rPr>
      </w:pPr>
      <w:r>
        <w:rPr>
          <w:rFonts w:asciiTheme="minorHAnsi" w:hAnsiTheme="minorHAnsi"/>
          <w:b/>
          <w:color w:val="1F497D" w:themeColor="text2"/>
          <w:sz w:val="44"/>
        </w:rPr>
        <w:pict w14:anchorId="0F6DB4F3">
          <v:rect id="_x0000_i1025" style="width:0;height:1.5pt" o:hralign="center" o:hrstd="t" o:hr="t" fillcolor="#a0a0a0" stroked="f"/>
        </w:pict>
      </w:r>
    </w:p>
    <w:p w14:paraId="6DFA7986" w14:textId="77777777" w:rsidR="00F405C3" w:rsidRPr="009334D4" w:rsidRDefault="00F405C3" w:rsidP="00F405C3">
      <w:pPr>
        <w:spacing w:before="0" w:after="200" w:line="276" w:lineRule="auto"/>
        <w:jc w:val="left"/>
        <w:rPr>
          <w:rFonts w:asciiTheme="minorHAnsi" w:hAnsiTheme="minorHAnsi"/>
          <w:b/>
          <w:color w:val="1F497D" w:themeColor="text2"/>
          <w:sz w:val="40"/>
        </w:rPr>
      </w:pPr>
    </w:p>
    <w:p w14:paraId="3D1509CF" w14:textId="77777777" w:rsidR="00F405C3" w:rsidRPr="009334D4" w:rsidRDefault="00F405C3" w:rsidP="00F405C3">
      <w:pPr>
        <w:spacing w:before="0" w:after="200" w:line="276" w:lineRule="auto"/>
        <w:jc w:val="left"/>
        <w:rPr>
          <w:rFonts w:asciiTheme="minorHAnsi" w:hAnsiTheme="minorHAnsi"/>
          <w:b/>
          <w:color w:val="1F497D" w:themeColor="text2"/>
          <w:sz w:val="36"/>
        </w:rPr>
      </w:pPr>
      <w:r w:rsidRPr="009334D4">
        <w:rPr>
          <w:rFonts w:asciiTheme="minorHAnsi" w:hAnsiTheme="minorHAnsi"/>
          <w:b/>
          <w:color w:val="1F497D" w:themeColor="text2"/>
          <w:sz w:val="36"/>
        </w:rPr>
        <w:t>FINAL REPORT</w:t>
      </w:r>
    </w:p>
    <w:p w14:paraId="6B26150D" w14:textId="4CE363E4" w:rsidR="00F405C3" w:rsidRPr="009334D4" w:rsidRDefault="00F405C3">
      <w:pPr>
        <w:spacing w:before="0" w:after="200" w:line="276" w:lineRule="auto"/>
        <w:jc w:val="left"/>
        <w:rPr>
          <w:rFonts w:asciiTheme="minorHAnsi" w:hAnsiTheme="minorHAnsi"/>
          <w:b/>
          <w:color w:val="1F497D" w:themeColor="text2"/>
          <w:sz w:val="32"/>
        </w:rPr>
      </w:pPr>
    </w:p>
    <w:p w14:paraId="2F027F2C" w14:textId="6580DFEC" w:rsidR="00697AF0" w:rsidRPr="009334D4" w:rsidRDefault="00DE66A7">
      <w:pPr>
        <w:spacing w:before="0" w:after="200" w:line="276" w:lineRule="auto"/>
        <w:jc w:val="left"/>
        <w:rPr>
          <w:rFonts w:asciiTheme="minorHAnsi" w:hAnsiTheme="minorHAnsi"/>
          <w:b/>
          <w:color w:val="1F497D" w:themeColor="text2"/>
          <w:sz w:val="36"/>
        </w:rPr>
      </w:pPr>
      <w:r w:rsidRPr="00E63D3A">
        <w:rPr>
          <w:rFonts w:asciiTheme="minorHAnsi" w:hAnsiTheme="minorHAnsi"/>
          <w:b/>
          <w:color w:val="1F497D" w:themeColor="text2"/>
          <w:sz w:val="36"/>
        </w:rPr>
        <w:t xml:space="preserve">July </w:t>
      </w:r>
      <w:r w:rsidR="00131E3D" w:rsidRPr="00E63D3A">
        <w:rPr>
          <w:rFonts w:asciiTheme="minorHAnsi" w:hAnsiTheme="minorHAnsi"/>
          <w:b/>
          <w:color w:val="1F497D" w:themeColor="text2"/>
          <w:sz w:val="36"/>
        </w:rPr>
        <w:t>201</w:t>
      </w:r>
      <w:r w:rsidRPr="00E63D3A">
        <w:rPr>
          <w:rFonts w:asciiTheme="minorHAnsi" w:hAnsiTheme="minorHAnsi"/>
          <w:b/>
          <w:color w:val="1F497D" w:themeColor="text2"/>
          <w:sz w:val="36"/>
        </w:rPr>
        <w:t>5</w:t>
      </w:r>
    </w:p>
    <w:p w14:paraId="0DD580BF" w14:textId="77777777" w:rsidR="00131E3D" w:rsidRPr="009334D4" w:rsidRDefault="00131E3D">
      <w:pPr>
        <w:spacing w:before="0" w:after="200" w:line="276" w:lineRule="auto"/>
        <w:jc w:val="left"/>
        <w:rPr>
          <w:rFonts w:asciiTheme="minorHAnsi" w:hAnsiTheme="minorHAnsi"/>
          <w:b/>
          <w:color w:val="1F497D" w:themeColor="text2"/>
          <w:sz w:val="44"/>
        </w:rPr>
      </w:pPr>
    </w:p>
    <w:p w14:paraId="52B8D6FC" w14:textId="77777777" w:rsidR="00131E3D" w:rsidRPr="009334D4" w:rsidRDefault="00131E3D">
      <w:pPr>
        <w:spacing w:before="0" w:after="200" w:line="276" w:lineRule="auto"/>
        <w:jc w:val="left"/>
        <w:rPr>
          <w:rFonts w:asciiTheme="minorHAnsi" w:hAnsiTheme="minorHAnsi"/>
          <w:b/>
          <w:color w:val="1F497D" w:themeColor="text2"/>
          <w:sz w:val="44"/>
        </w:rPr>
      </w:pPr>
    </w:p>
    <w:p w14:paraId="181C52D9" w14:textId="77777777" w:rsidR="00131E3D" w:rsidRPr="009334D4" w:rsidRDefault="00131E3D" w:rsidP="00131E3D">
      <w:pPr>
        <w:tabs>
          <w:tab w:val="right" w:pos="9781"/>
        </w:tabs>
        <w:spacing w:before="0" w:after="200" w:line="276" w:lineRule="auto"/>
        <w:jc w:val="left"/>
        <w:rPr>
          <w:rFonts w:asciiTheme="minorHAnsi" w:hAnsiTheme="minorHAnsi"/>
          <w:b/>
          <w:color w:val="1F497D" w:themeColor="text2"/>
          <w:sz w:val="28"/>
        </w:rPr>
      </w:pPr>
    </w:p>
    <w:p w14:paraId="11A30562" w14:textId="77777777" w:rsidR="00131E3D" w:rsidRPr="009334D4" w:rsidRDefault="00131E3D" w:rsidP="00131E3D">
      <w:pPr>
        <w:tabs>
          <w:tab w:val="right" w:pos="9781"/>
        </w:tabs>
        <w:spacing w:before="0" w:after="200" w:line="276" w:lineRule="auto"/>
        <w:jc w:val="left"/>
        <w:rPr>
          <w:rFonts w:asciiTheme="minorHAnsi" w:hAnsiTheme="minorHAnsi"/>
          <w:b/>
          <w:color w:val="1F497D" w:themeColor="text2"/>
          <w:sz w:val="28"/>
        </w:rPr>
      </w:pPr>
    </w:p>
    <w:p w14:paraId="36123D12" w14:textId="77777777" w:rsidR="00303884" w:rsidRPr="009334D4" w:rsidRDefault="00303884" w:rsidP="00131E3D">
      <w:pPr>
        <w:tabs>
          <w:tab w:val="right" w:pos="9781"/>
        </w:tabs>
        <w:spacing w:before="0" w:after="200" w:line="276" w:lineRule="auto"/>
        <w:jc w:val="left"/>
        <w:rPr>
          <w:rFonts w:asciiTheme="minorHAnsi" w:hAnsiTheme="minorHAnsi"/>
          <w:b/>
          <w:color w:val="1F497D" w:themeColor="text2"/>
          <w:sz w:val="28"/>
        </w:rPr>
      </w:pPr>
    </w:p>
    <w:p w14:paraId="74BDA56A" w14:textId="77777777" w:rsidR="00F405C3" w:rsidRPr="009334D4" w:rsidRDefault="00F405C3" w:rsidP="00131E3D">
      <w:pPr>
        <w:tabs>
          <w:tab w:val="right" w:pos="9781"/>
        </w:tabs>
        <w:spacing w:before="0" w:after="200" w:line="276" w:lineRule="auto"/>
        <w:jc w:val="left"/>
        <w:rPr>
          <w:rFonts w:asciiTheme="minorHAnsi" w:hAnsiTheme="minorHAnsi"/>
          <w:b/>
          <w:color w:val="1F497D" w:themeColor="text2"/>
          <w:sz w:val="28"/>
        </w:rPr>
      </w:pPr>
    </w:p>
    <w:p w14:paraId="2A7FD775" w14:textId="77777777" w:rsidR="00131E3D" w:rsidRPr="009334D4" w:rsidRDefault="00131E3D" w:rsidP="00131E3D">
      <w:pPr>
        <w:tabs>
          <w:tab w:val="right" w:pos="9781"/>
        </w:tabs>
        <w:spacing w:before="0" w:after="200" w:line="276" w:lineRule="auto"/>
        <w:jc w:val="left"/>
        <w:rPr>
          <w:rFonts w:asciiTheme="minorHAnsi" w:hAnsiTheme="minorHAnsi"/>
          <w:b/>
          <w:color w:val="1F497D" w:themeColor="text2"/>
          <w:sz w:val="24"/>
        </w:rPr>
      </w:pPr>
      <w:r w:rsidRPr="009334D4">
        <w:rPr>
          <w:rFonts w:asciiTheme="minorHAnsi" w:hAnsiTheme="minorHAnsi"/>
          <w:b/>
          <w:color w:val="1F497D" w:themeColor="text2"/>
          <w:sz w:val="24"/>
        </w:rPr>
        <w:t xml:space="preserve">Prepared for: </w:t>
      </w:r>
      <w:r w:rsidRPr="009334D4">
        <w:rPr>
          <w:rFonts w:asciiTheme="minorHAnsi" w:hAnsiTheme="minorHAnsi"/>
          <w:b/>
          <w:color w:val="1F497D" w:themeColor="text2"/>
          <w:sz w:val="24"/>
        </w:rPr>
        <w:tab/>
        <w:t>Prepared by:</w:t>
      </w:r>
    </w:p>
    <w:p w14:paraId="05797867" w14:textId="77777777" w:rsidR="00131E3D" w:rsidRPr="009334D4" w:rsidRDefault="00131E3D" w:rsidP="00303884">
      <w:pPr>
        <w:tabs>
          <w:tab w:val="right" w:pos="9781"/>
        </w:tabs>
        <w:spacing w:before="0" w:line="276" w:lineRule="auto"/>
        <w:jc w:val="left"/>
        <w:rPr>
          <w:rFonts w:asciiTheme="minorHAnsi" w:hAnsiTheme="minorHAnsi"/>
          <w:color w:val="1F497D" w:themeColor="text2"/>
          <w:sz w:val="24"/>
        </w:rPr>
      </w:pPr>
      <w:r w:rsidRPr="009334D4">
        <w:rPr>
          <w:rFonts w:asciiTheme="minorHAnsi" w:hAnsiTheme="minorHAnsi"/>
          <w:color w:val="1F497D" w:themeColor="text2"/>
          <w:sz w:val="24"/>
        </w:rPr>
        <w:t>The Ministry of Health</w:t>
      </w:r>
      <w:r w:rsidRPr="009334D4">
        <w:rPr>
          <w:rFonts w:asciiTheme="minorHAnsi" w:hAnsiTheme="minorHAnsi"/>
          <w:color w:val="1F497D" w:themeColor="text2"/>
          <w:sz w:val="24"/>
        </w:rPr>
        <w:tab/>
      </w:r>
      <w:proofErr w:type="spellStart"/>
      <w:r w:rsidRPr="009334D4">
        <w:rPr>
          <w:rFonts w:asciiTheme="minorHAnsi" w:hAnsiTheme="minorHAnsi"/>
          <w:color w:val="1F497D" w:themeColor="text2"/>
          <w:sz w:val="24"/>
        </w:rPr>
        <w:t>Dr</w:t>
      </w:r>
      <w:r w:rsidR="00690806">
        <w:rPr>
          <w:rFonts w:asciiTheme="minorHAnsi" w:hAnsiTheme="minorHAnsi"/>
          <w:color w:val="1F497D" w:themeColor="text2"/>
          <w:sz w:val="24"/>
        </w:rPr>
        <w:t>.</w:t>
      </w:r>
      <w:proofErr w:type="spellEnd"/>
      <w:r w:rsidRPr="009334D4">
        <w:rPr>
          <w:rFonts w:asciiTheme="minorHAnsi" w:hAnsiTheme="minorHAnsi"/>
          <w:color w:val="1F497D" w:themeColor="text2"/>
          <w:sz w:val="24"/>
        </w:rPr>
        <w:t xml:space="preserve"> Fiona Rossen</w:t>
      </w:r>
    </w:p>
    <w:p w14:paraId="200CB32E" w14:textId="77777777" w:rsidR="00303884" w:rsidRPr="009334D4" w:rsidRDefault="00303884" w:rsidP="00303884">
      <w:pPr>
        <w:tabs>
          <w:tab w:val="right" w:pos="9781"/>
        </w:tabs>
        <w:spacing w:before="0" w:line="276" w:lineRule="auto"/>
        <w:jc w:val="left"/>
        <w:rPr>
          <w:rFonts w:asciiTheme="minorHAnsi" w:hAnsiTheme="minorHAnsi"/>
          <w:color w:val="1F497D" w:themeColor="text2"/>
          <w:sz w:val="24"/>
        </w:rPr>
      </w:pPr>
      <w:r w:rsidRPr="009334D4">
        <w:rPr>
          <w:rFonts w:asciiTheme="minorHAnsi" w:hAnsiTheme="minorHAnsi"/>
          <w:color w:val="1F497D" w:themeColor="text2"/>
          <w:sz w:val="24"/>
        </w:rPr>
        <w:tab/>
        <w:t>Centre for Addiction Research</w:t>
      </w:r>
    </w:p>
    <w:p w14:paraId="2242A230" w14:textId="77777777" w:rsidR="00303884" w:rsidRPr="009334D4" w:rsidRDefault="00303884" w:rsidP="00303884">
      <w:pPr>
        <w:tabs>
          <w:tab w:val="right" w:pos="9781"/>
        </w:tabs>
        <w:spacing w:before="0" w:line="276" w:lineRule="auto"/>
        <w:jc w:val="left"/>
        <w:rPr>
          <w:rFonts w:asciiTheme="minorHAnsi" w:hAnsiTheme="minorHAnsi"/>
          <w:color w:val="1F497D" w:themeColor="text2"/>
          <w:sz w:val="24"/>
        </w:rPr>
      </w:pPr>
      <w:r w:rsidRPr="009334D4">
        <w:rPr>
          <w:rFonts w:asciiTheme="minorHAnsi" w:hAnsiTheme="minorHAnsi"/>
          <w:color w:val="1F497D" w:themeColor="text2"/>
          <w:sz w:val="24"/>
        </w:rPr>
        <w:tab/>
        <w:t>Faculty of Medical and Health Sciences</w:t>
      </w:r>
    </w:p>
    <w:p w14:paraId="7154C0EF" w14:textId="77777777" w:rsidR="00303884" w:rsidRPr="00F405C3" w:rsidRDefault="00303884" w:rsidP="00F405C3">
      <w:pPr>
        <w:tabs>
          <w:tab w:val="right" w:pos="9781"/>
        </w:tabs>
        <w:spacing w:before="0" w:line="276" w:lineRule="auto"/>
        <w:jc w:val="left"/>
        <w:rPr>
          <w:rFonts w:asciiTheme="minorHAnsi" w:hAnsiTheme="minorHAnsi"/>
          <w:sz w:val="24"/>
        </w:rPr>
      </w:pPr>
      <w:r w:rsidRPr="009334D4">
        <w:rPr>
          <w:rFonts w:asciiTheme="minorHAnsi" w:hAnsiTheme="minorHAnsi"/>
          <w:color w:val="1F497D" w:themeColor="text2"/>
          <w:sz w:val="24"/>
        </w:rPr>
        <w:tab/>
        <w:t>The University of Auckland</w:t>
      </w:r>
      <w:r>
        <w:br w:type="page"/>
      </w:r>
    </w:p>
    <w:p w14:paraId="5B7A8530" w14:textId="77777777" w:rsidR="00BD7503" w:rsidRDefault="00BD7503" w:rsidP="002D7900">
      <w:pPr>
        <w:pStyle w:val="NoSpacing"/>
        <w:jc w:val="both"/>
      </w:pPr>
      <w:r>
        <w:lastRenderedPageBreak/>
        <w:t xml:space="preserve">This report was prepared under contract to the New Zealand Ministry of Health.  The copyright in this article is owned by the Crown and administered by the Ministry.  The views of the author do not necessarily represent the views or policy of the New Zealand Ministry of Health.  The Ministry makes no warranty, express or implied, nor assumes any liability or responsibility for use of or reliance on the contents of this report. </w:t>
      </w:r>
    </w:p>
    <w:p w14:paraId="06545FBA" w14:textId="77777777" w:rsidR="00BD7503" w:rsidRDefault="00CA3637" w:rsidP="00BD7503">
      <w:pPr>
        <w:pStyle w:val="NoSpacing"/>
        <w:jc w:val="both"/>
      </w:pPr>
      <w:r>
        <w:rPr>
          <w:rFonts w:asciiTheme="minorHAnsi" w:hAnsiTheme="minorHAnsi"/>
          <w:b/>
          <w:sz w:val="44"/>
        </w:rPr>
        <w:pict w14:anchorId="7EC3935C">
          <v:rect id="_x0000_i1026" style="width:0;height:1.5pt" o:hralign="center" o:hrstd="t" o:hr="t" fillcolor="#a0a0a0" stroked="f"/>
        </w:pict>
      </w:r>
    </w:p>
    <w:p w14:paraId="6DE91B83" w14:textId="77777777" w:rsidR="00BD7503" w:rsidRDefault="00BD7503" w:rsidP="002D7900">
      <w:pPr>
        <w:pStyle w:val="NoSpacing"/>
        <w:jc w:val="both"/>
      </w:pPr>
    </w:p>
    <w:p w14:paraId="22D17298" w14:textId="77777777" w:rsidR="002D7900" w:rsidRDefault="002D7900" w:rsidP="002D7900">
      <w:pPr>
        <w:pStyle w:val="NoSpacing"/>
        <w:jc w:val="both"/>
      </w:pPr>
      <w:r w:rsidRPr="00777A61">
        <w:t>Reports from Auckland UniServices Limited should only be used for the purposes for which they were commissioned.  If it is proposed to use a report prepared by Auckland UniServices Limited for a different purpose or in a different context from that intended at the time of commissioning the work, then UniServices should be consulted to verify whether the report is being correctly interpreted.  In particular it is requested that, where quoted, conclusions given in UniServices reports should be stated in full.</w:t>
      </w:r>
    </w:p>
    <w:p w14:paraId="5825EA63" w14:textId="77777777" w:rsidR="00493AA4" w:rsidRDefault="00CA3637" w:rsidP="002D7900">
      <w:pPr>
        <w:pStyle w:val="NoSpacing"/>
        <w:jc w:val="both"/>
      </w:pPr>
      <w:r>
        <w:rPr>
          <w:rFonts w:asciiTheme="minorHAnsi" w:hAnsiTheme="minorHAnsi"/>
          <w:b/>
          <w:sz w:val="44"/>
        </w:rPr>
        <w:pict w14:anchorId="2FF91C65">
          <v:rect id="_x0000_i1027" style="width:0;height:1.5pt" o:hralign="center" o:hrstd="t" o:hr="t" fillcolor="#a0a0a0" stroked="f"/>
        </w:pict>
      </w:r>
    </w:p>
    <w:p w14:paraId="419DC882" w14:textId="77777777" w:rsidR="006A6491" w:rsidRDefault="006A6491" w:rsidP="002D7900">
      <w:pPr>
        <w:pStyle w:val="NoSpacing"/>
        <w:jc w:val="both"/>
      </w:pPr>
    </w:p>
    <w:p w14:paraId="5D21F652" w14:textId="77777777" w:rsidR="000F2449" w:rsidRDefault="002D7900" w:rsidP="002D7900">
      <w:pPr>
        <w:pStyle w:val="NoSpacing"/>
        <w:jc w:val="both"/>
      </w:pPr>
      <w:r w:rsidRPr="002D7900">
        <w:rPr>
          <w:b/>
        </w:rPr>
        <w:t>Suggested citation:</w:t>
      </w:r>
      <w:r>
        <w:t xml:space="preserve"> </w:t>
      </w:r>
    </w:p>
    <w:p w14:paraId="7AF3927C" w14:textId="61292B72" w:rsidR="002D7900" w:rsidRDefault="002D7900" w:rsidP="002D7900">
      <w:pPr>
        <w:pStyle w:val="NoSpacing"/>
        <w:jc w:val="both"/>
      </w:pPr>
      <w:proofErr w:type="gramStart"/>
      <w:r w:rsidRPr="00E63D3A">
        <w:t>Rossen, F. (201</w:t>
      </w:r>
      <w:r w:rsidR="00D16A29" w:rsidRPr="00E63D3A">
        <w:t>5</w:t>
      </w:r>
      <w:r w:rsidRPr="00E63D3A">
        <w:t>).</w:t>
      </w:r>
      <w:proofErr w:type="gramEnd"/>
      <w:r w:rsidRPr="00E63D3A">
        <w:t xml:space="preserve"> </w:t>
      </w:r>
      <w:r w:rsidRPr="00E63D3A">
        <w:rPr>
          <w:i/>
        </w:rPr>
        <w:t>Gambling and Problem Gambling: Results of the 2011/12 New Zealand Health Survey.</w:t>
      </w:r>
      <w:r>
        <w:t xml:space="preserve"> Centre for Addiction Research, Prepared for the Ministry of Health. Auckland, New Zealand: Auckland UniServices Limited, </w:t>
      </w:r>
      <w:proofErr w:type="gramStart"/>
      <w:r>
        <w:t>The</w:t>
      </w:r>
      <w:proofErr w:type="gramEnd"/>
      <w:r>
        <w:t xml:space="preserve"> University of Auckland. </w:t>
      </w:r>
    </w:p>
    <w:p w14:paraId="6D47920F" w14:textId="77777777" w:rsidR="000F2449" w:rsidRDefault="000F2449" w:rsidP="002D7900">
      <w:pPr>
        <w:pStyle w:val="NoSpacing"/>
        <w:jc w:val="both"/>
      </w:pPr>
    </w:p>
    <w:p w14:paraId="6DBB42C1" w14:textId="77777777" w:rsidR="000F2449" w:rsidRDefault="000F2449" w:rsidP="002D7900">
      <w:pPr>
        <w:pStyle w:val="NoSpacing"/>
        <w:jc w:val="both"/>
        <w:rPr>
          <w:b/>
        </w:rPr>
      </w:pPr>
      <w:r w:rsidRPr="000F2449">
        <w:rPr>
          <w:b/>
        </w:rPr>
        <w:t xml:space="preserve">Acknowledgments: </w:t>
      </w:r>
    </w:p>
    <w:p w14:paraId="43FCE950" w14:textId="77777777" w:rsidR="00387D0C" w:rsidRDefault="009334D4" w:rsidP="002D7900">
      <w:pPr>
        <w:pStyle w:val="NoSpacing"/>
        <w:jc w:val="both"/>
      </w:pPr>
      <w:r>
        <w:t xml:space="preserve">The author wishes to </w:t>
      </w:r>
      <w:r w:rsidR="000F2449">
        <w:t>thank</w:t>
      </w:r>
      <w:r w:rsidR="00387D0C">
        <w:t>:</w:t>
      </w:r>
    </w:p>
    <w:p w14:paraId="03749381" w14:textId="28537C98" w:rsidR="00D16A29" w:rsidRPr="00E63D3A" w:rsidRDefault="00D16A29" w:rsidP="004F129A">
      <w:pPr>
        <w:pStyle w:val="NoSpacing"/>
        <w:numPr>
          <w:ilvl w:val="0"/>
          <w:numId w:val="62"/>
        </w:numPr>
        <w:spacing w:before="240"/>
        <w:jc w:val="both"/>
      </w:pPr>
      <w:r w:rsidRPr="00E63D3A">
        <w:t xml:space="preserve">Elizabeth Robinson for her statistical advice and guidance. </w:t>
      </w:r>
    </w:p>
    <w:p w14:paraId="588F7E00" w14:textId="77777777" w:rsidR="00493AA4" w:rsidRDefault="00387D0C" w:rsidP="00D16A29">
      <w:pPr>
        <w:pStyle w:val="NoSpacing"/>
        <w:numPr>
          <w:ilvl w:val="0"/>
          <w:numId w:val="62"/>
        </w:numPr>
        <w:jc w:val="both"/>
      </w:pPr>
      <w:r>
        <w:t>T</w:t>
      </w:r>
      <w:r w:rsidR="000F2449">
        <w:t xml:space="preserve">he expert advisory group for this report, your guidance and support was invaluable: </w:t>
      </w:r>
    </w:p>
    <w:p w14:paraId="13E19AF9" w14:textId="77777777" w:rsidR="000F2449" w:rsidRDefault="000F2449" w:rsidP="004F129A">
      <w:pPr>
        <w:pStyle w:val="NoSpacing"/>
        <w:numPr>
          <w:ilvl w:val="0"/>
          <w:numId w:val="64"/>
        </w:numPr>
        <w:ind w:left="1276"/>
        <w:jc w:val="both"/>
      </w:pPr>
      <w:r>
        <w:t>A</w:t>
      </w:r>
      <w:r w:rsidR="007C354F">
        <w:t xml:space="preserve">ssociate </w:t>
      </w:r>
      <w:r>
        <w:t>Prof</w:t>
      </w:r>
      <w:r w:rsidR="007C354F">
        <w:t>essor</w:t>
      </w:r>
      <w:r>
        <w:t xml:space="preserve"> Peter Adams</w:t>
      </w:r>
      <w:r w:rsidR="006C0A81">
        <w:t xml:space="preserve"> (University of Auckland)</w:t>
      </w:r>
    </w:p>
    <w:p w14:paraId="5102F52F" w14:textId="77777777" w:rsidR="000F2449" w:rsidRDefault="000F2449" w:rsidP="004F129A">
      <w:pPr>
        <w:pStyle w:val="NoSpacing"/>
        <w:numPr>
          <w:ilvl w:val="0"/>
          <w:numId w:val="64"/>
        </w:numPr>
        <w:ind w:left="1276"/>
        <w:jc w:val="both"/>
      </w:pPr>
      <w:r>
        <w:t>Dr</w:t>
      </w:r>
      <w:r w:rsidR="00690806">
        <w:t>.</w:t>
      </w:r>
      <w:r>
        <w:t xml:space="preserve"> Maria Bellringer</w:t>
      </w:r>
      <w:r w:rsidR="006C0A81">
        <w:t xml:space="preserve"> (Auckland University of Technology)</w:t>
      </w:r>
    </w:p>
    <w:p w14:paraId="7984E4C9" w14:textId="77777777" w:rsidR="000F2449" w:rsidRDefault="000F2449" w:rsidP="004F129A">
      <w:pPr>
        <w:pStyle w:val="NoSpacing"/>
        <w:numPr>
          <w:ilvl w:val="0"/>
          <w:numId w:val="64"/>
        </w:numPr>
        <w:ind w:left="1276"/>
        <w:jc w:val="both"/>
      </w:pPr>
      <w:r>
        <w:t>Justine Dearsley</w:t>
      </w:r>
      <w:r w:rsidR="006C0A81">
        <w:t xml:space="preserve"> (Department of Internal Affairs) </w:t>
      </w:r>
    </w:p>
    <w:p w14:paraId="7A49F59E" w14:textId="77777777" w:rsidR="000F2449" w:rsidRPr="007F4EAC" w:rsidRDefault="000F2449" w:rsidP="004F129A">
      <w:pPr>
        <w:pStyle w:val="NoSpacing"/>
        <w:numPr>
          <w:ilvl w:val="0"/>
          <w:numId w:val="64"/>
        </w:numPr>
        <w:ind w:left="1276"/>
        <w:jc w:val="both"/>
      </w:pPr>
      <w:r w:rsidRPr="007F4EAC">
        <w:t>Dr</w:t>
      </w:r>
      <w:r w:rsidR="00690806">
        <w:t>.</w:t>
      </w:r>
      <w:r w:rsidRPr="007F4EAC">
        <w:t xml:space="preserve"> Marie </w:t>
      </w:r>
      <w:proofErr w:type="spellStart"/>
      <w:r w:rsidRPr="007F4EAC">
        <w:t>Ditchburn</w:t>
      </w:r>
      <w:proofErr w:type="spellEnd"/>
      <w:r w:rsidR="006C0A81" w:rsidRPr="007F4EAC">
        <w:t xml:space="preserve"> (Ministry of Health) </w:t>
      </w:r>
    </w:p>
    <w:p w14:paraId="02609F52" w14:textId="77777777" w:rsidR="000F2449" w:rsidRPr="007F4EAC" w:rsidRDefault="000F2449" w:rsidP="004F129A">
      <w:pPr>
        <w:pStyle w:val="NoSpacing"/>
        <w:numPr>
          <w:ilvl w:val="0"/>
          <w:numId w:val="64"/>
        </w:numPr>
        <w:ind w:left="1276"/>
        <w:jc w:val="both"/>
      </w:pPr>
      <w:r w:rsidRPr="007F4EAC">
        <w:t>Ruth Herd</w:t>
      </w:r>
      <w:r w:rsidR="007F4EAC" w:rsidRPr="007F4EAC">
        <w:t xml:space="preserve"> (Auckland University of Technology)</w:t>
      </w:r>
    </w:p>
    <w:p w14:paraId="4FCCB613" w14:textId="77777777" w:rsidR="000F2449" w:rsidRPr="007F4EAC" w:rsidRDefault="007C354F" w:rsidP="004F129A">
      <w:pPr>
        <w:pStyle w:val="NoSpacing"/>
        <w:numPr>
          <w:ilvl w:val="0"/>
          <w:numId w:val="64"/>
        </w:numPr>
        <w:ind w:left="1276"/>
        <w:jc w:val="both"/>
      </w:pPr>
      <w:r w:rsidRPr="007F4EAC">
        <w:t>Associate Professor</w:t>
      </w:r>
      <w:r w:rsidR="000F2449" w:rsidRPr="007F4EAC">
        <w:t xml:space="preserve"> Elsie Ho</w:t>
      </w:r>
      <w:r w:rsidR="006C0A81" w:rsidRPr="007F4EAC">
        <w:t xml:space="preserve"> (University of Auckland)</w:t>
      </w:r>
    </w:p>
    <w:p w14:paraId="7B71D3F6" w14:textId="77777777" w:rsidR="000F2449" w:rsidRPr="007F4EAC" w:rsidRDefault="000F2449" w:rsidP="004F129A">
      <w:pPr>
        <w:pStyle w:val="NoSpacing"/>
        <w:numPr>
          <w:ilvl w:val="0"/>
          <w:numId w:val="64"/>
        </w:numPr>
        <w:ind w:left="1276"/>
        <w:jc w:val="both"/>
      </w:pPr>
      <w:r w:rsidRPr="007F4EAC">
        <w:t>Dr</w:t>
      </w:r>
      <w:r w:rsidR="00690806">
        <w:t>.</w:t>
      </w:r>
      <w:r w:rsidRPr="007F4EAC">
        <w:t xml:space="preserve"> Tai Kake</w:t>
      </w:r>
      <w:r w:rsidR="006C0A81" w:rsidRPr="007F4EAC">
        <w:t xml:space="preserve"> (Ministry of Health)</w:t>
      </w:r>
    </w:p>
    <w:p w14:paraId="58DD8C23" w14:textId="77777777" w:rsidR="000F2449" w:rsidRDefault="000F2449" w:rsidP="004F129A">
      <w:pPr>
        <w:pStyle w:val="NoSpacing"/>
        <w:numPr>
          <w:ilvl w:val="0"/>
          <w:numId w:val="64"/>
        </w:numPr>
        <w:ind w:left="1276"/>
        <w:jc w:val="both"/>
      </w:pPr>
      <w:r>
        <w:t>Elizabeth Robinson</w:t>
      </w:r>
      <w:r w:rsidR="006C0A81">
        <w:t xml:space="preserve"> (University of Auckland)</w:t>
      </w:r>
    </w:p>
    <w:p w14:paraId="4655F9A6" w14:textId="77777777" w:rsidR="000F2449" w:rsidRDefault="000F2449" w:rsidP="004F129A">
      <w:pPr>
        <w:pStyle w:val="NoSpacing"/>
        <w:numPr>
          <w:ilvl w:val="0"/>
          <w:numId w:val="64"/>
        </w:numPr>
        <w:ind w:left="1276"/>
        <w:jc w:val="both"/>
      </w:pPr>
      <w:r>
        <w:t xml:space="preserve">Pesio </w:t>
      </w:r>
      <w:r w:rsidR="00493AA4" w:rsidRPr="00493AA4">
        <w:t>Ah-</w:t>
      </w:r>
      <w:proofErr w:type="spellStart"/>
      <w:r w:rsidR="00493AA4" w:rsidRPr="00493AA4">
        <w:t>Honi</w:t>
      </w:r>
      <w:proofErr w:type="spellEnd"/>
      <w:r w:rsidR="00493AA4">
        <w:t xml:space="preserve"> </w:t>
      </w:r>
      <w:r>
        <w:t>Siitia</w:t>
      </w:r>
      <w:r w:rsidR="006C0A81">
        <w:t xml:space="preserve"> (Problem Gambling Foundation of New Zealand)</w:t>
      </w:r>
    </w:p>
    <w:p w14:paraId="6B573476" w14:textId="77777777" w:rsidR="000F2449" w:rsidRDefault="006C0A81" w:rsidP="004F129A">
      <w:pPr>
        <w:pStyle w:val="NoSpacing"/>
        <w:numPr>
          <w:ilvl w:val="0"/>
          <w:numId w:val="64"/>
        </w:numPr>
        <w:ind w:left="1276"/>
        <w:jc w:val="both"/>
      </w:pPr>
      <w:r>
        <w:t>Dr</w:t>
      </w:r>
      <w:r w:rsidR="00690806">
        <w:t>.</w:t>
      </w:r>
      <w:r>
        <w:t xml:space="preserve"> </w:t>
      </w:r>
      <w:proofErr w:type="spellStart"/>
      <w:r w:rsidR="000F2449">
        <w:t>Deepa</w:t>
      </w:r>
      <w:proofErr w:type="spellEnd"/>
      <w:r w:rsidR="000F2449">
        <w:t xml:space="preserve"> </w:t>
      </w:r>
      <w:proofErr w:type="spellStart"/>
      <w:r w:rsidR="000F2449">
        <w:t>Weerasekera</w:t>
      </w:r>
      <w:proofErr w:type="spellEnd"/>
      <w:r>
        <w:t xml:space="preserve"> (Ministry of Health)</w:t>
      </w:r>
    </w:p>
    <w:p w14:paraId="7639403C" w14:textId="77777777" w:rsidR="001B7C37" w:rsidRDefault="001B7C37" w:rsidP="00D16A29">
      <w:pPr>
        <w:pStyle w:val="NoSpacing"/>
        <w:numPr>
          <w:ilvl w:val="0"/>
          <w:numId w:val="62"/>
        </w:numPr>
        <w:jc w:val="both"/>
      </w:pPr>
      <w:r>
        <w:t xml:space="preserve">Professor David Hodgins of the </w:t>
      </w:r>
      <w:r w:rsidRPr="001B7C37">
        <w:t>University of Calgary</w:t>
      </w:r>
      <w:r>
        <w:t xml:space="preserve"> who peer reviewed this report. </w:t>
      </w:r>
    </w:p>
    <w:p w14:paraId="0D622D98" w14:textId="77777777" w:rsidR="000F2449" w:rsidRPr="000F2449" w:rsidRDefault="001B7C37" w:rsidP="004F129A">
      <w:pPr>
        <w:pStyle w:val="NoSpacing"/>
        <w:numPr>
          <w:ilvl w:val="0"/>
          <w:numId w:val="62"/>
        </w:numPr>
        <w:spacing w:after="240"/>
        <w:jc w:val="both"/>
      </w:pPr>
      <w:r>
        <w:t>The Ministry of Health (</w:t>
      </w:r>
      <w:proofErr w:type="spellStart"/>
      <w:r w:rsidRPr="001B7C37">
        <w:t>Minimising</w:t>
      </w:r>
      <w:proofErr w:type="spellEnd"/>
      <w:r w:rsidRPr="001B7C37">
        <w:t xml:space="preserve"> Gambling Team</w:t>
      </w:r>
      <w:r>
        <w:t xml:space="preserve">, </w:t>
      </w:r>
      <w:r w:rsidRPr="001B7C37">
        <w:t>Mental Health Service Improvement</w:t>
      </w:r>
      <w:r>
        <w:t xml:space="preserve">, </w:t>
      </w:r>
      <w:r w:rsidRPr="001B7C37">
        <w:t>Sector Capability and Implementation</w:t>
      </w:r>
      <w:r>
        <w:t xml:space="preserve">) who commissioned this report. </w:t>
      </w:r>
    </w:p>
    <w:p w14:paraId="0A7BD3FF" w14:textId="77777777" w:rsidR="001B7C37" w:rsidRDefault="001B7C37" w:rsidP="001B7C37">
      <w:pPr>
        <w:pStyle w:val="NoSpacing"/>
        <w:jc w:val="both"/>
        <w:rPr>
          <w:b/>
        </w:rPr>
      </w:pPr>
      <w:r w:rsidRPr="001B7C37">
        <w:rPr>
          <w:b/>
        </w:rPr>
        <w:t xml:space="preserve">Contact details: </w:t>
      </w:r>
    </w:p>
    <w:p w14:paraId="4B80A4D1" w14:textId="77777777" w:rsidR="001B7C37" w:rsidRPr="001B7C37" w:rsidRDefault="001B7C37" w:rsidP="001B7C37">
      <w:pPr>
        <w:pStyle w:val="NoSpacing"/>
        <w:jc w:val="both"/>
      </w:pPr>
      <w:r w:rsidRPr="001B7C37">
        <w:t>Dr</w:t>
      </w:r>
      <w:r w:rsidR="00690806">
        <w:t>.</w:t>
      </w:r>
      <w:r w:rsidRPr="001B7C37">
        <w:t xml:space="preserve"> Fiona Rossen (Principal Investigator)</w:t>
      </w:r>
    </w:p>
    <w:p w14:paraId="213FD532" w14:textId="77777777" w:rsidR="001B7C37" w:rsidRDefault="001B7C37" w:rsidP="001B7C37">
      <w:pPr>
        <w:pStyle w:val="NoSpacing"/>
        <w:jc w:val="both"/>
      </w:pPr>
      <w:r w:rsidRPr="001B7C37">
        <w:t>Centre for Addiction Research (CFAR)</w:t>
      </w:r>
    </w:p>
    <w:p w14:paraId="28E2AEE4" w14:textId="77777777" w:rsidR="001B7C37" w:rsidRDefault="001B7C37" w:rsidP="001B7C37">
      <w:pPr>
        <w:pStyle w:val="NoSpacing"/>
        <w:jc w:val="both"/>
      </w:pPr>
      <w:r>
        <w:t>School of Population Health</w:t>
      </w:r>
    </w:p>
    <w:p w14:paraId="1B5C1E7F" w14:textId="77777777" w:rsidR="001B7C37" w:rsidRDefault="001B7C37" w:rsidP="001B7C37">
      <w:pPr>
        <w:pStyle w:val="NoSpacing"/>
        <w:jc w:val="both"/>
      </w:pPr>
      <w:r>
        <w:t>Faculty of Medical and Health Sciences</w:t>
      </w:r>
    </w:p>
    <w:p w14:paraId="380AB46C" w14:textId="77777777" w:rsidR="001B7C37" w:rsidRDefault="001B7C37" w:rsidP="001B7C37">
      <w:pPr>
        <w:pStyle w:val="NoSpacing"/>
        <w:jc w:val="both"/>
      </w:pPr>
      <w:r>
        <w:t>University of Auckland</w:t>
      </w:r>
    </w:p>
    <w:p w14:paraId="0DB85540" w14:textId="77777777" w:rsidR="001B7C37" w:rsidRDefault="001B7C37" w:rsidP="001B7C37">
      <w:pPr>
        <w:pStyle w:val="NoSpacing"/>
        <w:jc w:val="both"/>
      </w:pPr>
      <w:r>
        <w:t>Private Bag 92019</w:t>
      </w:r>
    </w:p>
    <w:p w14:paraId="73AB2CB2" w14:textId="77777777" w:rsidR="001B7C37" w:rsidRDefault="001B7C37" w:rsidP="001B7C37">
      <w:pPr>
        <w:pStyle w:val="NoSpacing"/>
        <w:jc w:val="both"/>
      </w:pPr>
      <w:r>
        <w:t>Auckland, New Zealand</w:t>
      </w:r>
    </w:p>
    <w:p w14:paraId="08DEAE91" w14:textId="77777777" w:rsidR="001B7C37" w:rsidRDefault="001B7C37" w:rsidP="001B7C37">
      <w:pPr>
        <w:pStyle w:val="NoSpacing"/>
        <w:jc w:val="both"/>
      </w:pPr>
    </w:p>
    <w:p w14:paraId="61DB9491" w14:textId="77777777" w:rsidR="001B7C37" w:rsidRDefault="001B7C37" w:rsidP="001B7C37">
      <w:pPr>
        <w:pStyle w:val="NoSpacing"/>
        <w:jc w:val="both"/>
      </w:pPr>
      <w:r>
        <w:t>Phone: +64 9 3737 599</w:t>
      </w:r>
    </w:p>
    <w:p w14:paraId="3FDF58BD" w14:textId="77777777" w:rsidR="00131E3D" w:rsidRPr="001B7C37" w:rsidRDefault="001B7C37" w:rsidP="001B7C37">
      <w:pPr>
        <w:pStyle w:val="NoSpacing"/>
        <w:jc w:val="both"/>
      </w:pPr>
      <w:r>
        <w:t xml:space="preserve">Email: </w:t>
      </w:r>
      <w:hyperlink r:id="rId10" w:history="1">
        <w:r w:rsidRPr="007E4883">
          <w:rPr>
            <w:rStyle w:val="Hyperlink"/>
          </w:rPr>
          <w:t>f.rossen@auckland.ac.nz</w:t>
        </w:r>
      </w:hyperlink>
      <w:r>
        <w:t xml:space="preserve"> </w:t>
      </w:r>
    </w:p>
    <w:p w14:paraId="765C313C" w14:textId="77777777" w:rsidR="00697AF0" w:rsidRDefault="00697AF0">
      <w:pPr>
        <w:spacing w:before="0" w:after="200" w:line="276" w:lineRule="auto"/>
        <w:jc w:val="left"/>
        <w:rPr>
          <w:rFonts w:asciiTheme="minorHAnsi" w:hAnsiTheme="minorHAnsi"/>
        </w:rPr>
        <w:sectPr w:rsidR="00697AF0" w:rsidSect="00550DC7">
          <w:pgSz w:w="12240" w:h="15840"/>
          <w:pgMar w:top="1418" w:right="1325" w:bottom="851" w:left="1134" w:header="303" w:footer="339" w:gutter="0"/>
          <w:cols w:space="720"/>
          <w:docGrid w:linePitch="360"/>
        </w:sectPr>
      </w:pPr>
    </w:p>
    <w:sdt>
      <w:sdtPr>
        <w:rPr>
          <w:rFonts w:asciiTheme="minorHAnsi" w:hAnsiTheme="minorHAnsi"/>
          <w:b w:val="0"/>
          <w:bCs w:val="0"/>
          <w:noProof/>
          <w:color w:val="auto"/>
          <w:sz w:val="22"/>
          <w:szCs w:val="24"/>
          <w:lang w:val="en-NZ"/>
        </w:rPr>
        <w:id w:val="176633259"/>
        <w:docPartObj>
          <w:docPartGallery w:val="Table of Contents"/>
          <w:docPartUnique/>
        </w:docPartObj>
      </w:sdtPr>
      <w:sdtEndPr>
        <w:rPr>
          <w:sz w:val="20"/>
        </w:rPr>
      </w:sdtEndPr>
      <w:sdtContent>
        <w:p w14:paraId="49D9BE30" w14:textId="77777777" w:rsidR="0085628C" w:rsidRPr="00AF3A24" w:rsidRDefault="001E6994" w:rsidP="0085628C">
          <w:pPr>
            <w:pStyle w:val="TOCHeading"/>
            <w:rPr>
              <w:rFonts w:asciiTheme="minorHAnsi" w:hAnsiTheme="minorHAnsi"/>
            </w:rPr>
          </w:pPr>
          <w:r w:rsidRPr="00AF3A24">
            <w:rPr>
              <w:rFonts w:asciiTheme="minorHAnsi" w:hAnsiTheme="minorHAnsi"/>
            </w:rPr>
            <w:t>CONTENTS</w:t>
          </w:r>
        </w:p>
        <w:p w14:paraId="416206C9" w14:textId="77777777" w:rsidR="00BA7DA4" w:rsidRPr="00C94DB8" w:rsidRDefault="0085628C" w:rsidP="00BA7DA4">
          <w:pPr>
            <w:pStyle w:val="TOC1"/>
            <w:rPr>
              <w:rFonts w:eastAsiaTheme="minorEastAsia" w:cstheme="minorBidi"/>
              <w:noProof/>
              <w:szCs w:val="22"/>
              <w:lang w:eastAsia="en-NZ"/>
            </w:rPr>
          </w:pPr>
          <w:r w:rsidRPr="00697C63">
            <w:rPr>
              <w:szCs w:val="22"/>
            </w:rPr>
            <w:fldChar w:fldCharType="begin"/>
          </w:r>
          <w:r w:rsidRPr="00697C63">
            <w:rPr>
              <w:szCs w:val="22"/>
            </w:rPr>
            <w:instrText xml:space="preserve"> TOC \o "1-3" \h \z \u </w:instrText>
          </w:r>
          <w:r w:rsidRPr="00697C63">
            <w:rPr>
              <w:szCs w:val="22"/>
            </w:rPr>
            <w:fldChar w:fldCharType="separate"/>
          </w:r>
          <w:hyperlink w:anchor="_Toc403833138" w:history="1">
            <w:r w:rsidR="00BA7DA4" w:rsidRPr="00C94DB8">
              <w:rPr>
                <w:rStyle w:val="Hyperlink"/>
                <w:rFonts w:cstheme="minorHAnsi"/>
                <w:noProof/>
                <w:szCs w:val="22"/>
              </w:rPr>
              <w:t>EXECUTIVE SUMMARY</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_Toc403833138 \h </w:instrText>
            </w:r>
            <w:r w:rsidR="00BA7DA4" w:rsidRPr="00C94DB8">
              <w:rPr>
                <w:noProof/>
                <w:webHidden/>
                <w:szCs w:val="22"/>
              </w:rPr>
            </w:r>
            <w:r w:rsidR="00BA7DA4" w:rsidRPr="00C94DB8">
              <w:rPr>
                <w:noProof/>
                <w:webHidden/>
                <w:szCs w:val="22"/>
              </w:rPr>
              <w:fldChar w:fldCharType="separate"/>
            </w:r>
            <w:r w:rsidR="00AA25B9">
              <w:rPr>
                <w:noProof/>
                <w:webHidden/>
                <w:szCs w:val="22"/>
              </w:rPr>
              <w:t>viii</w:t>
            </w:r>
            <w:r w:rsidR="00BA7DA4" w:rsidRPr="00C94DB8">
              <w:rPr>
                <w:noProof/>
                <w:webHidden/>
                <w:szCs w:val="22"/>
              </w:rPr>
              <w:fldChar w:fldCharType="end"/>
            </w:r>
          </w:hyperlink>
        </w:p>
        <w:p w14:paraId="68AB3491" w14:textId="77777777" w:rsidR="00BA7DA4" w:rsidRPr="00C94DB8" w:rsidRDefault="00CA3637" w:rsidP="00BA7DA4">
          <w:pPr>
            <w:pStyle w:val="TOC1"/>
            <w:rPr>
              <w:rFonts w:eastAsiaTheme="minorEastAsia" w:cstheme="minorBidi"/>
              <w:noProof/>
              <w:szCs w:val="22"/>
              <w:lang w:eastAsia="en-NZ"/>
            </w:rPr>
          </w:pPr>
          <w:hyperlink w:anchor="_Toc403833139" w:history="1">
            <w:r w:rsidR="00BA7DA4" w:rsidRPr="00C94DB8">
              <w:rPr>
                <w:rStyle w:val="Hyperlink"/>
                <w:rFonts w:cstheme="minorHAnsi"/>
                <w:noProof/>
                <w:szCs w:val="22"/>
              </w:rPr>
              <w:t>1.</w:t>
            </w:r>
            <w:r w:rsidR="00BA7DA4" w:rsidRPr="00C94DB8">
              <w:rPr>
                <w:rFonts w:eastAsiaTheme="minorEastAsia" w:cstheme="minorBidi"/>
                <w:noProof/>
                <w:szCs w:val="22"/>
                <w:lang w:eastAsia="en-NZ"/>
              </w:rPr>
              <w:tab/>
            </w:r>
            <w:r w:rsidR="00BA7DA4" w:rsidRPr="00C94DB8">
              <w:rPr>
                <w:rStyle w:val="Hyperlink"/>
                <w:rFonts w:cstheme="minorHAnsi"/>
                <w:noProof/>
                <w:szCs w:val="22"/>
              </w:rPr>
              <w:t>INTRODUCTION &amp; BACKGROUND</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_Toc403833139 \h </w:instrText>
            </w:r>
            <w:r w:rsidR="00BA7DA4" w:rsidRPr="00C94DB8">
              <w:rPr>
                <w:noProof/>
                <w:webHidden/>
                <w:szCs w:val="22"/>
              </w:rPr>
            </w:r>
            <w:r w:rsidR="00BA7DA4" w:rsidRPr="00C94DB8">
              <w:rPr>
                <w:noProof/>
                <w:webHidden/>
                <w:szCs w:val="22"/>
              </w:rPr>
              <w:fldChar w:fldCharType="separate"/>
            </w:r>
            <w:r w:rsidR="00AA25B9">
              <w:rPr>
                <w:noProof/>
                <w:webHidden/>
                <w:szCs w:val="22"/>
              </w:rPr>
              <w:t>15</w:t>
            </w:r>
            <w:r w:rsidR="00BA7DA4" w:rsidRPr="00C94DB8">
              <w:rPr>
                <w:noProof/>
                <w:webHidden/>
                <w:szCs w:val="22"/>
              </w:rPr>
              <w:fldChar w:fldCharType="end"/>
            </w:r>
          </w:hyperlink>
        </w:p>
        <w:p w14:paraId="0B0C9FEE" w14:textId="77777777" w:rsidR="00BA7DA4" w:rsidRPr="00C94DB8" w:rsidRDefault="00CA3637" w:rsidP="00C94DB8">
          <w:pPr>
            <w:pStyle w:val="TOC2"/>
            <w:rPr>
              <w:rFonts w:eastAsiaTheme="minorEastAsia" w:cstheme="minorBidi"/>
              <w:lang w:eastAsia="en-NZ"/>
            </w:rPr>
          </w:pPr>
          <w:hyperlink w:anchor="_Toc403833140" w:history="1">
            <w:r w:rsidR="00BA7DA4" w:rsidRPr="00C94DB8">
              <w:rPr>
                <w:rStyle w:val="Hyperlink"/>
                <w:szCs w:val="22"/>
              </w:rPr>
              <w:t>1.1</w:t>
            </w:r>
            <w:r w:rsidR="00BA7DA4" w:rsidRPr="00C94DB8">
              <w:rPr>
                <w:rFonts w:eastAsiaTheme="minorEastAsia" w:cstheme="minorBidi"/>
                <w:lang w:eastAsia="en-NZ"/>
              </w:rPr>
              <w:tab/>
            </w:r>
            <w:r w:rsidR="00BA7DA4" w:rsidRPr="00C94DB8">
              <w:rPr>
                <w:rStyle w:val="Hyperlink"/>
                <w:szCs w:val="22"/>
              </w:rPr>
              <w:t>Availability of gambling in New Zealand</w:t>
            </w:r>
            <w:r w:rsidR="00BA7DA4" w:rsidRPr="00C94DB8">
              <w:rPr>
                <w:webHidden/>
              </w:rPr>
              <w:tab/>
            </w:r>
            <w:r w:rsidR="00BA7DA4" w:rsidRPr="00C94DB8">
              <w:rPr>
                <w:webHidden/>
              </w:rPr>
              <w:fldChar w:fldCharType="begin"/>
            </w:r>
            <w:r w:rsidR="00BA7DA4" w:rsidRPr="00C94DB8">
              <w:rPr>
                <w:webHidden/>
              </w:rPr>
              <w:instrText xml:space="preserve"> PAGEREF _Toc403833140 \h </w:instrText>
            </w:r>
            <w:r w:rsidR="00BA7DA4" w:rsidRPr="00C94DB8">
              <w:rPr>
                <w:webHidden/>
              </w:rPr>
            </w:r>
            <w:r w:rsidR="00BA7DA4" w:rsidRPr="00C94DB8">
              <w:rPr>
                <w:webHidden/>
              </w:rPr>
              <w:fldChar w:fldCharType="separate"/>
            </w:r>
            <w:r w:rsidR="00AA25B9">
              <w:rPr>
                <w:webHidden/>
              </w:rPr>
              <w:t>16</w:t>
            </w:r>
            <w:r w:rsidR="00BA7DA4" w:rsidRPr="00C94DB8">
              <w:rPr>
                <w:webHidden/>
              </w:rPr>
              <w:fldChar w:fldCharType="end"/>
            </w:r>
          </w:hyperlink>
        </w:p>
        <w:p w14:paraId="7E602D99" w14:textId="77777777" w:rsidR="00BA7DA4" w:rsidRPr="00C94DB8" w:rsidRDefault="00CA3637" w:rsidP="00C94DB8">
          <w:pPr>
            <w:pStyle w:val="TOC2"/>
            <w:rPr>
              <w:rFonts w:eastAsiaTheme="minorEastAsia" w:cstheme="minorBidi"/>
              <w:lang w:eastAsia="en-NZ"/>
            </w:rPr>
          </w:pPr>
          <w:hyperlink w:anchor="_Toc403833141" w:history="1">
            <w:r w:rsidR="00BA7DA4" w:rsidRPr="00C94DB8">
              <w:rPr>
                <w:rStyle w:val="Hyperlink"/>
                <w:szCs w:val="22"/>
              </w:rPr>
              <w:t>1.2</w:t>
            </w:r>
            <w:r w:rsidR="00BA7DA4" w:rsidRPr="00C94DB8">
              <w:rPr>
                <w:rFonts w:eastAsiaTheme="minorEastAsia" w:cstheme="minorBidi"/>
                <w:lang w:eastAsia="en-NZ"/>
              </w:rPr>
              <w:tab/>
            </w:r>
            <w:r w:rsidR="00BA7DA4" w:rsidRPr="00C94DB8">
              <w:rPr>
                <w:rStyle w:val="Hyperlink"/>
                <w:szCs w:val="22"/>
              </w:rPr>
              <w:t>Participation in gambling - New Zealand</w:t>
            </w:r>
            <w:r w:rsidR="00BA7DA4" w:rsidRPr="00C94DB8">
              <w:rPr>
                <w:webHidden/>
              </w:rPr>
              <w:tab/>
            </w:r>
            <w:r w:rsidR="00BA7DA4" w:rsidRPr="00C94DB8">
              <w:rPr>
                <w:webHidden/>
              </w:rPr>
              <w:fldChar w:fldCharType="begin"/>
            </w:r>
            <w:r w:rsidR="00BA7DA4" w:rsidRPr="00C94DB8">
              <w:rPr>
                <w:webHidden/>
              </w:rPr>
              <w:instrText xml:space="preserve"> PAGEREF _Toc403833141 \h </w:instrText>
            </w:r>
            <w:r w:rsidR="00BA7DA4" w:rsidRPr="00C94DB8">
              <w:rPr>
                <w:webHidden/>
              </w:rPr>
            </w:r>
            <w:r w:rsidR="00BA7DA4" w:rsidRPr="00C94DB8">
              <w:rPr>
                <w:webHidden/>
              </w:rPr>
              <w:fldChar w:fldCharType="separate"/>
            </w:r>
            <w:r w:rsidR="00AA25B9">
              <w:rPr>
                <w:webHidden/>
              </w:rPr>
              <w:t>18</w:t>
            </w:r>
            <w:r w:rsidR="00BA7DA4" w:rsidRPr="00C94DB8">
              <w:rPr>
                <w:webHidden/>
              </w:rPr>
              <w:fldChar w:fldCharType="end"/>
            </w:r>
          </w:hyperlink>
        </w:p>
        <w:p w14:paraId="4AC23301" w14:textId="77777777" w:rsidR="00BA7DA4" w:rsidRPr="00C94DB8" w:rsidRDefault="00CA3637" w:rsidP="00C94DB8">
          <w:pPr>
            <w:pStyle w:val="TOC2"/>
            <w:rPr>
              <w:rFonts w:eastAsiaTheme="minorEastAsia" w:cstheme="minorBidi"/>
              <w:lang w:eastAsia="en-NZ"/>
            </w:rPr>
          </w:pPr>
          <w:hyperlink w:anchor="_Toc403833142" w:history="1">
            <w:r w:rsidR="00BA7DA4" w:rsidRPr="00C94DB8">
              <w:rPr>
                <w:rStyle w:val="Hyperlink"/>
                <w:szCs w:val="22"/>
              </w:rPr>
              <w:t>1.3</w:t>
            </w:r>
            <w:r w:rsidR="00BA7DA4" w:rsidRPr="00C94DB8">
              <w:rPr>
                <w:rFonts w:eastAsiaTheme="minorEastAsia" w:cstheme="minorBidi"/>
                <w:lang w:eastAsia="en-NZ"/>
              </w:rPr>
              <w:tab/>
            </w:r>
            <w:r w:rsidR="00BA7DA4" w:rsidRPr="00C94DB8">
              <w:rPr>
                <w:rStyle w:val="Hyperlink"/>
                <w:szCs w:val="22"/>
              </w:rPr>
              <w:t>Problem gambling in New Zealand</w:t>
            </w:r>
            <w:r w:rsidR="00BA7DA4" w:rsidRPr="00C94DB8">
              <w:rPr>
                <w:webHidden/>
              </w:rPr>
              <w:tab/>
            </w:r>
            <w:r w:rsidR="00BA7DA4" w:rsidRPr="00C94DB8">
              <w:rPr>
                <w:webHidden/>
              </w:rPr>
              <w:fldChar w:fldCharType="begin"/>
            </w:r>
            <w:r w:rsidR="00BA7DA4" w:rsidRPr="00C94DB8">
              <w:rPr>
                <w:webHidden/>
              </w:rPr>
              <w:instrText xml:space="preserve"> PAGEREF _Toc403833142 \h </w:instrText>
            </w:r>
            <w:r w:rsidR="00BA7DA4" w:rsidRPr="00C94DB8">
              <w:rPr>
                <w:webHidden/>
              </w:rPr>
            </w:r>
            <w:r w:rsidR="00BA7DA4" w:rsidRPr="00C94DB8">
              <w:rPr>
                <w:webHidden/>
              </w:rPr>
              <w:fldChar w:fldCharType="separate"/>
            </w:r>
            <w:r w:rsidR="00AA25B9">
              <w:rPr>
                <w:webHidden/>
              </w:rPr>
              <w:t>21</w:t>
            </w:r>
            <w:r w:rsidR="00BA7DA4" w:rsidRPr="00C94DB8">
              <w:rPr>
                <w:webHidden/>
              </w:rPr>
              <w:fldChar w:fldCharType="end"/>
            </w:r>
          </w:hyperlink>
        </w:p>
        <w:p w14:paraId="172B80E9" w14:textId="77777777" w:rsidR="00BA7DA4" w:rsidRPr="00C94DB8" w:rsidRDefault="00CA3637" w:rsidP="00C94DB8">
          <w:pPr>
            <w:pStyle w:val="TOC2"/>
            <w:rPr>
              <w:rFonts w:eastAsiaTheme="minorEastAsia" w:cstheme="minorBidi"/>
              <w:lang w:eastAsia="en-NZ"/>
            </w:rPr>
          </w:pPr>
          <w:hyperlink w:anchor="_Toc403833143" w:history="1">
            <w:r w:rsidR="00BA7DA4" w:rsidRPr="00C94DB8">
              <w:rPr>
                <w:rStyle w:val="Hyperlink"/>
                <w:szCs w:val="22"/>
              </w:rPr>
              <w:t>1.4</w:t>
            </w:r>
            <w:r w:rsidR="00BA7DA4" w:rsidRPr="00C94DB8">
              <w:rPr>
                <w:rFonts w:eastAsiaTheme="minorEastAsia" w:cstheme="minorBidi"/>
                <w:lang w:eastAsia="en-NZ"/>
              </w:rPr>
              <w:tab/>
            </w:r>
            <w:r w:rsidR="00BA7DA4" w:rsidRPr="00C94DB8">
              <w:rPr>
                <w:rStyle w:val="Hyperlink"/>
                <w:szCs w:val="22"/>
              </w:rPr>
              <w:t>Summary of gambling, problem gambling and risk factors in New Zealand</w:t>
            </w:r>
            <w:r w:rsidR="00BA7DA4" w:rsidRPr="00C94DB8">
              <w:rPr>
                <w:webHidden/>
              </w:rPr>
              <w:tab/>
            </w:r>
            <w:r w:rsidR="00BA7DA4" w:rsidRPr="00C94DB8">
              <w:rPr>
                <w:webHidden/>
              </w:rPr>
              <w:fldChar w:fldCharType="begin"/>
            </w:r>
            <w:r w:rsidR="00BA7DA4" w:rsidRPr="00C94DB8">
              <w:rPr>
                <w:webHidden/>
              </w:rPr>
              <w:instrText xml:space="preserve"> PAGEREF _Toc403833143 \h </w:instrText>
            </w:r>
            <w:r w:rsidR="00BA7DA4" w:rsidRPr="00C94DB8">
              <w:rPr>
                <w:webHidden/>
              </w:rPr>
            </w:r>
            <w:r w:rsidR="00BA7DA4" w:rsidRPr="00C94DB8">
              <w:rPr>
                <w:webHidden/>
              </w:rPr>
              <w:fldChar w:fldCharType="separate"/>
            </w:r>
            <w:r w:rsidR="00AA25B9">
              <w:rPr>
                <w:webHidden/>
              </w:rPr>
              <w:t>23</w:t>
            </w:r>
            <w:r w:rsidR="00BA7DA4" w:rsidRPr="00C94DB8">
              <w:rPr>
                <w:webHidden/>
              </w:rPr>
              <w:fldChar w:fldCharType="end"/>
            </w:r>
          </w:hyperlink>
        </w:p>
        <w:p w14:paraId="7AFD326C" w14:textId="77777777" w:rsidR="00BA7DA4" w:rsidRPr="00C94DB8" w:rsidRDefault="00CA3637" w:rsidP="00C94DB8">
          <w:pPr>
            <w:pStyle w:val="TOC2"/>
            <w:rPr>
              <w:rFonts w:eastAsiaTheme="minorEastAsia" w:cstheme="minorBidi"/>
              <w:lang w:eastAsia="en-NZ"/>
            </w:rPr>
          </w:pPr>
          <w:hyperlink w:anchor="_Toc403833144" w:history="1">
            <w:r w:rsidR="00BA7DA4" w:rsidRPr="00C94DB8">
              <w:rPr>
                <w:rStyle w:val="Hyperlink"/>
                <w:szCs w:val="22"/>
              </w:rPr>
              <w:t>1.5</w:t>
            </w:r>
            <w:r w:rsidR="00BA7DA4" w:rsidRPr="00C94DB8">
              <w:rPr>
                <w:rFonts w:eastAsiaTheme="minorEastAsia" w:cstheme="minorBidi"/>
                <w:lang w:eastAsia="en-NZ"/>
              </w:rPr>
              <w:tab/>
            </w:r>
            <w:r w:rsidR="00BA7DA4" w:rsidRPr="00C94DB8">
              <w:rPr>
                <w:rStyle w:val="Hyperlink"/>
                <w:szCs w:val="22"/>
              </w:rPr>
              <w:t>Help-seeking for gambling related problems in New Zealand</w:t>
            </w:r>
            <w:r w:rsidR="00BA7DA4" w:rsidRPr="00C94DB8">
              <w:rPr>
                <w:webHidden/>
              </w:rPr>
              <w:tab/>
            </w:r>
            <w:r w:rsidR="00BA7DA4" w:rsidRPr="00C94DB8">
              <w:rPr>
                <w:webHidden/>
              </w:rPr>
              <w:fldChar w:fldCharType="begin"/>
            </w:r>
            <w:r w:rsidR="00BA7DA4" w:rsidRPr="00C94DB8">
              <w:rPr>
                <w:webHidden/>
              </w:rPr>
              <w:instrText xml:space="preserve"> PAGEREF _Toc403833144 \h </w:instrText>
            </w:r>
            <w:r w:rsidR="00BA7DA4" w:rsidRPr="00C94DB8">
              <w:rPr>
                <w:webHidden/>
              </w:rPr>
            </w:r>
            <w:r w:rsidR="00BA7DA4" w:rsidRPr="00C94DB8">
              <w:rPr>
                <w:webHidden/>
              </w:rPr>
              <w:fldChar w:fldCharType="separate"/>
            </w:r>
            <w:r w:rsidR="00AA25B9">
              <w:rPr>
                <w:webHidden/>
              </w:rPr>
              <w:t>25</w:t>
            </w:r>
            <w:r w:rsidR="00BA7DA4" w:rsidRPr="00C94DB8">
              <w:rPr>
                <w:webHidden/>
              </w:rPr>
              <w:fldChar w:fldCharType="end"/>
            </w:r>
          </w:hyperlink>
        </w:p>
        <w:p w14:paraId="5E8459E2" w14:textId="77777777" w:rsidR="00BA7DA4" w:rsidRPr="00C94DB8" w:rsidRDefault="00CA3637" w:rsidP="00BA7DA4">
          <w:pPr>
            <w:pStyle w:val="TOC1"/>
            <w:rPr>
              <w:rFonts w:eastAsiaTheme="minorEastAsia" w:cstheme="minorBidi"/>
              <w:noProof/>
              <w:szCs w:val="22"/>
              <w:lang w:eastAsia="en-NZ"/>
            </w:rPr>
          </w:pPr>
          <w:hyperlink w:anchor="_Toc403833145" w:history="1">
            <w:r w:rsidR="00BA7DA4" w:rsidRPr="00C94DB8">
              <w:rPr>
                <w:rStyle w:val="Hyperlink"/>
                <w:rFonts w:cstheme="minorHAnsi"/>
                <w:noProof/>
                <w:szCs w:val="22"/>
              </w:rPr>
              <w:t>2.</w:t>
            </w:r>
            <w:r w:rsidR="00BA7DA4" w:rsidRPr="00C94DB8">
              <w:rPr>
                <w:rFonts w:eastAsiaTheme="minorEastAsia" w:cstheme="minorBidi"/>
                <w:noProof/>
                <w:szCs w:val="22"/>
                <w:lang w:eastAsia="en-NZ"/>
              </w:rPr>
              <w:tab/>
            </w:r>
            <w:r w:rsidR="00BA7DA4" w:rsidRPr="00C94DB8">
              <w:rPr>
                <w:rStyle w:val="Hyperlink"/>
                <w:rFonts w:cstheme="minorHAnsi"/>
                <w:noProof/>
                <w:szCs w:val="22"/>
              </w:rPr>
              <w:t>DATA SOURCES AND METHODS</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_Toc403833145 \h </w:instrText>
            </w:r>
            <w:r w:rsidR="00BA7DA4" w:rsidRPr="00C94DB8">
              <w:rPr>
                <w:noProof/>
                <w:webHidden/>
                <w:szCs w:val="22"/>
              </w:rPr>
            </w:r>
            <w:r w:rsidR="00BA7DA4" w:rsidRPr="00C94DB8">
              <w:rPr>
                <w:noProof/>
                <w:webHidden/>
                <w:szCs w:val="22"/>
              </w:rPr>
              <w:fldChar w:fldCharType="separate"/>
            </w:r>
            <w:r w:rsidR="00AA25B9">
              <w:rPr>
                <w:noProof/>
                <w:webHidden/>
                <w:szCs w:val="22"/>
              </w:rPr>
              <w:t>28</w:t>
            </w:r>
            <w:r w:rsidR="00BA7DA4" w:rsidRPr="00C94DB8">
              <w:rPr>
                <w:noProof/>
                <w:webHidden/>
                <w:szCs w:val="22"/>
              </w:rPr>
              <w:fldChar w:fldCharType="end"/>
            </w:r>
          </w:hyperlink>
        </w:p>
        <w:p w14:paraId="16792EA9" w14:textId="77777777" w:rsidR="00BA7DA4" w:rsidRPr="00C94DB8" w:rsidRDefault="00CA3637" w:rsidP="00C94DB8">
          <w:pPr>
            <w:pStyle w:val="TOC2"/>
            <w:rPr>
              <w:rFonts w:eastAsiaTheme="minorEastAsia" w:cstheme="minorBidi"/>
              <w:lang w:eastAsia="en-NZ"/>
            </w:rPr>
          </w:pPr>
          <w:hyperlink w:anchor="_Toc403833146" w:history="1">
            <w:r w:rsidR="00BA7DA4" w:rsidRPr="00C94DB8">
              <w:rPr>
                <w:rStyle w:val="Hyperlink"/>
                <w:szCs w:val="22"/>
              </w:rPr>
              <w:t>2.1</w:t>
            </w:r>
            <w:r w:rsidR="00BA7DA4" w:rsidRPr="00C94DB8">
              <w:rPr>
                <w:rFonts w:eastAsiaTheme="minorEastAsia" w:cstheme="minorBidi"/>
                <w:lang w:eastAsia="en-NZ"/>
              </w:rPr>
              <w:tab/>
            </w:r>
            <w:r w:rsidR="00BA7DA4" w:rsidRPr="00C94DB8">
              <w:rPr>
                <w:rStyle w:val="Hyperlink"/>
                <w:szCs w:val="22"/>
              </w:rPr>
              <w:t>2011/12 New Zealand Health Survey</w:t>
            </w:r>
            <w:r w:rsidR="00BA7DA4" w:rsidRPr="00C94DB8">
              <w:rPr>
                <w:webHidden/>
              </w:rPr>
              <w:tab/>
            </w:r>
            <w:r w:rsidR="00BA7DA4" w:rsidRPr="00C94DB8">
              <w:rPr>
                <w:webHidden/>
              </w:rPr>
              <w:fldChar w:fldCharType="begin"/>
            </w:r>
            <w:r w:rsidR="00BA7DA4" w:rsidRPr="00C94DB8">
              <w:rPr>
                <w:webHidden/>
              </w:rPr>
              <w:instrText xml:space="preserve"> PAGEREF _Toc403833146 \h </w:instrText>
            </w:r>
            <w:r w:rsidR="00BA7DA4" w:rsidRPr="00C94DB8">
              <w:rPr>
                <w:webHidden/>
              </w:rPr>
            </w:r>
            <w:r w:rsidR="00BA7DA4" w:rsidRPr="00C94DB8">
              <w:rPr>
                <w:webHidden/>
              </w:rPr>
              <w:fldChar w:fldCharType="separate"/>
            </w:r>
            <w:r w:rsidR="00AA25B9">
              <w:rPr>
                <w:webHidden/>
              </w:rPr>
              <w:t>28</w:t>
            </w:r>
            <w:r w:rsidR="00BA7DA4" w:rsidRPr="00C94DB8">
              <w:rPr>
                <w:webHidden/>
              </w:rPr>
              <w:fldChar w:fldCharType="end"/>
            </w:r>
          </w:hyperlink>
        </w:p>
        <w:p w14:paraId="41FFD107"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47" w:history="1">
            <w:r w:rsidR="00BA7DA4" w:rsidRPr="00C94DB8">
              <w:rPr>
                <w:rStyle w:val="Hyperlink"/>
                <w:rFonts w:asciiTheme="minorHAnsi" w:hAnsiTheme="minorHAnsi"/>
                <w:noProof/>
                <w:szCs w:val="22"/>
              </w:rPr>
              <w:t>2.1.1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Sampling and data collection</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_Toc403833147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29</w:t>
            </w:r>
            <w:r w:rsidR="00BA7DA4" w:rsidRPr="00C94DB8">
              <w:rPr>
                <w:rFonts w:asciiTheme="minorHAnsi" w:hAnsiTheme="minorHAnsi"/>
                <w:noProof/>
                <w:webHidden/>
                <w:szCs w:val="22"/>
              </w:rPr>
              <w:fldChar w:fldCharType="end"/>
            </w:r>
          </w:hyperlink>
        </w:p>
        <w:p w14:paraId="0E02C5E6"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48" w:history="1">
            <w:r w:rsidR="00BA7DA4" w:rsidRPr="00C94DB8">
              <w:rPr>
                <w:rStyle w:val="Hyperlink"/>
                <w:rFonts w:asciiTheme="minorHAnsi" w:hAnsiTheme="minorHAnsi"/>
                <w:noProof/>
                <w:szCs w:val="22"/>
              </w:rPr>
              <w:t>2.1.2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Interpretation of results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_Toc403833148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30</w:t>
            </w:r>
            <w:r w:rsidR="00BA7DA4" w:rsidRPr="00C94DB8">
              <w:rPr>
                <w:rFonts w:asciiTheme="minorHAnsi" w:hAnsiTheme="minorHAnsi"/>
                <w:noProof/>
                <w:webHidden/>
                <w:szCs w:val="22"/>
              </w:rPr>
              <w:fldChar w:fldCharType="end"/>
            </w:r>
          </w:hyperlink>
        </w:p>
        <w:p w14:paraId="1B6EBF8E"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49" w:history="1">
            <w:r w:rsidR="00BA7DA4" w:rsidRPr="00C94DB8">
              <w:rPr>
                <w:rStyle w:val="Hyperlink"/>
                <w:rFonts w:asciiTheme="minorHAnsi" w:hAnsiTheme="minorHAnsi"/>
                <w:noProof/>
                <w:szCs w:val="22"/>
              </w:rPr>
              <w:t>2.1.3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Definitions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_Toc403833149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32</w:t>
            </w:r>
            <w:r w:rsidR="00BA7DA4" w:rsidRPr="00C94DB8">
              <w:rPr>
                <w:rFonts w:asciiTheme="minorHAnsi" w:hAnsiTheme="minorHAnsi"/>
                <w:noProof/>
                <w:webHidden/>
                <w:szCs w:val="22"/>
              </w:rPr>
              <w:fldChar w:fldCharType="end"/>
            </w:r>
          </w:hyperlink>
        </w:p>
        <w:p w14:paraId="02B76A81" w14:textId="77777777" w:rsidR="00BA7DA4" w:rsidRPr="00C94DB8" w:rsidRDefault="00CA3637" w:rsidP="00C94DB8">
          <w:pPr>
            <w:pStyle w:val="TOC2"/>
            <w:rPr>
              <w:rFonts w:eastAsiaTheme="minorEastAsia" w:cstheme="minorBidi"/>
              <w:lang w:eastAsia="en-NZ"/>
            </w:rPr>
          </w:pPr>
          <w:hyperlink w:anchor="_Toc403833150" w:history="1">
            <w:r w:rsidR="00BA7DA4" w:rsidRPr="00C94DB8">
              <w:rPr>
                <w:rStyle w:val="Hyperlink"/>
                <w:szCs w:val="22"/>
              </w:rPr>
              <w:t>2.2</w:t>
            </w:r>
            <w:r w:rsidR="00BA7DA4" w:rsidRPr="00C94DB8">
              <w:rPr>
                <w:rFonts w:eastAsiaTheme="minorEastAsia" w:cstheme="minorBidi"/>
                <w:lang w:eastAsia="en-NZ"/>
              </w:rPr>
              <w:tab/>
            </w:r>
            <w:r w:rsidR="00BA7DA4" w:rsidRPr="00C94DB8">
              <w:rPr>
                <w:rStyle w:val="Hyperlink"/>
                <w:szCs w:val="22"/>
              </w:rPr>
              <w:t>Analysis of gambling and problem gambling data from the 2011/12 New Zealand Health Survey</w:t>
            </w:r>
            <w:r w:rsidR="00BA7DA4" w:rsidRPr="00C94DB8">
              <w:rPr>
                <w:webHidden/>
              </w:rPr>
              <w:tab/>
            </w:r>
            <w:r w:rsidR="00BA7DA4" w:rsidRPr="00C94DB8">
              <w:rPr>
                <w:webHidden/>
              </w:rPr>
              <w:fldChar w:fldCharType="begin"/>
            </w:r>
            <w:r w:rsidR="00BA7DA4" w:rsidRPr="00C94DB8">
              <w:rPr>
                <w:webHidden/>
              </w:rPr>
              <w:instrText xml:space="preserve"> PAGEREF _Toc403833150 \h </w:instrText>
            </w:r>
            <w:r w:rsidR="00BA7DA4" w:rsidRPr="00C94DB8">
              <w:rPr>
                <w:webHidden/>
              </w:rPr>
            </w:r>
            <w:r w:rsidR="00BA7DA4" w:rsidRPr="00C94DB8">
              <w:rPr>
                <w:webHidden/>
              </w:rPr>
              <w:fldChar w:fldCharType="separate"/>
            </w:r>
            <w:r w:rsidR="00AA25B9">
              <w:rPr>
                <w:webHidden/>
              </w:rPr>
              <w:t>34</w:t>
            </w:r>
            <w:r w:rsidR="00BA7DA4" w:rsidRPr="00C94DB8">
              <w:rPr>
                <w:webHidden/>
              </w:rPr>
              <w:fldChar w:fldCharType="end"/>
            </w:r>
          </w:hyperlink>
        </w:p>
        <w:p w14:paraId="517D8804" w14:textId="77777777" w:rsidR="00BA7DA4" w:rsidRPr="00C94DB8" w:rsidRDefault="00CA3637" w:rsidP="00BA7DA4">
          <w:pPr>
            <w:pStyle w:val="TOC1"/>
            <w:rPr>
              <w:rFonts w:eastAsiaTheme="minorEastAsia" w:cstheme="minorBidi"/>
              <w:noProof/>
              <w:szCs w:val="22"/>
              <w:lang w:eastAsia="en-NZ"/>
            </w:rPr>
          </w:pPr>
          <w:hyperlink w:anchor="_Toc403833151" w:history="1">
            <w:r w:rsidR="00BA7DA4" w:rsidRPr="00C94DB8">
              <w:rPr>
                <w:rStyle w:val="Hyperlink"/>
                <w:rFonts w:cstheme="minorHAnsi"/>
                <w:noProof/>
                <w:szCs w:val="22"/>
              </w:rPr>
              <w:t>3.</w:t>
            </w:r>
            <w:r w:rsidR="00BA7DA4" w:rsidRPr="00C94DB8">
              <w:rPr>
                <w:rFonts w:eastAsiaTheme="minorEastAsia" w:cstheme="minorBidi"/>
                <w:noProof/>
                <w:szCs w:val="22"/>
                <w:lang w:eastAsia="en-NZ"/>
              </w:rPr>
              <w:tab/>
            </w:r>
            <w:r w:rsidR="00BA7DA4" w:rsidRPr="00C94DB8">
              <w:rPr>
                <w:rStyle w:val="Hyperlink"/>
                <w:rFonts w:cstheme="minorHAnsi"/>
                <w:noProof/>
                <w:szCs w:val="22"/>
              </w:rPr>
              <w:t>RESULTS</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_Toc403833151 \h </w:instrText>
            </w:r>
            <w:r w:rsidR="00BA7DA4" w:rsidRPr="00C94DB8">
              <w:rPr>
                <w:noProof/>
                <w:webHidden/>
                <w:szCs w:val="22"/>
              </w:rPr>
            </w:r>
            <w:r w:rsidR="00BA7DA4" w:rsidRPr="00C94DB8">
              <w:rPr>
                <w:noProof/>
                <w:webHidden/>
                <w:szCs w:val="22"/>
              </w:rPr>
              <w:fldChar w:fldCharType="separate"/>
            </w:r>
            <w:r w:rsidR="00AA25B9">
              <w:rPr>
                <w:noProof/>
                <w:webHidden/>
                <w:szCs w:val="22"/>
              </w:rPr>
              <w:t>37</w:t>
            </w:r>
            <w:r w:rsidR="00BA7DA4" w:rsidRPr="00C94DB8">
              <w:rPr>
                <w:noProof/>
                <w:webHidden/>
                <w:szCs w:val="22"/>
              </w:rPr>
              <w:fldChar w:fldCharType="end"/>
            </w:r>
          </w:hyperlink>
        </w:p>
        <w:p w14:paraId="57D7E14A" w14:textId="77777777" w:rsidR="00BA7DA4" w:rsidRPr="00C94DB8" w:rsidRDefault="00CA3637" w:rsidP="00BA7DA4">
          <w:pPr>
            <w:pStyle w:val="TOC1"/>
            <w:rPr>
              <w:rFonts w:eastAsiaTheme="minorEastAsia" w:cstheme="minorBidi"/>
              <w:noProof/>
              <w:szCs w:val="22"/>
              <w:lang w:eastAsia="en-NZ"/>
            </w:rPr>
          </w:pPr>
          <w:hyperlink w:anchor="_Toc403833152" w:history="1">
            <w:r w:rsidR="00BA7DA4" w:rsidRPr="00C94DB8">
              <w:rPr>
                <w:rStyle w:val="Hyperlink"/>
                <w:rFonts w:cstheme="minorHAnsi"/>
                <w:noProof/>
                <w:szCs w:val="22"/>
              </w:rPr>
              <w:t>4.</w:t>
            </w:r>
            <w:r w:rsidR="00BA7DA4" w:rsidRPr="00C94DB8">
              <w:rPr>
                <w:rFonts w:eastAsiaTheme="minorEastAsia" w:cstheme="minorBidi"/>
                <w:noProof/>
                <w:szCs w:val="22"/>
                <w:lang w:eastAsia="en-NZ"/>
              </w:rPr>
              <w:tab/>
            </w:r>
            <w:r w:rsidR="00BA7DA4" w:rsidRPr="00C94DB8">
              <w:rPr>
                <w:rStyle w:val="Hyperlink"/>
                <w:rFonts w:cstheme="minorHAnsi"/>
                <w:noProof/>
                <w:szCs w:val="22"/>
              </w:rPr>
              <w:t>RESULTS: PAST YEAR GAMBLING PARTICIPATION</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_Toc403833152 \h </w:instrText>
            </w:r>
            <w:r w:rsidR="00BA7DA4" w:rsidRPr="00C94DB8">
              <w:rPr>
                <w:noProof/>
                <w:webHidden/>
                <w:szCs w:val="22"/>
              </w:rPr>
            </w:r>
            <w:r w:rsidR="00BA7DA4" w:rsidRPr="00C94DB8">
              <w:rPr>
                <w:noProof/>
                <w:webHidden/>
                <w:szCs w:val="22"/>
              </w:rPr>
              <w:fldChar w:fldCharType="separate"/>
            </w:r>
            <w:r w:rsidR="00AA25B9">
              <w:rPr>
                <w:noProof/>
                <w:webHidden/>
                <w:szCs w:val="22"/>
              </w:rPr>
              <w:t>38</w:t>
            </w:r>
            <w:r w:rsidR="00BA7DA4" w:rsidRPr="00C94DB8">
              <w:rPr>
                <w:noProof/>
                <w:webHidden/>
                <w:szCs w:val="22"/>
              </w:rPr>
              <w:fldChar w:fldCharType="end"/>
            </w:r>
          </w:hyperlink>
        </w:p>
        <w:p w14:paraId="0FEAAA94" w14:textId="77777777" w:rsidR="00BA7DA4" w:rsidRPr="00C94DB8" w:rsidRDefault="00CA3637" w:rsidP="00C94DB8">
          <w:pPr>
            <w:pStyle w:val="TOC2"/>
            <w:rPr>
              <w:rFonts w:eastAsiaTheme="minorEastAsia" w:cstheme="minorBidi"/>
              <w:lang w:eastAsia="en-NZ"/>
            </w:rPr>
          </w:pPr>
          <w:hyperlink w:anchor="_Toc403833153" w:history="1">
            <w:r w:rsidR="00BA7DA4" w:rsidRPr="00C94DB8">
              <w:rPr>
                <w:rStyle w:val="Hyperlink"/>
                <w:szCs w:val="22"/>
              </w:rPr>
              <w:t>4.1</w:t>
            </w:r>
            <w:r w:rsidR="00BA7DA4" w:rsidRPr="00C94DB8">
              <w:rPr>
                <w:rFonts w:eastAsiaTheme="minorEastAsia" w:cstheme="minorBidi"/>
                <w:lang w:eastAsia="en-NZ"/>
              </w:rPr>
              <w:tab/>
            </w:r>
            <w:r w:rsidR="00BA7DA4" w:rsidRPr="00C94DB8">
              <w:rPr>
                <w:rStyle w:val="Hyperlink"/>
                <w:szCs w:val="22"/>
              </w:rPr>
              <w:t>Involvement in gambling</w:t>
            </w:r>
            <w:r w:rsidR="00BA7DA4" w:rsidRPr="00C94DB8">
              <w:rPr>
                <w:webHidden/>
              </w:rPr>
              <w:tab/>
            </w:r>
            <w:r w:rsidR="00BA7DA4" w:rsidRPr="00C94DB8">
              <w:rPr>
                <w:webHidden/>
              </w:rPr>
              <w:fldChar w:fldCharType="begin"/>
            </w:r>
            <w:r w:rsidR="00BA7DA4" w:rsidRPr="00C94DB8">
              <w:rPr>
                <w:webHidden/>
              </w:rPr>
              <w:instrText xml:space="preserve"> PAGEREF _Toc403833153 \h </w:instrText>
            </w:r>
            <w:r w:rsidR="00BA7DA4" w:rsidRPr="00C94DB8">
              <w:rPr>
                <w:webHidden/>
              </w:rPr>
            </w:r>
            <w:r w:rsidR="00BA7DA4" w:rsidRPr="00C94DB8">
              <w:rPr>
                <w:webHidden/>
              </w:rPr>
              <w:fldChar w:fldCharType="separate"/>
            </w:r>
            <w:r w:rsidR="00AA25B9">
              <w:rPr>
                <w:webHidden/>
              </w:rPr>
              <w:t>38</w:t>
            </w:r>
            <w:r w:rsidR="00BA7DA4" w:rsidRPr="00C94DB8">
              <w:rPr>
                <w:webHidden/>
              </w:rPr>
              <w:fldChar w:fldCharType="end"/>
            </w:r>
          </w:hyperlink>
        </w:p>
        <w:p w14:paraId="389EA950" w14:textId="77777777" w:rsidR="00BA7DA4" w:rsidRPr="00C94DB8" w:rsidRDefault="00CA3637" w:rsidP="00C94DB8">
          <w:pPr>
            <w:pStyle w:val="TOC2"/>
            <w:rPr>
              <w:rFonts w:eastAsiaTheme="minorEastAsia" w:cstheme="minorBidi"/>
              <w:lang w:eastAsia="en-NZ"/>
            </w:rPr>
          </w:pPr>
          <w:hyperlink w:anchor="_Toc403833154" w:history="1">
            <w:r w:rsidR="00BA7DA4" w:rsidRPr="00C94DB8">
              <w:rPr>
                <w:rStyle w:val="Hyperlink"/>
                <w:szCs w:val="22"/>
              </w:rPr>
              <w:t>4.2</w:t>
            </w:r>
            <w:r w:rsidR="00BA7DA4" w:rsidRPr="00C94DB8">
              <w:rPr>
                <w:rFonts w:eastAsiaTheme="minorEastAsia" w:cstheme="minorBidi"/>
                <w:lang w:eastAsia="en-NZ"/>
              </w:rPr>
              <w:tab/>
            </w:r>
            <w:r w:rsidR="00BA7DA4" w:rsidRPr="00C94DB8">
              <w:rPr>
                <w:rStyle w:val="Hyperlink"/>
                <w:szCs w:val="22"/>
              </w:rPr>
              <w:t>Activities that adults gamble on</w:t>
            </w:r>
            <w:r w:rsidR="00BA7DA4" w:rsidRPr="00C94DB8">
              <w:rPr>
                <w:webHidden/>
              </w:rPr>
              <w:tab/>
            </w:r>
            <w:r w:rsidR="00BA7DA4" w:rsidRPr="00C94DB8">
              <w:rPr>
                <w:webHidden/>
              </w:rPr>
              <w:fldChar w:fldCharType="begin"/>
            </w:r>
            <w:r w:rsidR="00BA7DA4" w:rsidRPr="00C94DB8">
              <w:rPr>
                <w:webHidden/>
              </w:rPr>
              <w:instrText xml:space="preserve"> PAGEREF _Toc403833154 \h </w:instrText>
            </w:r>
            <w:r w:rsidR="00BA7DA4" w:rsidRPr="00C94DB8">
              <w:rPr>
                <w:webHidden/>
              </w:rPr>
            </w:r>
            <w:r w:rsidR="00BA7DA4" w:rsidRPr="00C94DB8">
              <w:rPr>
                <w:webHidden/>
              </w:rPr>
              <w:fldChar w:fldCharType="separate"/>
            </w:r>
            <w:r w:rsidR="00AA25B9">
              <w:rPr>
                <w:webHidden/>
              </w:rPr>
              <w:t>40</w:t>
            </w:r>
            <w:r w:rsidR="00BA7DA4" w:rsidRPr="00C94DB8">
              <w:rPr>
                <w:webHidden/>
              </w:rPr>
              <w:fldChar w:fldCharType="end"/>
            </w:r>
          </w:hyperlink>
        </w:p>
        <w:p w14:paraId="39D228B8"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55" w:history="1">
            <w:r w:rsidR="00BA7DA4" w:rsidRPr="00C94DB8">
              <w:rPr>
                <w:rStyle w:val="Hyperlink"/>
                <w:rFonts w:asciiTheme="minorHAnsi" w:hAnsiTheme="minorHAnsi"/>
                <w:noProof/>
                <w:szCs w:val="22"/>
              </w:rPr>
              <w:t>4.2.1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Activities by demographics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_Toc403833155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41</w:t>
            </w:r>
            <w:r w:rsidR="00BA7DA4" w:rsidRPr="00C94DB8">
              <w:rPr>
                <w:rFonts w:asciiTheme="minorHAnsi" w:hAnsiTheme="minorHAnsi"/>
                <w:noProof/>
                <w:webHidden/>
                <w:szCs w:val="22"/>
              </w:rPr>
              <w:fldChar w:fldCharType="end"/>
            </w:r>
          </w:hyperlink>
        </w:p>
        <w:p w14:paraId="4E70FFB2"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56" w:history="1">
            <w:r w:rsidR="00BA7DA4" w:rsidRPr="00C94DB8">
              <w:rPr>
                <w:rStyle w:val="Hyperlink"/>
                <w:rFonts w:asciiTheme="minorHAnsi" w:hAnsiTheme="minorHAnsi"/>
                <w:noProof/>
                <w:szCs w:val="22"/>
              </w:rPr>
              <w:t>4.2.2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Changes over time – comparison of 2002/03, 2006/07 and 2011/12 NZHS: Involvement in gambling and activities that adults gamble on</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_Toc403833156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48</w:t>
            </w:r>
            <w:r w:rsidR="00BA7DA4" w:rsidRPr="00C94DB8">
              <w:rPr>
                <w:rFonts w:asciiTheme="minorHAnsi" w:hAnsiTheme="minorHAnsi"/>
                <w:noProof/>
                <w:webHidden/>
                <w:szCs w:val="22"/>
              </w:rPr>
              <w:fldChar w:fldCharType="end"/>
            </w:r>
          </w:hyperlink>
        </w:p>
        <w:p w14:paraId="600E3C3C" w14:textId="77777777" w:rsidR="00BA7DA4" w:rsidRPr="00C94DB8" w:rsidRDefault="00CA3637" w:rsidP="00C94DB8">
          <w:pPr>
            <w:pStyle w:val="TOC2"/>
            <w:rPr>
              <w:rFonts w:eastAsiaTheme="minorEastAsia" w:cstheme="minorBidi"/>
              <w:lang w:eastAsia="en-NZ"/>
            </w:rPr>
          </w:pPr>
          <w:hyperlink w:anchor="_Toc403833157" w:history="1">
            <w:r w:rsidR="00BA7DA4" w:rsidRPr="00C94DB8">
              <w:rPr>
                <w:rStyle w:val="Hyperlink"/>
                <w:szCs w:val="22"/>
              </w:rPr>
              <w:t>4.3</w:t>
            </w:r>
            <w:r w:rsidR="00BA7DA4" w:rsidRPr="00C94DB8">
              <w:rPr>
                <w:rFonts w:eastAsiaTheme="minorEastAsia" w:cstheme="minorBidi"/>
                <w:lang w:eastAsia="en-NZ"/>
              </w:rPr>
              <w:tab/>
            </w:r>
            <w:r w:rsidR="00BA7DA4" w:rsidRPr="00C94DB8">
              <w:rPr>
                <w:rStyle w:val="Hyperlink"/>
                <w:szCs w:val="22"/>
              </w:rPr>
              <w:t>Number of gambling activities</w:t>
            </w:r>
            <w:r w:rsidR="00BA7DA4" w:rsidRPr="00C94DB8">
              <w:rPr>
                <w:webHidden/>
              </w:rPr>
              <w:tab/>
            </w:r>
            <w:r w:rsidR="00BA7DA4" w:rsidRPr="00C94DB8">
              <w:rPr>
                <w:webHidden/>
              </w:rPr>
              <w:fldChar w:fldCharType="begin"/>
            </w:r>
            <w:r w:rsidR="00BA7DA4" w:rsidRPr="00C94DB8">
              <w:rPr>
                <w:webHidden/>
              </w:rPr>
              <w:instrText xml:space="preserve"> PAGEREF _Toc403833157 \h </w:instrText>
            </w:r>
            <w:r w:rsidR="00BA7DA4" w:rsidRPr="00C94DB8">
              <w:rPr>
                <w:webHidden/>
              </w:rPr>
            </w:r>
            <w:r w:rsidR="00BA7DA4" w:rsidRPr="00C94DB8">
              <w:rPr>
                <w:webHidden/>
              </w:rPr>
              <w:fldChar w:fldCharType="separate"/>
            </w:r>
            <w:r w:rsidR="00AA25B9">
              <w:rPr>
                <w:webHidden/>
              </w:rPr>
              <w:t>49</w:t>
            </w:r>
            <w:r w:rsidR="00BA7DA4" w:rsidRPr="00C94DB8">
              <w:rPr>
                <w:webHidden/>
              </w:rPr>
              <w:fldChar w:fldCharType="end"/>
            </w:r>
          </w:hyperlink>
        </w:p>
        <w:p w14:paraId="1D29AB35"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58" w:history="1">
            <w:r w:rsidR="00BA7DA4" w:rsidRPr="00C94DB8">
              <w:rPr>
                <w:rStyle w:val="Hyperlink"/>
                <w:rFonts w:asciiTheme="minorHAnsi" w:hAnsiTheme="minorHAnsi"/>
                <w:noProof/>
                <w:szCs w:val="22"/>
              </w:rPr>
              <w:t>4.3.1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Number of gambling activities by demographics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_Toc403833158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50</w:t>
            </w:r>
            <w:r w:rsidR="00BA7DA4" w:rsidRPr="00C94DB8">
              <w:rPr>
                <w:rFonts w:asciiTheme="minorHAnsi" w:hAnsiTheme="minorHAnsi"/>
                <w:noProof/>
                <w:webHidden/>
                <w:szCs w:val="22"/>
              </w:rPr>
              <w:fldChar w:fldCharType="end"/>
            </w:r>
          </w:hyperlink>
        </w:p>
        <w:p w14:paraId="6299C8D3"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59" w:history="1">
            <w:r w:rsidR="00BA7DA4" w:rsidRPr="00C94DB8">
              <w:rPr>
                <w:rStyle w:val="Hyperlink"/>
                <w:rFonts w:asciiTheme="minorHAnsi" w:hAnsiTheme="minorHAnsi"/>
                <w:noProof/>
                <w:szCs w:val="22"/>
              </w:rPr>
              <w:t>4.3.2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Number of gambling activities by past-year participation group</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_Toc403833159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52</w:t>
            </w:r>
            <w:r w:rsidR="00BA7DA4" w:rsidRPr="00C94DB8">
              <w:rPr>
                <w:rFonts w:asciiTheme="minorHAnsi" w:hAnsiTheme="minorHAnsi"/>
                <w:noProof/>
                <w:webHidden/>
                <w:szCs w:val="22"/>
              </w:rPr>
              <w:fldChar w:fldCharType="end"/>
            </w:r>
          </w:hyperlink>
        </w:p>
        <w:p w14:paraId="40BA25D0"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60" w:history="1">
            <w:r w:rsidR="00BA7DA4" w:rsidRPr="00C94DB8">
              <w:rPr>
                <w:rStyle w:val="Hyperlink"/>
                <w:rFonts w:asciiTheme="minorHAnsi" w:hAnsiTheme="minorHAnsi"/>
                <w:noProof/>
                <w:szCs w:val="22"/>
              </w:rPr>
              <w:t>4.3.3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Changes over time – comparison of 2002/03, 2006/07 and 2011/12 NZHS: Number of gambling activities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_Toc403833160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53</w:t>
            </w:r>
            <w:r w:rsidR="00BA7DA4" w:rsidRPr="00C94DB8">
              <w:rPr>
                <w:rFonts w:asciiTheme="minorHAnsi" w:hAnsiTheme="minorHAnsi"/>
                <w:noProof/>
                <w:webHidden/>
                <w:szCs w:val="22"/>
              </w:rPr>
              <w:fldChar w:fldCharType="end"/>
            </w:r>
          </w:hyperlink>
        </w:p>
        <w:p w14:paraId="40496A43" w14:textId="77777777" w:rsidR="00BA7DA4" w:rsidRPr="00C94DB8" w:rsidRDefault="00CA3637" w:rsidP="00C94DB8">
          <w:pPr>
            <w:pStyle w:val="TOC2"/>
            <w:rPr>
              <w:rFonts w:eastAsiaTheme="minorEastAsia" w:cstheme="minorBidi"/>
              <w:lang w:eastAsia="en-NZ"/>
            </w:rPr>
          </w:pPr>
          <w:hyperlink w:anchor="_Toc403833161" w:history="1">
            <w:r w:rsidR="00BA7DA4" w:rsidRPr="00C94DB8">
              <w:rPr>
                <w:rStyle w:val="Hyperlink"/>
                <w:szCs w:val="22"/>
              </w:rPr>
              <w:t>4.4</w:t>
            </w:r>
            <w:r w:rsidR="00BA7DA4" w:rsidRPr="00C94DB8">
              <w:rPr>
                <w:rFonts w:eastAsiaTheme="minorEastAsia" w:cstheme="minorBidi"/>
                <w:lang w:eastAsia="en-NZ"/>
              </w:rPr>
              <w:tab/>
            </w:r>
            <w:r w:rsidR="00BA7DA4" w:rsidRPr="00C94DB8">
              <w:rPr>
                <w:rStyle w:val="Hyperlink"/>
                <w:szCs w:val="22"/>
              </w:rPr>
              <w:t>Preferred gambling activity</w:t>
            </w:r>
            <w:r w:rsidR="00BA7DA4" w:rsidRPr="00C94DB8">
              <w:rPr>
                <w:webHidden/>
              </w:rPr>
              <w:tab/>
            </w:r>
            <w:r w:rsidR="00BA7DA4" w:rsidRPr="00C94DB8">
              <w:rPr>
                <w:webHidden/>
              </w:rPr>
              <w:fldChar w:fldCharType="begin"/>
            </w:r>
            <w:r w:rsidR="00BA7DA4" w:rsidRPr="00C94DB8">
              <w:rPr>
                <w:webHidden/>
              </w:rPr>
              <w:instrText xml:space="preserve"> PAGEREF _Toc403833161 \h </w:instrText>
            </w:r>
            <w:r w:rsidR="00BA7DA4" w:rsidRPr="00C94DB8">
              <w:rPr>
                <w:webHidden/>
              </w:rPr>
            </w:r>
            <w:r w:rsidR="00BA7DA4" w:rsidRPr="00C94DB8">
              <w:rPr>
                <w:webHidden/>
              </w:rPr>
              <w:fldChar w:fldCharType="separate"/>
            </w:r>
            <w:r w:rsidR="00AA25B9">
              <w:rPr>
                <w:webHidden/>
              </w:rPr>
              <w:t>55</w:t>
            </w:r>
            <w:r w:rsidR="00BA7DA4" w:rsidRPr="00C94DB8">
              <w:rPr>
                <w:webHidden/>
              </w:rPr>
              <w:fldChar w:fldCharType="end"/>
            </w:r>
          </w:hyperlink>
        </w:p>
        <w:p w14:paraId="5B7E740A"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62" w:history="1">
            <w:r w:rsidR="00BA7DA4" w:rsidRPr="00C94DB8">
              <w:rPr>
                <w:rStyle w:val="Hyperlink"/>
                <w:rFonts w:asciiTheme="minorHAnsi" w:hAnsiTheme="minorHAnsi"/>
                <w:noProof/>
                <w:szCs w:val="22"/>
              </w:rPr>
              <w:t>4.4.1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Preferred gambling activity by demographics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_Toc403833162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56</w:t>
            </w:r>
            <w:r w:rsidR="00BA7DA4" w:rsidRPr="00C94DB8">
              <w:rPr>
                <w:rFonts w:asciiTheme="minorHAnsi" w:hAnsiTheme="minorHAnsi"/>
                <w:noProof/>
                <w:webHidden/>
                <w:szCs w:val="22"/>
              </w:rPr>
              <w:fldChar w:fldCharType="end"/>
            </w:r>
          </w:hyperlink>
        </w:p>
        <w:p w14:paraId="1D368C76" w14:textId="77777777" w:rsidR="00BA7DA4" w:rsidRPr="00C94DB8" w:rsidRDefault="00CA3637" w:rsidP="00C94DB8">
          <w:pPr>
            <w:pStyle w:val="TOC2"/>
            <w:rPr>
              <w:rFonts w:eastAsiaTheme="minorEastAsia" w:cstheme="minorBidi"/>
              <w:lang w:eastAsia="en-NZ"/>
            </w:rPr>
          </w:pPr>
          <w:hyperlink w:anchor="_Toc403833163" w:history="1">
            <w:r w:rsidR="00BA7DA4" w:rsidRPr="00C94DB8">
              <w:rPr>
                <w:rStyle w:val="Hyperlink"/>
                <w:szCs w:val="22"/>
              </w:rPr>
              <w:t>4.5</w:t>
            </w:r>
            <w:r w:rsidR="00BA7DA4" w:rsidRPr="00C94DB8">
              <w:rPr>
                <w:rFonts w:eastAsiaTheme="minorEastAsia" w:cstheme="minorBidi"/>
                <w:lang w:eastAsia="en-NZ"/>
              </w:rPr>
              <w:tab/>
            </w:r>
            <w:r w:rsidR="00BA7DA4" w:rsidRPr="00C94DB8">
              <w:rPr>
                <w:rStyle w:val="Hyperlink"/>
                <w:szCs w:val="22"/>
              </w:rPr>
              <w:t>SUMMARY: PAST YEAR GAMBLING PARTICIPATION</w:t>
            </w:r>
            <w:r w:rsidR="00BA7DA4" w:rsidRPr="00C94DB8">
              <w:rPr>
                <w:webHidden/>
              </w:rPr>
              <w:tab/>
            </w:r>
            <w:r w:rsidR="00BA7DA4" w:rsidRPr="00C94DB8">
              <w:rPr>
                <w:webHidden/>
              </w:rPr>
              <w:fldChar w:fldCharType="begin"/>
            </w:r>
            <w:r w:rsidR="00BA7DA4" w:rsidRPr="00C94DB8">
              <w:rPr>
                <w:webHidden/>
              </w:rPr>
              <w:instrText xml:space="preserve"> PAGEREF _Toc403833163 \h </w:instrText>
            </w:r>
            <w:r w:rsidR="00BA7DA4" w:rsidRPr="00C94DB8">
              <w:rPr>
                <w:webHidden/>
              </w:rPr>
            </w:r>
            <w:r w:rsidR="00BA7DA4" w:rsidRPr="00C94DB8">
              <w:rPr>
                <w:webHidden/>
              </w:rPr>
              <w:fldChar w:fldCharType="separate"/>
            </w:r>
            <w:r w:rsidR="00AA25B9">
              <w:rPr>
                <w:webHidden/>
              </w:rPr>
              <w:t>57</w:t>
            </w:r>
            <w:r w:rsidR="00BA7DA4" w:rsidRPr="00C94DB8">
              <w:rPr>
                <w:webHidden/>
              </w:rPr>
              <w:fldChar w:fldCharType="end"/>
            </w:r>
          </w:hyperlink>
        </w:p>
        <w:p w14:paraId="50B742C3" w14:textId="77777777" w:rsidR="00BA7DA4" w:rsidRPr="00C94DB8" w:rsidRDefault="00CA3637" w:rsidP="00BA7DA4">
          <w:pPr>
            <w:pStyle w:val="TOC1"/>
            <w:rPr>
              <w:rFonts w:eastAsiaTheme="minorEastAsia" w:cstheme="minorBidi"/>
              <w:noProof/>
              <w:szCs w:val="22"/>
              <w:lang w:eastAsia="en-NZ"/>
            </w:rPr>
          </w:pPr>
          <w:hyperlink w:anchor="_Toc403833164" w:history="1">
            <w:r w:rsidR="00BA7DA4" w:rsidRPr="00C94DB8">
              <w:rPr>
                <w:rStyle w:val="Hyperlink"/>
                <w:rFonts w:cstheme="minorHAnsi"/>
                <w:noProof/>
                <w:szCs w:val="22"/>
              </w:rPr>
              <w:t>5.</w:t>
            </w:r>
            <w:r w:rsidR="00BA7DA4" w:rsidRPr="00C94DB8">
              <w:rPr>
                <w:rFonts w:eastAsiaTheme="minorEastAsia" w:cstheme="minorBidi"/>
                <w:noProof/>
                <w:szCs w:val="22"/>
                <w:lang w:eastAsia="en-NZ"/>
              </w:rPr>
              <w:tab/>
            </w:r>
            <w:r w:rsidR="00BA7DA4" w:rsidRPr="00C94DB8">
              <w:rPr>
                <w:rStyle w:val="Hyperlink"/>
                <w:rFonts w:cstheme="minorHAnsi"/>
                <w:noProof/>
                <w:szCs w:val="22"/>
              </w:rPr>
              <w:t>RESULTS: PROBLEMATIC GAMBLING</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_Toc403833164 \h </w:instrText>
            </w:r>
            <w:r w:rsidR="00BA7DA4" w:rsidRPr="00C94DB8">
              <w:rPr>
                <w:noProof/>
                <w:webHidden/>
                <w:szCs w:val="22"/>
              </w:rPr>
            </w:r>
            <w:r w:rsidR="00BA7DA4" w:rsidRPr="00C94DB8">
              <w:rPr>
                <w:noProof/>
                <w:webHidden/>
                <w:szCs w:val="22"/>
              </w:rPr>
              <w:fldChar w:fldCharType="separate"/>
            </w:r>
            <w:r w:rsidR="00AA25B9">
              <w:rPr>
                <w:noProof/>
                <w:webHidden/>
                <w:szCs w:val="22"/>
              </w:rPr>
              <w:t>61</w:t>
            </w:r>
            <w:r w:rsidR="00BA7DA4" w:rsidRPr="00C94DB8">
              <w:rPr>
                <w:noProof/>
                <w:webHidden/>
                <w:szCs w:val="22"/>
              </w:rPr>
              <w:fldChar w:fldCharType="end"/>
            </w:r>
          </w:hyperlink>
        </w:p>
        <w:p w14:paraId="21892003" w14:textId="77777777" w:rsidR="00BA7DA4" w:rsidRPr="00C94DB8" w:rsidRDefault="00CA3637" w:rsidP="00C94DB8">
          <w:pPr>
            <w:pStyle w:val="TOC2"/>
            <w:rPr>
              <w:rFonts w:eastAsiaTheme="minorEastAsia" w:cstheme="minorBidi"/>
              <w:lang w:eastAsia="en-NZ"/>
            </w:rPr>
          </w:pPr>
          <w:hyperlink w:anchor="_Toc403833165" w:history="1">
            <w:r w:rsidR="00BA7DA4" w:rsidRPr="00C94DB8">
              <w:rPr>
                <w:rStyle w:val="Hyperlink"/>
                <w:szCs w:val="22"/>
              </w:rPr>
              <w:t>5.1</w:t>
            </w:r>
            <w:r w:rsidR="00BA7DA4" w:rsidRPr="00C94DB8">
              <w:rPr>
                <w:rFonts w:eastAsiaTheme="minorEastAsia" w:cstheme="minorBidi"/>
                <w:lang w:eastAsia="en-NZ"/>
              </w:rPr>
              <w:tab/>
            </w:r>
            <w:r w:rsidR="00BA7DA4" w:rsidRPr="00C94DB8">
              <w:rPr>
                <w:rStyle w:val="Hyperlink"/>
                <w:szCs w:val="22"/>
              </w:rPr>
              <w:t>PGSI item endorsement and prevalence of problem gambling</w:t>
            </w:r>
            <w:r w:rsidR="00BA7DA4" w:rsidRPr="00C94DB8">
              <w:rPr>
                <w:webHidden/>
              </w:rPr>
              <w:tab/>
            </w:r>
            <w:r w:rsidR="00BA7DA4" w:rsidRPr="00C94DB8">
              <w:rPr>
                <w:webHidden/>
              </w:rPr>
              <w:fldChar w:fldCharType="begin"/>
            </w:r>
            <w:r w:rsidR="00BA7DA4" w:rsidRPr="00C94DB8">
              <w:rPr>
                <w:webHidden/>
              </w:rPr>
              <w:instrText xml:space="preserve"> PAGEREF _Toc403833165 \h </w:instrText>
            </w:r>
            <w:r w:rsidR="00BA7DA4" w:rsidRPr="00C94DB8">
              <w:rPr>
                <w:webHidden/>
              </w:rPr>
            </w:r>
            <w:r w:rsidR="00BA7DA4" w:rsidRPr="00C94DB8">
              <w:rPr>
                <w:webHidden/>
              </w:rPr>
              <w:fldChar w:fldCharType="separate"/>
            </w:r>
            <w:r w:rsidR="00AA25B9">
              <w:rPr>
                <w:webHidden/>
              </w:rPr>
              <w:t>61</w:t>
            </w:r>
            <w:r w:rsidR="00BA7DA4" w:rsidRPr="00C94DB8">
              <w:rPr>
                <w:webHidden/>
              </w:rPr>
              <w:fldChar w:fldCharType="end"/>
            </w:r>
          </w:hyperlink>
        </w:p>
        <w:p w14:paraId="249DDF85"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66" w:history="1">
            <w:r w:rsidR="00BA7DA4" w:rsidRPr="00C94DB8">
              <w:rPr>
                <w:rStyle w:val="Hyperlink"/>
                <w:rFonts w:asciiTheme="minorHAnsi" w:hAnsiTheme="minorHAnsi"/>
                <w:noProof/>
                <w:szCs w:val="22"/>
              </w:rPr>
              <w:t>5.1.1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Changes over time – comparison of 2006/07 and 2011/12 NZHS:  Prevalence of problem gambling</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_Toc403833166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63</w:t>
            </w:r>
            <w:r w:rsidR="00BA7DA4" w:rsidRPr="00C94DB8">
              <w:rPr>
                <w:rFonts w:asciiTheme="minorHAnsi" w:hAnsiTheme="minorHAnsi"/>
                <w:noProof/>
                <w:webHidden/>
                <w:szCs w:val="22"/>
              </w:rPr>
              <w:fldChar w:fldCharType="end"/>
            </w:r>
          </w:hyperlink>
        </w:p>
        <w:p w14:paraId="5794AF48" w14:textId="77777777" w:rsidR="00BA7DA4" w:rsidRPr="00C94DB8" w:rsidRDefault="00CA3637" w:rsidP="00C94DB8">
          <w:pPr>
            <w:pStyle w:val="TOC2"/>
            <w:rPr>
              <w:rFonts w:eastAsiaTheme="minorEastAsia" w:cstheme="minorBidi"/>
              <w:lang w:eastAsia="en-NZ"/>
            </w:rPr>
          </w:pPr>
          <w:hyperlink w:anchor="_Toc403833167" w:history="1">
            <w:r w:rsidR="00BA7DA4" w:rsidRPr="00C94DB8">
              <w:rPr>
                <w:rStyle w:val="Hyperlink"/>
                <w:szCs w:val="22"/>
              </w:rPr>
              <w:t>5.2</w:t>
            </w:r>
            <w:r w:rsidR="00BA7DA4" w:rsidRPr="00C94DB8">
              <w:rPr>
                <w:rFonts w:eastAsiaTheme="minorEastAsia" w:cstheme="minorBidi"/>
                <w:lang w:eastAsia="en-NZ"/>
              </w:rPr>
              <w:tab/>
            </w:r>
            <w:r w:rsidR="00BA7DA4" w:rsidRPr="00C94DB8">
              <w:rPr>
                <w:rStyle w:val="Hyperlink"/>
                <w:szCs w:val="22"/>
              </w:rPr>
              <w:t>Profile of people experiencing problem gambling</w:t>
            </w:r>
            <w:r w:rsidR="00BA7DA4" w:rsidRPr="00C94DB8">
              <w:rPr>
                <w:webHidden/>
              </w:rPr>
              <w:tab/>
            </w:r>
            <w:r w:rsidR="00BA7DA4" w:rsidRPr="00C94DB8">
              <w:rPr>
                <w:webHidden/>
              </w:rPr>
              <w:fldChar w:fldCharType="begin"/>
            </w:r>
            <w:r w:rsidR="00BA7DA4" w:rsidRPr="00C94DB8">
              <w:rPr>
                <w:webHidden/>
              </w:rPr>
              <w:instrText xml:space="preserve"> PAGEREF _Toc403833167 \h </w:instrText>
            </w:r>
            <w:r w:rsidR="00BA7DA4" w:rsidRPr="00C94DB8">
              <w:rPr>
                <w:webHidden/>
              </w:rPr>
            </w:r>
            <w:r w:rsidR="00BA7DA4" w:rsidRPr="00C94DB8">
              <w:rPr>
                <w:webHidden/>
              </w:rPr>
              <w:fldChar w:fldCharType="separate"/>
            </w:r>
            <w:r w:rsidR="00AA25B9">
              <w:rPr>
                <w:webHidden/>
              </w:rPr>
              <w:t>65</w:t>
            </w:r>
            <w:r w:rsidR="00BA7DA4" w:rsidRPr="00C94DB8">
              <w:rPr>
                <w:webHidden/>
              </w:rPr>
              <w:fldChar w:fldCharType="end"/>
            </w:r>
          </w:hyperlink>
        </w:p>
        <w:p w14:paraId="7E153F4F"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68" w:history="1">
            <w:r w:rsidR="00BA7DA4" w:rsidRPr="00C94DB8">
              <w:rPr>
                <w:rStyle w:val="Hyperlink"/>
                <w:rFonts w:asciiTheme="minorHAnsi" w:hAnsiTheme="minorHAnsi"/>
                <w:noProof/>
                <w:szCs w:val="22"/>
              </w:rPr>
              <w:t>5.2.1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gender</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_Toc403833168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65</w:t>
            </w:r>
            <w:r w:rsidR="00BA7DA4" w:rsidRPr="00C94DB8">
              <w:rPr>
                <w:rFonts w:asciiTheme="minorHAnsi" w:hAnsiTheme="minorHAnsi"/>
                <w:noProof/>
                <w:webHidden/>
                <w:szCs w:val="22"/>
              </w:rPr>
              <w:fldChar w:fldCharType="end"/>
            </w:r>
          </w:hyperlink>
        </w:p>
        <w:p w14:paraId="102AB7F5"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69" w:history="1">
            <w:r w:rsidR="00BA7DA4" w:rsidRPr="00C94DB8">
              <w:rPr>
                <w:rStyle w:val="Hyperlink"/>
                <w:rFonts w:asciiTheme="minorHAnsi" w:hAnsiTheme="minorHAnsi"/>
                <w:noProof/>
                <w:szCs w:val="22"/>
              </w:rPr>
              <w:t>5.2.2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age-group</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_Toc403833169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66</w:t>
            </w:r>
            <w:r w:rsidR="00BA7DA4" w:rsidRPr="00C94DB8">
              <w:rPr>
                <w:rFonts w:asciiTheme="minorHAnsi" w:hAnsiTheme="minorHAnsi"/>
                <w:noProof/>
                <w:webHidden/>
                <w:szCs w:val="22"/>
              </w:rPr>
              <w:fldChar w:fldCharType="end"/>
            </w:r>
          </w:hyperlink>
        </w:p>
        <w:p w14:paraId="51DFE807"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70" w:history="1">
            <w:r w:rsidR="00BA7DA4" w:rsidRPr="00C94DB8">
              <w:rPr>
                <w:rStyle w:val="Hyperlink"/>
                <w:rFonts w:asciiTheme="minorHAnsi" w:hAnsiTheme="minorHAnsi"/>
                <w:noProof/>
                <w:szCs w:val="22"/>
              </w:rPr>
              <w:t>5.2.3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ethnicity</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_Toc403833170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68</w:t>
            </w:r>
            <w:r w:rsidR="00BA7DA4" w:rsidRPr="00C94DB8">
              <w:rPr>
                <w:rFonts w:asciiTheme="minorHAnsi" w:hAnsiTheme="minorHAnsi"/>
                <w:noProof/>
                <w:webHidden/>
                <w:szCs w:val="22"/>
              </w:rPr>
              <w:fldChar w:fldCharType="end"/>
            </w:r>
          </w:hyperlink>
        </w:p>
        <w:p w14:paraId="15D52CF6"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71" w:history="1">
            <w:r w:rsidR="00BA7DA4" w:rsidRPr="00C94DB8">
              <w:rPr>
                <w:rStyle w:val="Hyperlink"/>
                <w:rFonts w:asciiTheme="minorHAnsi" w:hAnsiTheme="minorHAnsi"/>
                <w:noProof/>
                <w:szCs w:val="22"/>
              </w:rPr>
              <w:t>5.2.4</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neighbourhood deprivation</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_Toc403833171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71</w:t>
            </w:r>
            <w:r w:rsidR="00BA7DA4" w:rsidRPr="00C94DB8">
              <w:rPr>
                <w:rFonts w:asciiTheme="minorHAnsi" w:hAnsiTheme="minorHAnsi"/>
                <w:noProof/>
                <w:webHidden/>
                <w:szCs w:val="22"/>
              </w:rPr>
              <w:fldChar w:fldCharType="end"/>
            </w:r>
          </w:hyperlink>
        </w:p>
        <w:p w14:paraId="2E2A99BB"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72" w:history="1">
            <w:r w:rsidR="00BA7DA4" w:rsidRPr="00C94DB8">
              <w:rPr>
                <w:rStyle w:val="Hyperlink"/>
                <w:rFonts w:asciiTheme="minorHAnsi" w:hAnsiTheme="minorHAnsi"/>
                <w:noProof/>
                <w:szCs w:val="22"/>
              </w:rPr>
              <w:t>5.2.5</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geography</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_Toc403833172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72</w:t>
            </w:r>
            <w:r w:rsidR="00BA7DA4" w:rsidRPr="00C94DB8">
              <w:rPr>
                <w:rFonts w:asciiTheme="minorHAnsi" w:hAnsiTheme="minorHAnsi"/>
                <w:noProof/>
                <w:webHidden/>
                <w:szCs w:val="22"/>
              </w:rPr>
              <w:fldChar w:fldCharType="end"/>
            </w:r>
          </w:hyperlink>
        </w:p>
        <w:p w14:paraId="335875E6" w14:textId="77777777" w:rsidR="00BA7DA4" w:rsidRPr="00C94DB8" w:rsidRDefault="00CA3637" w:rsidP="00C94DB8">
          <w:pPr>
            <w:pStyle w:val="TOC2"/>
            <w:rPr>
              <w:rFonts w:eastAsiaTheme="minorEastAsia" w:cstheme="minorBidi"/>
              <w:lang w:eastAsia="en-NZ"/>
            </w:rPr>
          </w:pPr>
          <w:hyperlink w:anchor="_Toc403833173" w:history="1">
            <w:r w:rsidR="00BA7DA4" w:rsidRPr="00C94DB8">
              <w:rPr>
                <w:rStyle w:val="Hyperlink"/>
                <w:szCs w:val="22"/>
              </w:rPr>
              <w:t>5.3</w:t>
            </w:r>
            <w:r w:rsidR="00BA7DA4" w:rsidRPr="00C94DB8">
              <w:rPr>
                <w:rFonts w:eastAsiaTheme="minorEastAsia" w:cstheme="minorBidi"/>
                <w:lang w:eastAsia="en-NZ"/>
              </w:rPr>
              <w:tab/>
            </w:r>
            <w:r w:rsidR="00BA7DA4" w:rsidRPr="00C94DB8">
              <w:rPr>
                <w:rStyle w:val="Hyperlink"/>
                <w:szCs w:val="22"/>
              </w:rPr>
              <w:t>Problem gambling – risks associated with different gambling activities</w:t>
            </w:r>
            <w:r w:rsidR="00BA7DA4" w:rsidRPr="00C94DB8">
              <w:rPr>
                <w:webHidden/>
              </w:rPr>
              <w:tab/>
            </w:r>
            <w:r w:rsidR="00BA7DA4" w:rsidRPr="00C94DB8">
              <w:rPr>
                <w:webHidden/>
              </w:rPr>
              <w:fldChar w:fldCharType="begin"/>
            </w:r>
            <w:r w:rsidR="00BA7DA4" w:rsidRPr="00C94DB8">
              <w:rPr>
                <w:webHidden/>
              </w:rPr>
              <w:instrText xml:space="preserve"> PAGEREF _Toc403833173 \h </w:instrText>
            </w:r>
            <w:r w:rsidR="00BA7DA4" w:rsidRPr="00C94DB8">
              <w:rPr>
                <w:webHidden/>
              </w:rPr>
            </w:r>
            <w:r w:rsidR="00BA7DA4" w:rsidRPr="00C94DB8">
              <w:rPr>
                <w:webHidden/>
              </w:rPr>
              <w:fldChar w:fldCharType="separate"/>
            </w:r>
            <w:r w:rsidR="00AA25B9">
              <w:rPr>
                <w:webHidden/>
              </w:rPr>
              <w:t>72</w:t>
            </w:r>
            <w:r w:rsidR="00BA7DA4" w:rsidRPr="00C94DB8">
              <w:rPr>
                <w:webHidden/>
              </w:rPr>
              <w:fldChar w:fldCharType="end"/>
            </w:r>
          </w:hyperlink>
        </w:p>
        <w:p w14:paraId="63AFBFA9" w14:textId="77777777" w:rsidR="00BA7DA4" w:rsidRPr="00C94DB8" w:rsidRDefault="00CA3637" w:rsidP="00C94DB8">
          <w:pPr>
            <w:pStyle w:val="TOC2"/>
            <w:rPr>
              <w:rFonts w:eastAsiaTheme="minorEastAsia" w:cstheme="minorBidi"/>
              <w:lang w:eastAsia="en-NZ"/>
            </w:rPr>
          </w:pPr>
          <w:hyperlink w:anchor="_Toc403833174" w:history="1">
            <w:r w:rsidR="00BA7DA4" w:rsidRPr="00C94DB8">
              <w:rPr>
                <w:rStyle w:val="Hyperlink"/>
                <w:szCs w:val="22"/>
              </w:rPr>
              <w:t>5.4</w:t>
            </w:r>
            <w:r w:rsidR="00BA7DA4" w:rsidRPr="00C94DB8">
              <w:rPr>
                <w:rFonts w:eastAsiaTheme="minorEastAsia" w:cstheme="minorBidi"/>
                <w:lang w:eastAsia="en-NZ"/>
              </w:rPr>
              <w:tab/>
            </w:r>
            <w:r w:rsidR="00BA7DA4" w:rsidRPr="00C94DB8">
              <w:rPr>
                <w:rStyle w:val="Hyperlink"/>
                <w:szCs w:val="22"/>
              </w:rPr>
              <w:t>Problem gambling and number of gambling activities</w:t>
            </w:r>
            <w:r w:rsidR="00BA7DA4" w:rsidRPr="00C94DB8">
              <w:rPr>
                <w:webHidden/>
              </w:rPr>
              <w:tab/>
            </w:r>
            <w:r w:rsidR="00BA7DA4" w:rsidRPr="00C94DB8">
              <w:rPr>
                <w:webHidden/>
              </w:rPr>
              <w:fldChar w:fldCharType="begin"/>
            </w:r>
            <w:r w:rsidR="00BA7DA4" w:rsidRPr="00C94DB8">
              <w:rPr>
                <w:webHidden/>
              </w:rPr>
              <w:instrText xml:space="preserve"> PAGEREF _Toc403833174 \h </w:instrText>
            </w:r>
            <w:r w:rsidR="00BA7DA4" w:rsidRPr="00C94DB8">
              <w:rPr>
                <w:webHidden/>
              </w:rPr>
            </w:r>
            <w:r w:rsidR="00BA7DA4" w:rsidRPr="00C94DB8">
              <w:rPr>
                <w:webHidden/>
              </w:rPr>
              <w:fldChar w:fldCharType="separate"/>
            </w:r>
            <w:r w:rsidR="00AA25B9">
              <w:rPr>
                <w:webHidden/>
              </w:rPr>
              <w:t>76</w:t>
            </w:r>
            <w:r w:rsidR="00BA7DA4" w:rsidRPr="00C94DB8">
              <w:rPr>
                <w:webHidden/>
              </w:rPr>
              <w:fldChar w:fldCharType="end"/>
            </w:r>
          </w:hyperlink>
        </w:p>
        <w:p w14:paraId="68589EB1" w14:textId="77777777" w:rsidR="00BA7DA4" w:rsidRPr="00C94DB8" w:rsidRDefault="00CA3637" w:rsidP="00C94DB8">
          <w:pPr>
            <w:pStyle w:val="TOC2"/>
            <w:rPr>
              <w:rFonts w:eastAsiaTheme="minorEastAsia" w:cstheme="minorBidi"/>
              <w:lang w:eastAsia="en-NZ"/>
            </w:rPr>
          </w:pPr>
          <w:hyperlink w:anchor="_Toc403833175" w:history="1">
            <w:r w:rsidR="00BA7DA4" w:rsidRPr="00C94DB8">
              <w:rPr>
                <w:rStyle w:val="Hyperlink"/>
                <w:szCs w:val="22"/>
              </w:rPr>
              <w:t>5.5</w:t>
            </w:r>
            <w:r w:rsidR="00BA7DA4" w:rsidRPr="00C94DB8">
              <w:rPr>
                <w:rFonts w:eastAsiaTheme="minorEastAsia" w:cstheme="minorBidi"/>
                <w:lang w:eastAsia="en-NZ"/>
              </w:rPr>
              <w:tab/>
            </w:r>
            <w:r w:rsidR="00BA7DA4" w:rsidRPr="00C94DB8">
              <w:rPr>
                <w:rStyle w:val="Hyperlink"/>
                <w:szCs w:val="22"/>
              </w:rPr>
              <w:t>SUMMARY: PROBLEMATIC GAMBLING</w:t>
            </w:r>
            <w:r w:rsidR="00BA7DA4" w:rsidRPr="00C94DB8">
              <w:rPr>
                <w:webHidden/>
              </w:rPr>
              <w:tab/>
            </w:r>
            <w:r w:rsidR="00BA7DA4" w:rsidRPr="00C94DB8">
              <w:rPr>
                <w:webHidden/>
              </w:rPr>
              <w:fldChar w:fldCharType="begin"/>
            </w:r>
            <w:r w:rsidR="00BA7DA4" w:rsidRPr="00C94DB8">
              <w:rPr>
                <w:webHidden/>
              </w:rPr>
              <w:instrText xml:space="preserve"> PAGEREF _Toc403833175 \h </w:instrText>
            </w:r>
            <w:r w:rsidR="00BA7DA4" w:rsidRPr="00C94DB8">
              <w:rPr>
                <w:webHidden/>
              </w:rPr>
            </w:r>
            <w:r w:rsidR="00BA7DA4" w:rsidRPr="00C94DB8">
              <w:rPr>
                <w:webHidden/>
              </w:rPr>
              <w:fldChar w:fldCharType="separate"/>
            </w:r>
            <w:r w:rsidR="00AA25B9">
              <w:rPr>
                <w:webHidden/>
              </w:rPr>
              <w:t>77</w:t>
            </w:r>
            <w:r w:rsidR="00BA7DA4" w:rsidRPr="00C94DB8">
              <w:rPr>
                <w:webHidden/>
              </w:rPr>
              <w:fldChar w:fldCharType="end"/>
            </w:r>
          </w:hyperlink>
        </w:p>
        <w:p w14:paraId="2ACCE683" w14:textId="77777777" w:rsidR="00BA7DA4" w:rsidRPr="00C94DB8" w:rsidRDefault="00CA3637" w:rsidP="00BA7DA4">
          <w:pPr>
            <w:pStyle w:val="TOC1"/>
            <w:rPr>
              <w:rFonts w:eastAsiaTheme="minorEastAsia" w:cstheme="minorBidi"/>
              <w:noProof/>
              <w:szCs w:val="22"/>
              <w:lang w:eastAsia="en-NZ"/>
            </w:rPr>
          </w:pPr>
          <w:hyperlink w:anchor="_Toc403833176" w:history="1">
            <w:r w:rsidR="00BA7DA4" w:rsidRPr="00C94DB8">
              <w:rPr>
                <w:rStyle w:val="Hyperlink"/>
                <w:rFonts w:cstheme="minorHAnsi"/>
                <w:noProof/>
                <w:szCs w:val="22"/>
              </w:rPr>
              <w:t>6.</w:t>
            </w:r>
            <w:r w:rsidR="00BA7DA4" w:rsidRPr="00C94DB8">
              <w:rPr>
                <w:rFonts w:eastAsiaTheme="minorEastAsia" w:cstheme="minorBidi"/>
                <w:noProof/>
                <w:szCs w:val="22"/>
                <w:lang w:eastAsia="en-NZ"/>
              </w:rPr>
              <w:tab/>
            </w:r>
            <w:r w:rsidR="00BA7DA4" w:rsidRPr="00C94DB8">
              <w:rPr>
                <w:rStyle w:val="Hyperlink"/>
                <w:rFonts w:cstheme="minorHAnsi"/>
                <w:noProof/>
                <w:szCs w:val="22"/>
              </w:rPr>
              <w:t>RESULTS: ECOLOGICAL FACTORS AND PROBLEMATIC GAMBLING</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_Toc403833176 \h </w:instrText>
            </w:r>
            <w:r w:rsidR="00BA7DA4" w:rsidRPr="00C94DB8">
              <w:rPr>
                <w:noProof/>
                <w:webHidden/>
                <w:szCs w:val="22"/>
              </w:rPr>
            </w:r>
            <w:r w:rsidR="00BA7DA4" w:rsidRPr="00C94DB8">
              <w:rPr>
                <w:noProof/>
                <w:webHidden/>
                <w:szCs w:val="22"/>
              </w:rPr>
              <w:fldChar w:fldCharType="separate"/>
            </w:r>
            <w:r w:rsidR="00AA25B9">
              <w:rPr>
                <w:noProof/>
                <w:webHidden/>
                <w:szCs w:val="22"/>
              </w:rPr>
              <w:t>80</w:t>
            </w:r>
            <w:r w:rsidR="00BA7DA4" w:rsidRPr="00C94DB8">
              <w:rPr>
                <w:noProof/>
                <w:webHidden/>
                <w:szCs w:val="22"/>
              </w:rPr>
              <w:fldChar w:fldCharType="end"/>
            </w:r>
          </w:hyperlink>
        </w:p>
        <w:p w14:paraId="11B3ECE2" w14:textId="77777777" w:rsidR="00BA7DA4" w:rsidRPr="00C94DB8" w:rsidRDefault="00CA3637" w:rsidP="00C94DB8">
          <w:pPr>
            <w:pStyle w:val="TOC2"/>
            <w:rPr>
              <w:rFonts w:eastAsiaTheme="minorEastAsia" w:cstheme="minorBidi"/>
              <w:lang w:eastAsia="en-NZ"/>
            </w:rPr>
          </w:pPr>
          <w:hyperlink w:anchor="_Toc403833177" w:history="1">
            <w:r w:rsidR="00BA7DA4" w:rsidRPr="00C94DB8">
              <w:rPr>
                <w:rStyle w:val="Hyperlink"/>
                <w:szCs w:val="22"/>
              </w:rPr>
              <w:t>6.1</w:t>
            </w:r>
            <w:r w:rsidR="00BA7DA4" w:rsidRPr="00C94DB8">
              <w:rPr>
                <w:rFonts w:eastAsiaTheme="minorEastAsia" w:cstheme="minorBidi"/>
                <w:lang w:eastAsia="en-NZ"/>
              </w:rPr>
              <w:tab/>
            </w:r>
            <w:r w:rsidR="00BA7DA4" w:rsidRPr="00C94DB8">
              <w:rPr>
                <w:rStyle w:val="Hyperlink"/>
                <w:szCs w:val="22"/>
              </w:rPr>
              <w:t>Socio-demographics and gambling</w:t>
            </w:r>
            <w:r w:rsidR="00BA7DA4" w:rsidRPr="00C94DB8">
              <w:rPr>
                <w:webHidden/>
              </w:rPr>
              <w:tab/>
            </w:r>
            <w:r w:rsidR="00BA7DA4" w:rsidRPr="00C94DB8">
              <w:rPr>
                <w:webHidden/>
              </w:rPr>
              <w:fldChar w:fldCharType="begin"/>
            </w:r>
            <w:r w:rsidR="00BA7DA4" w:rsidRPr="00C94DB8">
              <w:rPr>
                <w:webHidden/>
              </w:rPr>
              <w:instrText xml:space="preserve"> PAGEREF _Toc403833177 \h </w:instrText>
            </w:r>
            <w:r w:rsidR="00BA7DA4" w:rsidRPr="00C94DB8">
              <w:rPr>
                <w:webHidden/>
              </w:rPr>
            </w:r>
            <w:r w:rsidR="00BA7DA4" w:rsidRPr="00C94DB8">
              <w:rPr>
                <w:webHidden/>
              </w:rPr>
              <w:fldChar w:fldCharType="separate"/>
            </w:r>
            <w:r w:rsidR="00AA25B9">
              <w:rPr>
                <w:webHidden/>
              </w:rPr>
              <w:t>80</w:t>
            </w:r>
            <w:r w:rsidR="00BA7DA4" w:rsidRPr="00C94DB8">
              <w:rPr>
                <w:webHidden/>
              </w:rPr>
              <w:fldChar w:fldCharType="end"/>
            </w:r>
          </w:hyperlink>
        </w:p>
        <w:p w14:paraId="3E9363E8" w14:textId="77777777" w:rsidR="00BA7DA4" w:rsidRPr="00C94DB8" w:rsidRDefault="00CA3637" w:rsidP="00C94DB8">
          <w:pPr>
            <w:pStyle w:val="TOC2"/>
            <w:rPr>
              <w:rFonts w:eastAsiaTheme="minorEastAsia" w:cstheme="minorBidi"/>
              <w:lang w:eastAsia="en-NZ"/>
            </w:rPr>
          </w:pPr>
          <w:hyperlink w:anchor="_Toc403833178" w:history="1">
            <w:r w:rsidR="00BA7DA4" w:rsidRPr="00C94DB8">
              <w:rPr>
                <w:rStyle w:val="Hyperlink"/>
                <w:szCs w:val="22"/>
              </w:rPr>
              <w:t>6.2</w:t>
            </w:r>
            <w:r w:rsidR="00BA7DA4" w:rsidRPr="00C94DB8">
              <w:rPr>
                <w:rFonts w:eastAsiaTheme="minorEastAsia" w:cstheme="minorBidi"/>
                <w:lang w:eastAsia="en-NZ"/>
              </w:rPr>
              <w:tab/>
            </w:r>
            <w:r w:rsidR="00BA7DA4" w:rsidRPr="00C94DB8">
              <w:rPr>
                <w:rStyle w:val="Hyperlink"/>
                <w:szCs w:val="22"/>
              </w:rPr>
              <w:t>Other dangerous consumptions and gambling</w:t>
            </w:r>
            <w:r w:rsidR="00BA7DA4" w:rsidRPr="00C94DB8">
              <w:rPr>
                <w:webHidden/>
              </w:rPr>
              <w:tab/>
            </w:r>
            <w:r w:rsidR="00BA7DA4" w:rsidRPr="00C94DB8">
              <w:rPr>
                <w:webHidden/>
              </w:rPr>
              <w:fldChar w:fldCharType="begin"/>
            </w:r>
            <w:r w:rsidR="00BA7DA4" w:rsidRPr="00C94DB8">
              <w:rPr>
                <w:webHidden/>
              </w:rPr>
              <w:instrText xml:space="preserve"> PAGEREF _Toc403833178 \h </w:instrText>
            </w:r>
            <w:r w:rsidR="00BA7DA4" w:rsidRPr="00C94DB8">
              <w:rPr>
                <w:webHidden/>
              </w:rPr>
            </w:r>
            <w:r w:rsidR="00BA7DA4" w:rsidRPr="00C94DB8">
              <w:rPr>
                <w:webHidden/>
              </w:rPr>
              <w:fldChar w:fldCharType="separate"/>
            </w:r>
            <w:r w:rsidR="00AA25B9">
              <w:rPr>
                <w:webHidden/>
              </w:rPr>
              <w:t>81</w:t>
            </w:r>
            <w:r w:rsidR="00BA7DA4" w:rsidRPr="00C94DB8">
              <w:rPr>
                <w:webHidden/>
              </w:rPr>
              <w:fldChar w:fldCharType="end"/>
            </w:r>
          </w:hyperlink>
        </w:p>
        <w:p w14:paraId="376C91E6"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79" w:history="1">
            <w:r w:rsidR="00BA7DA4" w:rsidRPr="00C94DB8">
              <w:rPr>
                <w:rStyle w:val="Hyperlink"/>
                <w:rFonts w:asciiTheme="minorHAnsi" w:hAnsiTheme="minorHAnsi"/>
                <w:noProof/>
                <w:szCs w:val="22"/>
              </w:rPr>
              <w:t>6.2.1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Alcohol</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_Toc403833179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81</w:t>
            </w:r>
            <w:r w:rsidR="00BA7DA4" w:rsidRPr="00C94DB8">
              <w:rPr>
                <w:rFonts w:asciiTheme="minorHAnsi" w:hAnsiTheme="minorHAnsi"/>
                <w:noProof/>
                <w:webHidden/>
                <w:szCs w:val="22"/>
              </w:rPr>
              <w:fldChar w:fldCharType="end"/>
            </w:r>
          </w:hyperlink>
        </w:p>
        <w:p w14:paraId="5B25FD7E"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0" w:history="1">
            <w:r w:rsidR="00BA7DA4" w:rsidRPr="00C94DB8">
              <w:rPr>
                <w:rStyle w:val="Hyperlink"/>
                <w:rFonts w:asciiTheme="minorHAnsi" w:hAnsiTheme="minorHAnsi"/>
                <w:noProof/>
                <w:szCs w:val="22"/>
              </w:rPr>
              <w:t>6.2.2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Smoking</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_Toc403833180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83</w:t>
            </w:r>
            <w:r w:rsidR="00BA7DA4" w:rsidRPr="00C94DB8">
              <w:rPr>
                <w:rFonts w:asciiTheme="minorHAnsi" w:hAnsiTheme="minorHAnsi"/>
                <w:noProof/>
                <w:webHidden/>
                <w:szCs w:val="22"/>
              </w:rPr>
              <w:fldChar w:fldCharType="end"/>
            </w:r>
          </w:hyperlink>
        </w:p>
        <w:p w14:paraId="5B7ABBEA"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1" w:history="1">
            <w:r w:rsidR="00BA7DA4" w:rsidRPr="00C94DB8">
              <w:rPr>
                <w:rStyle w:val="Hyperlink"/>
                <w:rFonts w:asciiTheme="minorHAnsi" w:hAnsiTheme="minorHAnsi"/>
                <w:noProof/>
                <w:szCs w:val="22"/>
              </w:rPr>
              <w:t>6.2.3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Drug use</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_Toc403833181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84</w:t>
            </w:r>
            <w:r w:rsidR="00BA7DA4" w:rsidRPr="00C94DB8">
              <w:rPr>
                <w:rFonts w:asciiTheme="minorHAnsi" w:hAnsiTheme="minorHAnsi"/>
                <w:noProof/>
                <w:webHidden/>
                <w:szCs w:val="22"/>
              </w:rPr>
              <w:fldChar w:fldCharType="end"/>
            </w:r>
          </w:hyperlink>
        </w:p>
        <w:p w14:paraId="0E87E47D" w14:textId="77777777" w:rsidR="00BA7DA4" w:rsidRPr="00C94DB8" w:rsidRDefault="00CA3637" w:rsidP="00C94DB8">
          <w:pPr>
            <w:pStyle w:val="TOC2"/>
            <w:rPr>
              <w:rFonts w:eastAsiaTheme="minorEastAsia" w:cstheme="minorBidi"/>
              <w:lang w:eastAsia="en-NZ"/>
            </w:rPr>
          </w:pPr>
          <w:hyperlink w:anchor="_Toc403833182" w:history="1">
            <w:r w:rsidR="00BA7DA4" w:rsidRPr="00C94DB8">
              <w:rPr>
                <w:rStyle w:val="Hyperlink"/>
                <w:szCs w:val="22"/>
              </w:rPr>
              <w:t>6.3</w:t>
            </w:r>
            <w:r w:rsidR="00BA7DA4" w:rsidRPr="00C94DB8">
              <w:rPr>
                <w:rFonts w:eastAsiaTheme="minorEastAsia" w:cstheme="minorBidi"/>
                <w:lang w:eastAsia="en-NZ"/>
              </w:rPr>
              <w:tab/>
            </w:r>
            <w:r w:rsidR="00BA7DA4" w:rsidRPr="00C94DB8">
              <w:rPr>
                <w:rStyle w:val="Hyperlink"/>
                <w:szCs w:val="22"/>
              </w:rPr>
              <w:t>Health and gambling</w:t>
            </w:r>
            <w:r w:rsidR="00BA7DA4" w:rsidRPr="00C94DB8">
              <w:rPr>
                <w:webHidden/>
              </w:rPr>
              <w:tab/>
            </w:r>
            <w:r w:rsidR="00BA7DA4" w:rsidRPr="00C94DB8">
              <w:rPr>
                <w:webHidden/>
              </w:rPr>
              <w:fldChar w:fldCharType="begin"/>
            </w:r>
            <w:r w:rsidR="00BA7DA4" w:rsidRPr="00C94DB8">
              <w:rPr>
                <w:webHidden/>
              </w:rPr>
              <w:instrText xml:space="preserve"> PAGEREF _Toc403833182 \h </w:instrText>
            </w:r>
            <w:r w:rsidR="00BA7DA4" w:rsidRPr="00C94DB8">
              <w:rPr>
                <w:webHidden/>
              </w:rPr>
            </w:r>
            <w:r w:rsidR="00BA7DA4" w:rsidRPr="00C94DB8">
              <w:rPr>
                <w:webHidden/>
              </w:rPr>
              <w:fldChar w:fldCharType="separate"/>
            </w:r>
            <w:r w:rsidR="00AA25B9">
              <w:rPr>
                <w:webHidden/>
              </w:rPr>
              <w:t>86</w:t>
            </w:r>
            <w:r w:rsidR="00BA7DA4" w:rsidRPr="00C94DB8">
              <w:rPr>
                <w:webHidden/>
              </w:rPr>
              <w:fldChar w:fldCharType="end"/>
            </w:r>
          </w:hyperlink>
        </w:p>
        <w:p w14:paraId="0E555925"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3" w:history="1">
            <w:r w:rsidR="00BA7DA4" w:rsidRPr="00C94DB8">
              <w:rPr>
                <w:rStyle w:val="Hyperlink"/>
                <w:rFonts w:asciiTheme="minorHAnsi" w:hAnsiTheme="minorHAnsi"/>
                <w:noProof/>
                <w:szCs w:val="22"/>
              </w:rPr>
              <w:t>6.3.1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SF-12 Health Survey</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_Toc403833183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86</w:t>
            </w:r>
            <w:r w:rsidR="00BA7DA4" w:rsidRPr="00C94DB8">
              <w:rPr>
                <w:rFonts w:asciiTheme="minorHAnsi" w:hAnsiTheme="minorHAnsi"/>
                <w:noProof/>
                <w:webHidden/>
                <w:szCs w:val="22"/>
              </w:rPr>
              <w:fldChar w:fldCharType="end"/>
            </w:r>
          </w:hyperlink>
        </w:p>
        <w:p w14:paraId="7B4989B9"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4" w:history="1">
            <w:r w:rsidR="00BA7DA4" w:rsidRPr="00C94DB8">
              <w:rPr>
                <w:rStyle w:val="Hyperlink"/>
                <w:rFonts w:asciiTheme="minorHAnsi" w:hAnsiTheme="minorHAnsi"/>
                <w:noProof/>
                <w:szCs w:val="22"/>
              </w:rPr>
              <w:t>6.3.2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Self-rated health</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_Toc403833184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88</w:t>
            </w:r>
            <w:r w:rsidR="00BA7DA4" w:rsidRPr="00C94DB8">
              <w:rPr>
                <w:rFonts w:asciiTheme="minorHAnsi" w:hAnsiTheme="minorHAnsi"/>
                <w:noProof/>
                <w:webHidden/>
                <w:szCs w:val="22"/>
              </w:rPr>
              <w:fldChar w:fldCharType="end"/>
            </w:r>
          </w:hyperlink>
        </w:p>
        <w:p w14:paraId="4F3581A1"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5" w:history="1">
            <w:r w:rsidR="00BA7DA4" w:rsidRPr="00C94DB8">
              <w:rPr>
                <w:rStyle w:val="Hyperlink"/>
                <w:rFonts w:asciiTheme="minorHAnsi" w:hAnsiTheme="minorHAnsi"/>
                <w:noProof/>
                <w:szCs w:val="22"/>
              </w:rPr>
              <w:t>6.3.3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Psychological distress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_Toc403833185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89</w:t>
            </w:r>
            <w:r w:rsidR="00BA7DA4" w:rsidRPr="00C94DB8">
              <w:rPr>
                <w:rFonts w:asciiTheme="minorHAnsi" w:hAnsiTheme="minorHAnsi"/>
                <w:noProof/>
                <w:webHidden/>
                <w:szCs w:val="22"/>
              </w:rPr>
              <w:fldChar w:fldCharType="end"/>
            </w:r>
          </w:hyperlink>
        </w:p>
        <w:p w14:paraId="52BAEE68"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6" w:history="1">
            <w:r w:rsidR="00BA7DA4" w:rsidRPr="00C94DB8">
              <w:rPr>
                <w:rStyle w:val="Hyperlink"/>
                <w:rFonts w:asciiTheme="minorHAnsi" w:hAnsiTheme="minorHAnsi"/>
                <w:noProof/>
                <w:szCs w:val="22"/>
              </w:rPr>
              <w:t>6.3.4</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Diagnosis of a common mental health disorder by a doctor</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_Toc403833186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90</w:t>
            </w:r>
            <w:r w:rsidR="00BA7DA4" w:rsidRPr="00C94DB8">
              <w:rPr>
                <w:rFonts w:asciiTheme="minorHAnsi" w:hAnsiTheme="minorHAnsi"/>
                <w:noProof/>
                <w:webHidden/>
                <w:szCs w:val="22"/>
              </w:rPr>
              <w:fldChar w:fldCharType="end"/>
            </w:r>
          </w:hyperlink>
        </w:p>
        <w:p w14:paraId="6858DB5A" w14:textId="77777777" w:rsidR="00BA7DA4" w:rsidRPr="00C94DB8" w:rsidRDefault="00CA3637" w:rsidP="00C94DB8">
          <w:pPr>
            <w:pStyle w:val="TOC2"/>
            <w:rPr>
              <w:rFonts w:eastAsiaTheme="minorEastAsia" w:cstheme="minorBidi"/>
              <w:lang w:eastAsia="en-NZ"/>
            </w:rPr>
          </w:pPr>
          <w:hyperlink w:anchor="_Toc403833187" w:history="1">
            <w:r w:rsidR="00BA7DA4" w:rsidRPr="00C94DB8">
              <w:rPr>
                <w:rStyle w:val="Hyperlink"/>
                <w:szCs w:val="22"/>
              </w:rPr>
              <w:t>6.4</w:t>
            </w:r>
            <w:r w:rsidR="00BA7DA4" w:rsidRPr="00C94DB8">
              <w:rPr>
                <w:rFonts w:eastAsiaTheme="minorEastAsia" w:cstheme="minorBidi"/>
                <w:lang w:eastAsia="en-NZ"/>
              </w:rPr>
              <w:tab/>
            </w:r>
            <w:r w:rsidR="00BA7DA4" w:rsidRPr="00C94DB8">
              <w:rPr>
                <w:rStyle w:val="Hyperlink"/>
                <w:szCs w:val="22"/>
              </w:rPr>
              <w:t>Use of health services and gambling</w:t>
            </w:r>
            <w:r w:rsidR="00BA7DA4" w:rsidRPr="00C94DB8">
              <w:rPr>
                <w:webHidden/>
              </w:rPr>
              <w:tab/>
            </w:r>
            <w:r w:rsidR="00BA7DA4" w:rsidRPr="00C94DB8">
              <w:rPr>
                <w:webHidden/>
              </w:rPr>
              <w:fldChar w:fldCharType="begin"/>
            </w:r>
            <w:r w:rsidR="00BA7DA4" w:rsidRPr="00C94DB8">
              <w:rPr>
                <w:webHidden/>
              </w:rPr>
              <w:instrText xml:space="preserve"> PAGEREF _Toc403833187 \h </w:instrText>
            </w:r>
            <w:r w:rsidR="00BA7DA4" w:rsidRPr="00C94DB8">
              <w:rPr>
                <w:webHidden/>
              </w:rPr>
            </w:r>
            <w:r w:rsidR="00BA7DA4" w:rsidRPr="00C94DB8">
              <w:rPr>
                <w:webHidden/>
              </w:rPr>
              <w:fldChar w:fldCharType="separate"/>
            </w:r>
            <w:r w:rsidR="00AA25B9">
              <w:rPr>
                <w:webHidden/>
              </w:rPr>
              <w:t>92</w:t>
            </w:r>
            <w:r w:rsidR="00BA7DA4" w:rsidRPr="00C94DB8">
              <w:rPr>
                <w:webHidden/>
              </w:rPr>
              <w:fldChar w:fldCharType="end"/>
            </w:r>
          </w:hyperlink>
        </w:p>
        <w:p w14:paraId="33E40827"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8" w:history="1">
            <w:r w:rsidR="00BA7DA4" w:rsidRPr="00C94DB8">
              <w:rPr>
                <w:rStyle w:val="Hyperlink"/>
                <w:rFonts w:asciiTheme="minorHAnsi" w:hAnsiTheme="minorHAnsi"/>
                <w:noProof/>
                <w:szCs w:val="22"/>
              </w:rPr>
              <w:t>6.4.1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General practitioner use</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_Toc403833188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92</w:t>
            </w:r>
            <w:r w:rsidR="00BA7DA4" w:rsidRPr="00C94DB8">
              <w:rPr>
                <w:rFonts w:asciiTheme="minorHAnsi" w:hAnsiTheme="minorHAnsi"/>
                <w:noProof/>
                <w:webHidden/>
                <w:szCs w:val="22"/>
              </w:rPr>
              <w:fldChar w:fldCharType="end"/>
            </w:r>
          </w:hyperlink>
        </w:p>
        <w:p w14:paraId="4E198EB1" w14:textId="77777777" w:rsidR="00BA7DA4" w:rsidRPr="00C94DB8" w:rsidRDefault="00CA3637" w:rsidP="00BA7DA4">
          <w:pPr>
            <w:pStyle w:val="TOC3"/>
            <w:rPr>
              <w:rFonts w:asciiTheme="minorHAnsi" w:eastAsiaTheme="minorEastAsia" w:hAnsiTheme="minorHAnsi" w:cstheme="minorBidi"/>
              <w:noProof/>
              <w:szCs w:val="22"/>
              <w:lang w:eastAsia="en-NZ"/>
            </w:rPr>
          </w:pPr>
          <w:hyperlink w:anchor="_Toc403833189" w:history="1">
            <w:r w:rsidR="00BA7DA4" w:rsidRPr="00C94DB8">
              <w:rPr>
                <w:rStyle w:val="Hyperlink"/>
                <w:rFonts w:asciiTheme="minorHAnsi" w:hAnsiTheme="minorHAnsi"/>
                <w:noProof/>
                <w:szCs w:val="22"/>
              </w:rPr>
              <w:t>6.4.2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General practitioner use - unmet needs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_Toc403833189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93</w:t>
            </w:r>
            <w:r w:rsidR="00BA7DA4" w:rsidRPr="00C94DB8">
              <w:rPr>
                <w:rFonts w:asciiTheme="minorHAnsi" w:hAnsiTheme="minorHAnsi"/>
                <w:noProof/>
                <w:webHidden/>
                <w:szCs w:val="22"/>
              </w:rPr>
              <w:fldChar w:fldCharType="end"/>
            </w:r>
          </w:hyperlink>
        </w:p>
        <w:p w14:paraId="458403ED" w14:textId="151A715B" w:rsidR="00BA7DA4" w:rsidRPr="00C94DB8" w:rsidRDefault="00CA3637" w:rsidP="00BA7DA4">
          <w:pPr>
            <w:pStyle w:val="TOC3"/>
            <w:rPr>
              <w:rFonts w:asciiTheme="minorHAnsi" w:eastAsiaTheme="minorEastAsia" w:hAnsiTheme="minorHAnsi" w:cstheme="minorBidi"/>
              <w:noProof/>
              <w:szCs w:val="22"/>
              <w:lang w:eastAsia="en-NZ"/>
            </w:rPr>
          </w:pPr>
          <w:hyperlink w:anchor="_Toc403833190" w:history="1">
            <w:r w:rsidR="00BA7DA4" w:rsidRPr="00C94DB8">
              <w:rPr>
                <w:rStyle w:val="Hyperlink"/>
                <w:rFonts w:asciiTheme="minorHAnsi" w:hAnsiTheme="minorHAnsi"/>
                <w:noProof/>
                <w:szCs w:val="22"/>
              </w:rPr>
              <w:t>6.4.3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Use of other health professionals</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_Toc403833190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95</w:t>
            </w:r>
            <w:r w:rsidR="00BA7DA4" w:rsidRPr="00C94DB8">
              <w:rPr>
                <w:rFonts w:asciiTheme="minorHAnsi" w:hAnsiTheme="minorHAnsi"/>
                <w:noProof/>
                <w:webHidden/>
                <w:szCs w:val="22"/>
              </w:rPr>
              <w:fldChar w:fldCharType="end"/>
            </w:r>
          </w:hyperlink>
        </w:p>
        <w:p w14:paraId="74977CF3" w14:textId="55978C65" w:rsidR="00BA7DA4" w:rsidRPr="00C94DB8" w:rsidRDefault="00CA3637" w:rsidP="00C94DB8">
          <w:pPr>
            <w:pStyle w:val="TOC2"/>
            <w:rPr>
              <w:rFonts w:eastAsiaTheme="minorEastAsia" w:cstheme="minorBidi"/>
              <w:lang w:eastAsia="en-NZ"/>
            </w:rPr>
          </w:pPr>
          <w:hyperlink w:anchor="_Toc403833191" w:history="1">
            <w:r w:rsidR="00BA7DA4" w:rsidRPr="00C94DB8">
              <w:rPr>
                <w:rStyle w:val="Hyperlink"/>
                <w:szCs w:val="22"/>
              </w:rPr>
              <w:t>6.5</w:t>
            </w:r>
            <w:r w:rsidR="00BA7DA4" w:rsidRPr="00C94DB8">
              <w:rPr>
                <w:rFonts w:eastAsiaTheme="minorEastAsia" w:cstheme="minorBidi"/>
                <w:lang w:eastAsia="en-NZ"/>
              </w:rPr>
              <w:tab/>
            </w:r>
            <w:r w:rsidR="00BA7DA4" w:rsidRPr="00C94DB8">
              <w:rPr>
                <w:rStyle w:val="Hyperlink"/>
                <w:szCs w:val="22"/>
              </w:rPr>
              <w:t>SUMMARY: ECOLOGICAL FACTORS AND PROBLEMATIC GAMBLING</w:t>
            </w:r>
            <w:r w:rsidR="00BA7DA4" w:rsidRPr="00C94DB8">
              <w:rPr>
                <w:webHidden/>
              </w:rPr>
              <w:tab/>
            </w:r>
            <w:r w:rsidR="00BA7DA4" w:rsidRPr="00C94DB8">
              <w:rPr>
                <w:webHidden/>
              </w:rPr>
              <w:fldChar w:fldCharType="begin"/>
            </w:r>
            <w:r w:rsidR="00BA7DA4" w:rsidRPr="00C94DB8">
              <w:rPr>
                <w:webHidden/>
              </w:rPr>
              <w:instrText xml:space="preserve"> PAGEREF _Toc403833191 \h </w:instrText>
            </w:r>
            <w:r w:rsidR="00BA7DA4" w:rsidRPr="00C94DB8">
              <w:rPr>
                <w:webHidden/>
              </w:rPr>
            </w:r>
            <w:r w:rsidR="00BA7DA4" w:rsidRPr="00C94DB8">
              <w:rPr>
                <w:webHidden/>
              </w:rPr>
              <w:fldChar w:fldCharType="separate"/>
            </w:r>
            <w:r w:rsidR="00AA25B9">
              <w:rPr>
                <w:webHidden/>
              </w:rPr>
              <w:t>96</w:t>
            </w:r>
            <w:r w:rsidR="00BA7DA4" w:rsidRPr="00C94DB8">
              <w:rPr>
                <w:webHidden/>
              </w:rPr>
              <w:fldChar w:fldCharType="end"/>
            </w:r>
          </w:hyperlink>
        </w:p>
        <w:p w14:paraId="72A17F05" w14:textId="31F1F0BC" w:rsidR="00BA7DA4" w:rsidRPr="00C94DB8" w:rsidRDefault="00CA3637" w:rsidP="00BA7DA4">
          <w:pPr>
            <w:pStyle w:val="TOC1"/>
            <w:rPr>
              <w:rFonts w:eastAsiaTheme="minorEastAsia" w:cstheme="minorBidi"/>
              <w:noProof/>
              <w:szCs w:val="22"/>
              <w:lang w:eastAsia="en-NZ"/>
            </w:rPr>
          </w:pPr>
          <w:hyperlink w:anchor="_Toc403833192" w:history="1">
            <w:r w:rsidR="00BA7DA4" w:rsidRPr="00C94DB8">
              <w:rPr>
                <w:rStyle w:val="Hyperlink"/>
                <w:rFonts w:cstheme="minorHAnsi"/>
                <w:noProof/>
                <w:szCs w:val="22"/>
              </w:rPr>
              <w:t>7.</w:t>
            </w:r>
            <w:r w:rsidR="00BA7DA4" w:rsidRPr="00C94DB8">
              <w:rPr>
                <w:rFonts w:eastAsiaTheme="minorEastAsia" w:cstheme="minorBidi"/>
                <w:noProof/>
                <w:szCs w:val="22"/>
                <w:lang w:eastAsia="en-NZ"/>
              </w:rPr>
              <w:tab/>
            </w:r>
            <w:r w:rsidR="00BA7DA4" w:rsidRPr="00C94DB8">
              <w:rPr>
                <w:rStyle w:val="Hyperlink"/>
                <w:rFonts w:cstheme="minorHAnsi"/>
                <w:noProof/>
                <w:szCs w:val="22"/>
              </w:rPr>
              <w:t>RESULTS: EXPERIENCING PROBLEMS DUE TO SOMEONE ELSE’S GAMBLING</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_Toc403833192 \h </w:instrText>
            </w:r>
            <w:r w:rsidR="00BA7DA4" w:rsidRPr="00C94DB8">
              <w:rPr>
                <w:noProof/>
                <w:webHidden/>
                <w:szCs w:val="22"/>
              </w:rPr>
            </w:r>
            <w:r w:rsidR="00BA7DA4" w:rsidRPr="00C94DB8">
              <w:rPr>
                <w:noProof/>
                <w:webHidden/>
                <w:szCs w:val="22"/>
              </w:rPr>
              <w:fldChar w:fldCharType="separate"/>
            </w:r>
            <w:r w:rsidR="00AA25B9">
              <w:rPr>
                <w:noProof/>
                <w:webHidden/>
                <w:szCs w:val="22"/>
              </w:rPr>
              <w:t>101</w:t>
            </w:r>
            <w:r w:rsidR="00BA7DA4" w:rsidRPr="00C94DB8">
              <w:rPr>
                <w:noProof/>
                <w:webHidden/>
                <w:szCs w:val="22"/>
              </w:rPr>
              <w:fldChar w:fldCharType="end"/>
            </w:r>
          </w:hyperlink>
        </w:p>
        <w:p w14:paraId="3892CFB0" w14:textId="29AD214F" w:rsidR="00BA7DA4" w:rsidRPr="00C94DB8" w:rsidRDefault="00CA3637" w:rsidP="00C94DB8">
          <w:pPr>
            <w:pStyle w:val="TOC2"/>
            <w:rPr>
              <w:rFonts w:eastAsiaTheme="minorEastAsia" w:cstheme="minorBidi"/>
              <w:lang w:eastAsia="en-NZ"/>
            </w:rPr>
          </w:pPr>
          <w:hyperlink w:anchor="_Toc403833193" w:history="1">
            <w:r w:rsidR="00BA7DA4" w:rsidRPr="00C94DB8">
              <w:rPr>
                <w:rStyle w:val="Hyperlink"/>
                <w:szCs w:val="22"/>
              </w:rPr>
              <w:t>7.6</w:t>
            </w:r>
            <w:r w:rsidR="00BA7DA4" w:rsidRPr="00C94DB8">
              <w:rPr>
                <w:rFonts w:eastAsiaTheme="minorEastAsia" w:cstheme="minorBidi"/>
                <w:lang w:eastAsia="en-NZ"/>
              </w:rPr>
              <w:tab/>
            </w:r>
            <w:r w:rsidR="00BA7DA4" w:rsidRPr="00C94DB8">
              <w:rPr>
                <w:rStyle w:val="Hyperlink"/>
                <w:szCs w:val="22"/>
              </w:rPr>
              <w:t>Profile of people affected by someone else’s gambling</w:t>
            </w:r>
            <w:r w:rsidR="00BA7DA4" w:rsidRPr="00C94DB8">
              <w:rPr>
                <w:webHidden/>
              </w:rPr>
              <w:tab/>
            </w:r>
            <w:r w:rsidR="00BA7DA4" w:rsidRPr="00C94DB8">
              <w:rPr>
                <w:webHidden/>
              </w:rPr>
              <w:fldChar w:fldCharType="begin"/>
            </w:r>
            <w:r w:rsidR="00BA7DA4" w:rsidRPr="00C94DB8">
              <w:rPr>
                <w:webHidden/>
              </w:rPr>
              <w:instrText xml:space="preserve"> PAGEREF _Toc403833193 \h </w:instrText>
            </w:r>
            <w:r w:rsidR="00BA7DA4" w:rsidRPr="00C94DB8">
              <w:rPr>
                <w:webHidden/>
              </w:rPr>
            </w:r>
            <w:r w:rsidR="00BA7DA4" w:rsidRPr="00C94DB8">
              <w:rPr>
                <w:webHidden/>
              </w:rPr>
              <w:fldChar w:fldCharType="separate"/>
            </w:r>
            <w:r w:rsidR="00AA25B9">
              <w:rPr>
                <w:webHidden/>
              </w:rPr>
              <w:t>101</w:t>
            </w:r>
            <w:r w:rsidR="00BA7DA4" w:rsidRPr="00C94DB8">
              <w:rPr>
                <w:webHidden/>
              </w:rPr>
              <w:fldChar w:fldCharType="end"/>
            </w:r>
          </w:hyperlink>
        </w:p>
        <w:p w14:paraId="733669ED" w14:textId="4271E7C0" w:rsidR="00BA7DA4" w:rsidRPr="00C94DB8" w:rsidRDefault="00CA3637" w:rsidP="00BA7DA4">
          <w:pPr>
            <w:pStyle w:val="TOC3"/>
            <w:rPr>
              <w:rFonts w:asciiTheme="minorHAnsi" w:eastAsiaTheme="minorEastAsia" w:hAnsiTheme="minorHAnsi" w:cstheme="minorBidi"/>
              <w:noProof/>
              <w:szCs w:val="22"/>
              <w:lang w:eastAsia="en-NZ"/>
            </w:rPr>
          </w:pPr>
          <w:hyperlink w:anchor="_Toc403833194" w:history="1">
            <w:r w:rsidR="00BA7DA4" w:rsidRPr="00C94DB8">
              <w:rPr>
                <w:rStyle w:val="Hyperlink"/>
                <w:rFonts w:asciiTheme="minorHAnsi" w:hAnsiTheme="minorHAnsi"/>
                <w:noProof/>
                <w:szCs w:val="22"/>
              </w:rPr>
              <w:t>7.6.1</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gender</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_Toc403833194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101</w:t>
            </w:r>
            <w:r w:rsidR="00BA7DA4" w:rsidRPr="00C94DB8">
              <w:rPr>
                <w:rFonts w:asciiTheme="minorHAnsi" w:hAnsiTheme="minorHAnsi"/>
                <w:noProof/>
                <w:webHidden/>
                <w:szCs w:val="22"/>
              </w:rPr>
              <w:fldChar w:fldCharType="end"/>
            </w:r>
          </w:hyperlink>
        </w:p>
        <w:p w14:paraId="098AA4E2" w14:textId="26D489FE" w:rsidR="00BA7DA4" w:rsidRPr="00C94DB8" w:rsidRDefault="00CA3637" w:rsidP="00BA7DA4">
          <w:pPr>
            <w:pStyle w:val="TOC3"/>
            <w:rPr>
              <w:rFonts w:asciiTheme="minorHAnsi" w:eastAsiaTheme="minorEastAsia" w:hAnsiTheme="minorHAnsi" w:cstheme="minorBidi"/>
              <w:noProof/>
              <w:szCs w:val="22"/>
              <w:lang w:eastAsia="en-NZ"/>
            </w:rPr>
          </w:pPr>
          <w:hyperlink w:anchor="_Toc403833195" w:history="1">
            <w:r w:rsidR="00BA7DA4" w:rsidRPr="00C94DB8">
              <w:rPr>
                <w:rStyle w:val="Hyperlink"/>
                <w:rFonts w:asciiTheme="minorHAnsi" w:hAnsiTheme="minorHAnsi"/>
                <w:noProof/>
                <w:szCs w:val="22"/>
              </w:rPr>
              <w:t>7.6.2</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age-group</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_Toc403833195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101</w:t>
            </w:r>
            <w:r w:rsidR="00BA7DA4" w:rsidRPr="00C94DB8">
              <w:rPr>
                <w:rFonts w:asciiTheme="minorHAnsi" w:hAnsiTheme="minorHAnsi"/>
                <w:noProof/>
                <w:webHidden/>
                <w:szCs w:val="22"/>
              </w:rPr>
              <w:fldChar w:fldCharType="end"/>
            </w:r>
          </w:hyperlink>
        </w:p>
        <w:p w14:paraId="26E42847" w14:textId="42BE9590" w:rsidR="00BA7DA4" w:rsidRPr="00C94DB8" w:rsidRDefault="00CA3637" w:rsidP="00BA7DA4">
          <w:pPr>
            <w:pStyle w:val="TOC3"/>
            <w:rPr>
              <w:rFonts w:asciiTheme="minorHAnsi" w:eastAsiaTheme="minorEastAsia" w:hAnsiTheme="minorHAnsi" w:cstheme="minorBidi"/>
              <w:noProof/>
              <w:szCs w:val="22"/>
              <w:lang w:eastAsia="en-NZ"/>
            </w:rPr>
          </w:pPr>
          <w:hyperlink w:anchor="_Toc403833196" w:history="1">
            <w:r w:rsidR="00BA7DA4" w:rsidRPr="00C94DB8">
              <w:rPr>
                <w:rStyle w:val="Hyperlink"/>
                <w:rFonts w:asciiTheme="minorHAnsi" w:hAnsiTheme="minorHAnsi"/>
                <w:noProof/>
                <w:szCs w:val="22"/>
              </w:rPr>
              <w:t>7.6.3</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ethnicity</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_Toc403833196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102</w:t>
            </w:r>
            <w:r w:rsidR="00BA7DA4" w:rsidRPr="00C94DB8">
              <w:rPr>
                <w:rFonts w:asciiTheme="minorHAnsi" w:hAnsiTheme="minorHAnsi"/>
                <w:noProof/>
                <w:webHidden/>
                <w:szCs w:val="22"/>
              </w:rPr>
              <w:fldChar w:fldCharType="end"/>
            </w:r>
          </w:hyperlink>
        </w:p>
        <w:p w14:paraId="19E9EBC9" w14:textId="247C894F" w:rsidR="00BA7DA4" w:rsidRPr="00C94DB8" w:rsidRDefault="00CA3637" w:rsidP="00BA7DA4">
          <w:pPr>
            <w:pStyle w:val="TOC3"/>
            <w:rPr>
              <w:rFonts w:asciiTheme="minorHAnsi" w:eastAsiaTheme="minorEastAsia" w:hAnsiTheme="minorHAnsi" w:cstheme="minorBidi"/>
              <w:noProof/>
              <w:szCs w:val="22"/>
              <w:lang w:eastAsia="en-NZ"/>
            </w:rPr>
          </w:pPr>
          <w:hyperlink w:anchor="_Toc403833197" w:history="1">
            <w:r w:rsidR="00BA7DA4" w:rsidRPr="00C94DB8">
              <w:rPr>
                <w:rStyle w:val="Hyperlink"/>
                <w:rFonts w:asciiTheme="minorHAnsi" w:hAnsiTheme="minorHAnsi"/>
                <w:noProof/>
                <w:szCs w:val="22"/>
              </w:rPr>
              <w:t>7.6.4</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neighbourhood deprivation</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_Toc403833197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102</w:t>
            </w:r>
            <w:r w:rsidR="00BA7DA4" w:rsidRPr="00C94DB8">
              <w:rPr>
                <w:rFonts w:asciiTheme="minorHAnsi" w:hAnsiTheme="minorHAnsi"/>
                <w:noProof/>
                <w:webHidden/>
                <w:szCs w:val="22"/>
              </w:rPr>
              <w:fldChar w:fldCharType="end"/>
            </w:r>
          </w:hyperlink>
        </w:p>
        <w:p w14:paraId="3E073624" w14:textId="58AC66ED" w:rsidR="00BA7DA4" w:rsidRPr="00C94DB8" w:rsidRDefault="00CA3637" w:rsidP="00BA7DA4">
          <w:pPr>
            <w:pStyle w:val="TOC3"/>
            <w:rPr>
              <w:rFonts w:asciiTheme="minorHAnsi" w:eastAsiaTheme="minorEastAsia" w:hAnsiTheme="minorHAnsi" w:cstheme="minorBidi"/>
              <w:noProof/>
              <w:szCs w:val="22"/>
              <w:lang w:eastAsia="en-NZ"/>
            </w:rPr>
          </w:pPr>
          <w:hyperlink w:anchor="_Toc403833198" w:history="1">
            <w:r w:rsidR="00BA7DA4" w:rsidRPr="00C94DB8">
              <w:rPr>
                <w:rStyle w:val="Hyperlink"/>
                <w:rFonts w:asciiTheme="minorHAnsi" w:hAnsiTheme="minorHAnsi"/>
                <w:noProof/>
                <w:szCs w:val="22"/>
              </w:rPr>
              <w:t>7.6.5</w:t>
            </w:r>
            <w:r w:rsidR="00BA7DA4" w:rsidRPr="00C94DB8">
              <w:rPr>
                <w:rFonts w:asciiTheme="minorHAnsi" w:eastAsiaTheme="minorEastAsia" w:hAnsiTheme="minorHAnsi" w:cstheme="minorBidi"/>
                <w:noProof/>
                <w:szCs w:val="22"/>
                <w:lang w:eastAsia="en-NZ"/>
              </w:rPr>
              <w:tab/>
            </w:r>
            <w:r w:rsidR="00BA7DA4" w:rsidRPr="00C94DB8">
              <w:rPr>
                <w:rStyle w:val="Hyperlink"/>
                <w:rFonts w:asciiTheme="minorHAnsi" w:hAnsiTheme="minorHAnsi"/>
                <w:noProof/>
                <w:szCs w:val="22"/>
              </w:rPr>
              <w:t>By geography</w:t>
            </w:r>
            <w:r w:rsidR="00BA7DA4" w:rsidRPr="00C94DB8">
              <w:rPr>
                <w:rFonts w:asciiTheme="minorHAnsi" w:hAnsiTheme="minorHAnsi"/>
                <w:noProof/>
                <w:webHidden/>
                <w:szCs w:val="22"/>
              </w:rPr>
              <w:tab/>
            </w:r>
            <w:r w:rsidR="00BA7DA4" w:rsidRPr="00C94DB8">
              <w:rPr>
                <w:rFonts w:asciiTheme="minorHAnsi" w:hAnsiTheme="minorHAnsi"/>
                <w:noProof/>
                <w:webHidden/>
                <w:szCs w:val="22"/>
              </w:rPr>
              <w:fldChar w:fldCharType="begin"/>
            </w:r>
            <w:r w:rsidR="00BA7DA4" w:rsidRPr="00C94DB8">
              <w:rPr>
                <w:rFonts w:asciiTheme="minorHAnsi" w:hAnsiTheme="minorHAnsi"/>
                <w:noProof/>
                <w:webHidden/>
                <w:szCs w:val="22"/>
              </w:rPr>
              <w:instrText xml:space="preserve"> PAGEREF _Toc403833198 \h </w:instrText>
            </w:r>
            <w:r w:rsidR="00BA7DA4" w:rsidRPr="00C94DB8">
              <w:rPr>
                <w:rFonts w:asciiTheme="minorHAnsi" w:hAnsiTheme="minorHAnsi"/>
                <w:noProof/>
                <w:webHidden/>
                <w:szCs w:val="22"/>
              </w:rPr>
            </w:r>
            <w:r w:rsidR="00BA7DA4" w:rsidRPr="00C94DB8">
              <w:rPr>
                <w:rFonts w:asciiTheme="minorHAnsi" w:hAnsiTheme="minorHAnsi"/>
                <w:noProof/>
                <w:webHidden/>
                <w:szCs w:val="22"/>
              </w:rPr>
              <w:fldChar w:fldCharType="separate"/>
            </w:r>
            <w:r w:rsidR="00AA25B9">
              <w:rPr>
                <w:rFonts w:asciiTheme="minorHAnsi" w:hAnsiTheme="minorHAnsi"/>
                <w:noProof/>
                <w:webHidden/>
                <w:szCs w:val="22"/>
              </w:rPr>
              <w:t>103</w:t>
            </w:r>
            <w:r w:rsidR="00BA7DA4" w:rsidRPr="00C94DB8">
              <w:rPr>
                <w:rFonts w:asciiTheme="minorHAnsi" w:hAnsiTheme="minorHAnsi"/>
                <w:noProof/>
                <w:webHidden/>
                <w:szCs w:val="22"/>
              </w:rPr>
              <w:fldChar w:fldCharType="end"/>
            </w:r>
          </w:hyperlink>
        </w:p>
        <w:p w14:paraId="35B4DECB" w14:textId="68F57A05" w:rsidR="00BA7DA4" w:rsidRPr="00C94DB8" w:rsidRDefault="00CA3637" w:rsidP="00C94DB8">
          <w:pPr>
            <w:pStyle w:val="TOC2"/>
            <w:rPr>
              <w:rFonts w:eastAsiaTheme="minorEastAsia" w:cstheme="minorBidi"/>
              <w:lang w:eastAsia="en-NZ"/>
            </w:rPr>
          </w:pPr>
          <w:hyperlink w:anchor="_Toc403833199" w:history="1">
            <w:r w:rsidR="00BA7DA4" w:rsidRPr="00C94DB8">
              <w:rPr>
                <w:rStyle w:val="Hyperlink"/>
                <w:szCs w:val="22"/>
              </w:rPr>
              <w:t>7.7</w:t>
            </w:r>
            <w:r w:rsidR="00BA7DA4" w:rsidRPr="00C94DB8">
              <w:rPr>
                <w:rFonts w:eastAsiaTheme="minorEastAsia" w:cstheme="minorBidi"/>
                <w:lang w:eastAsia="en-NZ"/>
              </w:rPr>
              <w:tab/>
            </w:r>
            <w:r w:rsidR="00BA7DA4" w:rsidRPr="00C94DB8">
              <w:rPr>
                <w:rStyle w:val="Hyperlink"/>
                <w:szCs w:val="22"/>
              </w:rPr>
              <w:t>Gambling status (PGSI score) and being affected by someone else’s gambling</w:t>
            </w:r>
            <w:r w:rsidR="00BA7DA4" w:rsidRPr="00C94DB8">
              <w:rPr>
                <w:webHidden/>
              </w:rPr>
              <w:tab/>
            </w:r>
            <w:r w:rsidR="00BA7DA4" w:rsidRPr="00C94DB8">
              <w:rPr>
                <w:webHidden/>
              </w:rPr>
              <w:fldChar w:fldCharType="begin"/>
            </w:r>
            <w:r w:rsidR="00BA7DA4" w:rsidRPr="00C94DB8">
              <w:rPr>
                <w:webHidden/>
              </w:rPr>
              <w:instrText xml:space="preserve"> PAGEREF _Toc403833199 \h </w:instrText>
            </w:r>
            <w:r w:rsidR="00BA7DA4" w:rsidRPr="00C94DB8">
              <w:rPr>
                <w:webHidden/>
              </w:rPr>
            </w:r>
            <w:r w:rsidR="00BA7DA4" w:rsidRPr="00C94DB8">
              <w:rPr>
                <w:webHidden/>
              </w:rPr>
              <w:fldChar w:fldCharType="separate"/>
            </w:r>
            <w:r w:rsidR="00AA25B9">
              <w:rPr>
                <w:webHidden/>
              </w:rPr>
              <w:t>103</w:t>
            </w:r>
            <w:r w:rsidR="00BA7DA4" w:rsidRPr="00C94DB8">
              <w:rPr>
                <w:webHidden/>
              </w:rPr>
              <w:fldChar w:fldCharType="end"/>
            </w:r>
          </w:hyperlink>
        </w:p>
        <w:p w14:paraId="76D3D1CF" w14:textId="2C570F8C" w:rsidR="00BA7DA4" w:rsidRPr="00C94DB8" w:rsidRDefault="00CA3637" w:rsidP="00C94DB8">
          <w:pPr>
            <w:pStyle w:val="TOC2"/>
            <w:rPr>
              <w:rFonts w:eastAsiaTheme="minorEastAsia" w:cstheme="minorBidi"/>
              <w:lang w:eastAsia="en-NZ"/>
            </w:rPr>
          </w:pPr>
          <w:hyperlink w:anchor="_Toc403833200" w:history="1">
            <w:r w:rsidR="00BA7DA4" w:rsidRPr="00C94DB8">
              <w:rPr>
                <w:rStyle w:val="Hyperlink"/>
                <w:szCs w:val="22"/>
              </w:rPr>
              <w:t>7.8</w:t>
            </w:r>
            <w:r w:rsidR="00BA7DA4" w:rsidRPr="00C94DB8">
              <w:rPr>
                <w:rFonts w:eastAsiaTheme="minorEastAsia" w:cstheme="minorBidi"/>
                <w:lang w:eastAsia="en-NZ"/>
              </w:rPr>
              <w:tab/>
            </w:r>
            <w:r w:rsidR="00BA7DA4" w:rsidRPr="00C94DB8">
              <w:rPr>
                <w:rStyle w:val="Hyperlink"/>
                <w:szCs w:val="22"/>
              </w:rPr>
              <w:t>Gambling activity and being affected by someone else’s gambling</w:t>
            </w:r>
            <w:r w:rsidR="00BA7DA4" w:rsidRPr="00C94DB8">
              <w:rPr>
                <w:webHidden/>
              </w:rPr>
              <w:tab/>
            </w:r>
            <w:r w:rsidR="00BA7DA4" w:rsidRPr="00C94DB8">
              <w:rPr>
                <w:webHidden/>
              </w:rPr>
              <w:fldChar w:fldCharType="begin"/>
            </w:r>
            <w:r w:rsidR="00BA7DA4" w:rsidRPr="00C94DB8">
              <w:rPr>
                <w:webHidden/>
              </w:rPr>
              <w:instrText xml:space="preserve"> PAGEREF _Toc403833200 \h </w:instrText>
            </w:r>
            <w:r w:rsidR="00BA7DA4" w:rsidRPr="00C94DB8">
              <w:rPr>
                <w:webHidden/>
              </w:rPr>
            </w:r>
            <w:r w:rsidR="00BA7DA4" w:rsidRPr="00C94DB8">
              <w:rPr>
                <w:webHidden/>
              </w:rPr>
              <w:fldChar w:fldCharType="separate"/>
            </w:r>
            <w:r w:rsidR="00AA25B9">
              <w:rPr>
                <w:webHidden/>
              </w:rPr>
              <w:t>104</w:t>
            </w:r>
            <w:r w:rsidR="00BA7DA4" w:rsidRPr="00C94DB8">
              <w:rPr>
                <w:webHidden/>
              </w:rPr>
              <w:fldChar w:fldCharType="end"/>
            </w:r>
          </w:hyperlink>
        </w:p>
        <w:p w14:paraId="3724D7A7" w14:textId="22FC3FC2" w:rsidR="00BA7DA4" w:rsidRPr="00C94DB8" w:rsidRDefault="00CA3637" w:rsidP="00C94DB8">
          <w:pPr>
            <w:pStyle w:val="TOC2"/>
            <w:rPr>
              <w:rFonts w:eastAsiaTheme="minorEastAsia" w:cstheme="minorBidi"/>
              <w:lang w:eastAsia="en-NZ"/>
            </w:rPr>
          </w:pPr>
          <w:hyperlink w:anchor="_Toc403833201" w:history="1">
            <w:r w:rsidR="00BA7DA4" w:rsidRPr="00C94DB8">
              <w:rPr>
                <w:rStyle w:val="Hyperlink"/>
                <w:szCs w:val="22"/>
              </w:rPr>
              <w:t>7.9</w:t>
            </w:r>
            <w:r w:rsidR="00BA7DA4" w:rsidRPr="00C94DB8">
              <w:rPr>
                <w:rFonts w:eastAsiaTheme="minorEastAsia" w:cstheme="minorBidi"/>
                <w:lang w:eastAsia="en-NZ"/>
              </w:rPr>
              <w:tab/>
            </w:r>
            <w:r w:rsidR="00BA7DA4" w:rsidRPr="00C94DB8">
              <w:rPr>
                <w:rStyle w:val="Hyperlink"/>
                <w:szCs w:val="22"/>
              </w:rPr>
              <w:t>SUMMARY: EXPERIENCING PROBLEMS DUE TO SOMEONE ELSE’S GAMBLING</w:t>
            </w:r>
            <w:r w:rsidR="00BA7DA4" w:rsidRPr="00C94DB8">
              <w:rPr>
                <w:webHidden/>
              </w:rPr>
              <w:tab/>
            </w:r>
            <w:r w:rsidR="00BA7DA4" w:rsidRPr="00C94DB8">
              <w:rPr>
                <w:webHidden/>
              </w:rPr>
              <w:fldChar w:fldCharType="begin"/>
            </w:r>
            <w:r w:rsidR="00BA7DA4" w:rsidRPr="00C94DB8">
              <w:rPr>
                <w:webHidden/>
              </w:rPr>
              <w:instrText xml:space="preserve"> PAGEREF _Toc403833201 \h </w:instrText>
            </w:r>
            <w:r w:rsidR="00BA7DA4" w:rsidRPr="00C94DB8">
              <w:rPr>
                <w:webHidden/>
              </w:rPr>
            </w:r>
            <w:r w:rsidR="00BA7DA4" w:rsidRPr="00C94DB8">
              <w:rPr>
                <w:webHidden/>
              </w:rPr>
              <w:fldChar w:fldCharType="separate"/>
            </w:r>
            <w:r w:rsidR="00AA25B9">
              <w:rPr>
                <w:webHidden/>
              </w:rPr>
              <w:t>105</w:t>
            </w:r>
            <w:r w:rsidR="00BA7DA4" w:rsidRPr="00C94DB8">
              <w:rPr>
                <w:webHidden/>
              </w:rPr>
              <w:fldChar w:fldCharType="end"/>
            </w:r>
          </w:hyperlink>
        </w:p>
        <w:p w14:paraId="1B71F969" w14:textId="4226BD68" w:rsidR="00BA7DA4" w:rsidRPr="00C94DB8" w:rsidRDefault="00CA3637" w:rsidP="00BA7DA4">
          <w:pPr>
            <w:pStyle w:val="TOC1"/>
            <w:rPr>
              <w:rFonts w:eastAsiaTheme="minorEastAsia" w:cstheme="minorBidi"/>
              <w:noProof/>
              <w:szCs w:val="22"/>
              <w:lang w:eastAsia="en-NZ"/>
            </w:rPr>
          </w:pPr>
          <w:hyperlink w:anchor="_Toc403833202" w:history="1">
            <w:r w:rsidR="00BA7DA4" w:rsidRPr="00C94DB8">
              <w:rPr>
                <w:rStyle w:val="Hyperlink"/>
                <w:rFonts w:cstheme="minorHAnsi"/>
                <w:noProof/>
                <w:szCs w:val="22"/>
              </w:rPr>
              <w:t>8.</w:t>
            </w:r>
            <w:r w:rsidR="00BA7DA4" w:rsidRPr="00C94DB8">
              <w:rPr>
                <w:rFonts w:eastAsiaTheme="minorEastAsia" w:cstheme="minorBidi"/>
                <w:noProof/>
                <w:szCs w:val="22"/>
                <w:lang w:eastAsia="en-NZ"/>
              </w:rPr>
              <w:tab/>
            </w:r>
            <w:r w:rsidR="00BA7DA4" w:rsidRPr="00C94DB8">
              <w:rPr>
                <w:rStyle w:val="Hyperlink"/>
                <w:rFonts w:cstheme="minorHAnsi"/>
                <w:noProof/>
                <w:szCs w:val="22"/>
              </w:rPr>
              <w:t>DISCUSSION &amp; CONCLUSIONS</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_Toc403833202 \h </w:instrText>
            </w:r>
            <w:r w:rsidR="00BA7DA4" w:rsidRPr="00C94DB8">
              <w:rPr>
                <w:noProof/>
                <w:webHidden/>
                <w:szCs w:val="22"/>
              </w:rPr>
            </w:r>
            <w:r w:rsidR="00BA7DA4" w:rsidRPr="00C94DB8">
              <w:rPr>
                <w:noProof/>
                <w:webHidden/>
                <w:szCs w:val="22"/>
              </w:rPr>
              <w:fldChar w:fldCharType="separate"/>
            </w:r>
            <w:r w:rsidR="00AA25B9">
              <w:rPr>
                <w:noProof/>
                <w:webHidden/>
                <w:szCs w:val="22"/>
              </w:rPr>
              <w:t>107</w:t>
            </w:r>
            <w:r w:rsidR="00BA7DA4" w:rsidRPr="00C94DB8">
              <w:rPr>
                <w:noProof/>
                <w:webHidden/>
                <w:szCs w:val="22"/>
              </w:rPr>
              <w:fldChar w:fldCharType="end"/>
            </w:r>
          </w:hyperlink>
        </w:p>
        <w:p w14:paraId="7E79FF84" w14:textId="633D2701" w:rsidR="00BA7DA4" w:rsidRPr="00C94DB8" w:rsidRDefault="00CA3637" w:rsidP="00C94DB8">
          <w:pPr>
            <w:pStyle w:val="TOC2"/>
            <w:rPr>
              <w:rFonts w:eastAsiaTheme="minorEastAsia" w:cstheme="minorBidi"/>
              <w:lang w:eastAsia="en-NZ"/>
            </w:rPr>
          </w:pPr>
          <w:hyperlink w:anchor="_Toc403833203" w:history="1">
            <w:r w:rsidR="00BA7DA4" w:rsidRPr="00C94DB8">
              <w:rPr>
                <w:rStyle w:val="Hyperlink"/>
                <w:szCs w:val="22"/>
              </w:rPr>
              <w:t>8.1</w:t>
            </w:r>
            <w:r w:rsidR="00BA7DA4" w:rsidRPr="00C94DB8">
              <w:rPr>
                <w:rFonts w:eastAsiaTheme="minorEastAsia" w:cstheme="minorBidi"/>
                <w:lang w:eastAsia="en-NZ"/>
              </w:rPr>
              <w:tab/>
            </w:r>
            <w:r w:rsidR="00BA7DA4" w:rsidRPr="00C94DB8">
              <w:rPr>
                <w:rStyle w:val="Hyperlink"/>
                <w:szCs w:val="22"/>
              </w:rPr>
              <w:t>Past-year gambling participation</w:t>
            </w:r>
            <w:r w:rsidR="00BA7DA4" w:rsidRPr="00C94DB8">
              <w:rPr>
                <w:webHidden/>
              </w:rPr>
              <w:tab/>
            </w:r>
            <w:r w:rsidR="00BA7DA4" w:rsidRPr="00C94DB8">
              <w:rPr>
                <w:webHidden/>
              </w:rPr>
              <w:fldChar w:fldCharType="begin"/>
            </w:r>
            <w:r w:rsidR="00BA7DA4" w:rsidRPr="00C94DB8">
              <w:rPr>
                <w:webHidden/>
              </w:rPr>
              <w:instrText xml:space="preserve"> PAGEREF _Toc403833203 \h </w:instrText>
            </w:r>
            <w:r w:rsidR="00BA7DA4" w:rsidRPr="00C94DB8">
              <w:rPr>
                <w:webHidden/>
              </w:rPr>
            </w:r>
            <w:r w:rsidR="00BA7DA4" w:rsidRPr="00C94DB8">
              <w:rPr>
                <w:webHidden/>
              </w:rPr>
              <w:fldChar w:fldCharType="separate"/>
            </w:r>
            <w:r w:rsidR="00AA25B9">
              <w:rPr>
                <w:webHidden/>
              </w:rPr>
              <w:t>110</w:t>
            </w:r>
            <w:r w:rsidR="00BA7DA4" w:rsidRPr="00C94DB8">
              <w:rPr>
                <w:webHidden/>
              </w:rPr>
              <w:fldChar w:fldCharType="end"/>
            </w:r>
          </w:hyperlink>
        </w:p>
        <w:p w14:paraId="294C6B02" w14:textId="3C0E449B" w:rsidR="00BA7DA4" w:rsidRPr="00C94DB8" w:rsidRDefault="00CA3637" w:rsidP="00C94DB8">
          <w:pPr>
            <w:pStyle w:val="TOC2"/>
            <w:rPr>
              <w:rFonts w:eastAsiaTheme="minorEastAsia" w:cstheme="minorBidi"/>
              <w:lang w:eastAsia="en-NZ"/>
            </w:rPr>
          </w:pPr>
          <w:hyperlink w:anchor="_Toc403833204" w:history="1">
            <w:r w:rsidR="00BA7DA4" w:rsidRPr="00C94DB8">
              <w:rPr>
                <w:rStyle w:val="Hyperlink"/>
                <w:szCs w:val="22"/>
              </w:rPr>
              <w:t>8.2</w:t>
            </w:r>
            <w:r w:rsidR="00BA7DA4" w:rsidRPr="00C94DB8">
              <w:rPr>
                <w:rFonts w:eastAsiaTheme="minorEastAsia" w:cstheme="minorBidi"/>
                <w:lang w:eastAsia="en-NZ"/>
              </w:rPr>
              <w:tab/>
            </w:r>
            <w:r w:rsidR="00BA7DA4" w:rsidRPr="00C94DB8">
              <w:rPr>
                <w:rStyle w:val="Hyperlink"/>
                <w:szCs w:val="22"/>
              </w:rPr>
              <w:t>Problematic gambling</w:t>
            </w:r>
            <w:r w:rsidR="00BA7DA4" w:rsidRPr="00C94DB8">
              <w:rPr>
                <w:webHidden/>
              </w:rPr>
              <w:tab/>
            </w:r>
            <w:r w:rsidR="00BA7DA4" w:rsidRPr="00C94DB8">
              <w:rPr>
                <w:webHidden/>
              </w:rPr>
              <w:fldChar w:fldCharType="begin"/>
            </w:r>
            <w:r w:rsidR="00BA7DA4" w:rsidRPr="00C94DB8">
              <w:rPr>
                <w:webHidden/>
              </w:rPr>
              <w:instrText xml:space="preserve"> PAGEREF _Toc403833204 \h </w:instrText>
            </w:r>
            <w:r w:rsidR="00BA7DA4" w:rsidRPr="00C94DB8">
              <w:rPr>
                <w:webHidden/>
              </w:rPr>
            </w:r>
            <w:r w:rsidR="00BA7DA4" w:rsidRPr="00C94DB8">
              <w:rPr>
                <w:webHidden/>
              </w:rPr>
              <w:fldChar w:fldCharType="separate"/>
            </w:r>
            <w:r w:rsidR="00AA25B9">
              <w:rPr>
                <w:webHidden/>
              </w:rPr>
              <w:t>113</w:t>
            </w:r>
            <w:r w:rsidR="00BA7DA4" w:rsidRPr="00C94DB8">
              <w:rPr>
                <w:webHidden/>
              </w:rPr>
              <w:fldChar w:fldCharType="end"/>
            </w:r>
          </w:hyperlink>
        </w:p>
        <w:p w14:paraId="73B1EF89" w14:textId="0A6AAFB9" w:rsidR="00BA7DA4" w:rsidRPr="00C94DB8" w:rsidRDefault="00CA3637" w:rsidP="00C94DB8">
          <w:pPr>
            <w:pStyle w:val="TOC2"/>
            <w:rPr>
              <w:rFonts w:eastAsiaTheme="minorEastAsia" w:cstheme="minorBidi"/>
              <w:lang w:eastAsia="en-NZ"/>
            </w:rPr>
          </w:pPr>
          <w:hyperlink w:anchor="_Toc403833205" w:history="1">
            <w:r w:rsidR="00BA7DA4" w:rsidRPr="00C94DB8">
              <w:rPr>
                <w:rStyle w:val="Hyperlink"/>
                <w:szCs w:val="22"/>
              </w:rPr>
              <w:t>8.3</w:t>
            </w:r>
            <w:r w:rsidR="00BA7DA4" w:rsidRPr="00C94DB8">
              <w:rPr>
                <w:rFonts w:eastAsiaTheme="minorEastAsia" w:cstheme="minorBidi"/>
                <w:lang w:eastAsia="en-NZ"/>
              </w:rPr>
              <w:tab/>
            </w:r>
            <w:r w:rsidR="00BA7DA4" w:rsidRPr="00C94DB8">
              <w:rPr>
                <w:rStyle w:val="Hyperlink"/>
                <w:szCs w:val="22"/>
              </w:rPr>
              <w:t>Ecological factors and problematic gambling</w:t>
            </w:r>
            <w:r w:rsidR="00BA7DA4" w:rsidRPr="00C94DB8">
              <w:rPr>
                <w:webHidden/>
              </w:rPr>
              <w:tab/>
            </w:r>
            <w:r w:rsidR="00BA7DA4" w:rsidRPr="00C94DB8">
              <w:rPr>
                <w:webHidden/>
              </w:rPr>
              <w:fldChar w:fldCharType="begin"/>
            </w:r>
            <w:r w:rsidR="00BA7DA4" w:rsidRPr="00C94DB8">
              <w:rPr>
                <w:webHidden/>
              </w:rPr>
              <w:instrText xml:space="preserve"> PAGEREF _Toc403833205 \h </w:instrText>
            </w:r>
            <w:r w:rsidR="00BA7DA4" w:rsidRPr="00C94DB8">
              <w:rPr>
                <w:webHidden/>
              </w:rPr>
            </w:r>
            <w:r w:rsidR="00BA7DA4" w:rsidRPr="00C94DB8">
              <w:rPr>
                <w:webHidden/>
              </w:rPr>
              <w:fldChar w:fldCharType="separate"/>
            </w:r>
            <w:r w:rsidR="00AA25B9">
              <w:rPr>
                <w:webHidden/>
              </w:rPr>
              <w:t>115</w:t>
            </w:r>
            <w:r w:rsidR="00BA7DA4" w:rsidRPr="00C94DB8">
              <w:rPr>
                <w:webHidden/>
              </w:rPr>
              <w:fldChar w:fldCharType="end"/>
            </w:r>
          </w:hyperlink>
        </w:p>
        <w:p w14:paraId="0C3F435F" w14:textId="39E415A3" w:rsidR="00BA7DA4" w:rsidRPr="00C94DB8" w:rsidRDefault="00CA3637" w:rsidP="00C94DB8">
          <w:pPr>
            <w:pStyle w:val="TOC2"/>
            <w:rPr>
              <w:rFonts w:eastAsiaTheme="minorEastAsia" w:cstheme="minorBidi"/>
              <w:lang w:eastAsia="en-NZ"/>
            </w:rPr>
          </w:pPr>
          <w:hyperlink w:anchor="_Toc403833206" w:history="1">
            <w:r w:rsidR="00BA7DA4" w:rsidRPr="00C94DB8">
              <w:rPr>
                <w:rStyle w:val="Hyperlink"/>
                <w:szCs w:val="22"/>
              </w:rPr>
              <w:t>8.4</w:t>
            </w:r>
            <w:r w:rsidR="00BA7DA4" w:rsidRPr="00C94DB8">
              <w:rPr>
                <w:rFonts w:eastAsiaTheme="minorEastAsia" w:cstheme="minorBidi"/>
                <w:lang w:eastAsia="en-NZ"/>
              </w:rPr>
              <w:tab/>
            </w:r>
            <w:r w:rsidR="00BA7DA4" w:rsidRPr="00C94DB8">
              <w:rPr>
                <w:rStyle w:val="Hyperlink"/>
                <w:szCs w:val="22"/>
              </w:rPr>
              <w:t>Experiencing problems due to someone else’s gambling</w:t>
            </w:r>
            <w:r w:rsidR="00BA7DA4" w:rsidRPr="00C94DB8">
              <w:rPr>
                <w:webHidden/>
              </w:rPr>
              <w:tab/>
            </w:r>
            <w:r w:rsidR="00BA7DA4" w:rsidRPr="00C94DB8">
              <w:rPr>
                <w:webHidden/>
              </w:rPr>
              <w:fldChar w:fldCharType="begin"/>
            </w:r>
            <w:r w:rsidR="00BA7DA4" w:rsidRPr="00C94DB8">
              <w:rPr>
                <w:webHidden/>
              </w:rPr>
              <w:instrText xml:space="preserve"> PAGEREF _Toc403833206 \h </w:instrText>
            </w:r>
            <w:r w:rsidR="00BA7DA4" w:rsidRPr="00C94DB8">
              <w:rPr>
                <w:webHidden/>
              </w:rPr>
            </w:r>
            <w:r w:rsidR="00BA7DA4" w:rsidRPr="00C94DB8">
              <w:rPr>
                <w:webHidden/>
              </w:rPr>
              <w:fldChar w:fldCharType="separate"/>
            </w:r>
            <w:r w:rsidR="00AA25B9">
              <w:rPr>
                <w:webHidden/>
              </w:rPr>
              <w:t>118</w:t>
            </w:r>
            <w:r w:rsidR="00BA7DA4" w:rsidRPr="00C94DB8">
              <w:rPr>
                <w:webHidden/>
              </w:rPr>
              <w:fldChar w:fldCharType="end"/>
            </w:r>
          </w:hyperlink>
        </w:p>
        <w:p w14:paraId="72085CDD" w14:textId="7E1EE85A" w:rsidR="00BA7DA4" w:rsidRPr="00C94DB8" w:rsidRDefault="00CA3637" w:rsidP="00C94DB8">
          <w:pPr>
            <w:pStyle w:val="TOC2"/>
            <w:rPr>
              <w:rFonts w:eastAsiaTheme="minorEastAsia" w:cstheme="minorBidi"/>
              <w:lang w:eastAsia="en-NZ"/>
            </w:rPr>
          </w:pPr>
          <w:hyperlink w:anchor="_Toc403833207" w:history="1">
            <w:r w:rsidR="00BA7DA4" w:rsidRPr="00C94DB8">
              <w:rPr>
                <w:rStyle w:val="Hyperlink"/>
                <w:szCs w:val="22"/>
              </w:rPr>
              <w:t>8.5</w:t>
            </w:r>
            <w:r w:rsidR="00BA7DA4" w:rsidRPr="00C94DB8">
              <w:rPr>
                <w:rFonts w:eastAsiaTheme="minorEastAsia" w:cstheme="minorBidi"/>
                <w:lang w:eastAsia="en-NZ"/>
              </w:rPr>
              <w:tab/>
            </w:r>
            <w:r w:rsidR="00BA7DA4" w:rsidRPr="00C94DB8">
              <w:rPr>
                <w:rStyle w:val="Hyperlink"/>
                <w:szCs w:val="22"/>
              </w:rPr>
              <w:t>Strengths and limitations</w:t>
            </w:r>
            <w:r w:rsidR="00BA7DA4" w:rsidRPr="00C94DB8">
              <w:rPr>
                <w:webHidden/>
              </w:rPr>
              <w:tab/>
            </w:r>
            <w:r w:rsidR="00BA7DA4" w:rsidRPr="00C94DB8">
              <w:rPr>
                <w:webHidden/>
              </w:rPr>
              <w:fldChar w:fldCharType="begin"/>
            </w:r>
            <w:r w:rsidR="00BA7DA4" w:rsidRPr="00C94DB8">
              <w:rPr>
                <w:webHidden/>
              </w:rPr>
              <w:instrText xml:space="preserve"> PAGEREF _Toc403833207 \h </w:instrText>
            </w:r>
            <w:r w:rsidR="00BA7DA4" w:rsidRPr="00C94DB8">
              <w:rPr>
                <w:webHidden/>
              </w:rPr>
            </w:r>
            <w:r w:rsidR="00BA7DA4" w:rsidRPr="00C94DB8">
              <w:rPr>
                <w:webHidden/>
              </w:rPr>
              <w:fldChar w:fldCharType="separate"/>
            </w:r>
            <w:r w:rsidR="00AA25B9">
              <w:rPr>
                <w:webHidden/>
              </w:rPr>
              <w:t>119</w:t>
            </w:r>
            <w:r w:rsidR="00BA7DA4" w:rsidRPr="00C94DB8">
              <w:rPr>
                <w:webHidden/>
              </w:rPr>
              <w:fldChar w:fldCharType="end"/>
            </w:r>
          </w:hyperlink>
        </w:p>
        <w:p w14:paraId="45DF83D2" w14:textId="02C4B23F" w:rsidR="00BA7DA4" w:rsidRPr="00C94DB8" w:rsidRDefault="00CA3637" w:rsidP="00C94DB8">
          <w:pPr>
            <w:pStyle w:val="TOC2"/>
            <w:rPr>
              <w:rFonts w:eastAsiaTheme="minorEastAsia" w:cstheme="minorBidi"/>
              <w:lang w:eastAsia="en-NZ"/>
            </w:rPr>
          </w:pPr>
          <w:hyperlink w:anchor="_Toc403833208" w:history="1">
            <w:r w:rsidR="00BA7DA4" w:rsidRPr="00C94DB8">
              <w:rPr>
                <w:rStyle w:val="Hyperlink"/>
                <w:szCs w:val="22"/>
              </w:rPr>
              <w:t>8.6</w:t>
            </w:r>
            <w:r w:rsidR="00BA7DA4" w:rsidRPr="00C94DB8">
              <w:rPr>
                <w:rFonts w:eastAsiaTheme="minorEastAsia" w:cstheme="minorBidi"/>
                <w:lang w:eastAsia="en-NZ"/>
              </w:rPr>
              <w:tab/>
            </w:r>
            <w:r w:rsidR="00BA7DA4" w:rsidRPr="00C94DB8">
              <w:rPr>
                <w:rStyle w:val="Hyperlink"/>
                <w:szCs w:val="22"/>
              </w:rPr>
              <w:t>Conclusions</w:t>
            </w:r>
            <w:r w:rsidR="00BA7DA4" w:rsidRPr="00C94DB8">
              <w:rPr>
                <w:webHidden/>
              </w:rPr>
              <w:tab/>
            </w:r>
            <w:r w:rsidR="00BA7DA4" w:rsidRPr="00C94DB8">
              <w:rPr>
                <w:webHidden/>
              </w:rPr>
              <w:fldChar w:fldCharType="begin"/>
            </w:r>
            <w:r w:rsidR="00BA7DA4" w:rsidRPr="00C94DB8">
              <w:rPr>
                <w:webHidden/>
              </w:rPr>
              <w:instrText xml:space="preserve"> PAGEREF _Toc403833208 \h </w:instrText>
            </w:r>
            <w:r w:rsidR="00BA7DA4" w:rsidRPr="00C94DB8">
              <w:rPr>
                <w:webHidden/>
              </w:rPr>
            </w:r>
            <w:r w:rsidR="00BA7DA4" w:rsidRPr="00C94DB8">
              <w:rPr>
                <w:webHidden/>
              </w:rPr>
              <w:fldChar w:fldCharType="separate"/>
            </w:r>
            <w:r w:rsidR="00AA25B9">
              <w:rPr>
                <w:webHidden/>
              </w:rPr>
              <w:t>121</w:t>
            </w:r>
            <w:r w:rsidR="00BA7DA4" w:rsidRPr="00C94DB8">
              <w:rPr>
                <w:webHidden/>
              </w:rPr>
              <w:fldChar w:fldCharType="end"/>
            </w:r>
          </w:hyperlink>
        </w:p>
        <w:p w14:paraId="2AD0DABE" w14:textId="4EF6BD94" w:rsidR="00BA7DA4" w:rsidRPr="00C94DB8" w:rsidRDefault="00CA3637" w:rsidP="00BA7DA4">
          <w:pPr>
            <w:pStyle w:val="TOC1"/>
            <w:rPr>
              <w:rFonts w:eastAsiaTheme="minorEastAsia" w:cstheme="minorBidi"/>
              <w:noProof/>
              <w:szCs w:val="22"/>
              <w:lang w:eastAsia="en-NZ"/>
            </w:rPr>
          </w:pPr>
          <w:hyperlink w:anchor="_Toc403833209" w:history="1">
            <w:r w:rsidR="00BA7DA4" w:rsidRPr="00C94DB8">
              <w:rPr>
                <w:rStyle w:val="Hyperlink"/>
                <w:rFonts w:cstheme="minorHAnsi"/>
                <w:noProof/>
                <w:szCs w:val="22"/>
              </w:rPr>
              <w:t>REFERENCES</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_Toc403833209 \h </w:instrText>
            </w:r>
            <w:r w:rsidR="00BA7DA4" w:rsidRPr="00C94DB8">
              <w:rPr>
                <w:noProof/>
                <w:webHidden/>
                <w:szCs w:val="22"/>
              </w:rPr>
            </w:r>
            <w:r w:rsidR="00BA7DA4" w:rsidRPr="00C94DB8">
              <w:rPr>
                <w:noProof/>
                <w:webHidden/>
                <w:szCs w:val="22"/>
              </w:rPr>
              <w:fldChar w:fldCharType="separate"/>
            </w:r>
            <w:r w:rsidR="00AA25B9">
              <w:rPr>
                <w:noProof/>
                <w:webHidden/>
                <w:szCs w:val="22"/>
              </w:rPr>
              <w:t>123</w:t>
            </w:r>
            <w:r w:rsidR="00BA7DA4" w:rsidRPr="00C94DB8">
              <w:rPr>
                <w:noProof/>
                <w:webHidden/>
                <w:szCs w:val="22"/>
              </w:rPr>
              <w:fldChar w:fldCharType="end"/>
            </w:r>
          </w:hyperlink>
        </w:p>
        <w:p w14:paraId="2964817E" w14:textId="6AD3B46D" w:rsidR="00BA7DA4" w:rsidRPr="00C94DB8" w:rsidRDefault="00CA3637" w:rsidP="00BA7DA4">
          <w:pPr>
            <w:pStyle w:val="TOC1"/>
            <w:rPr>
              <w:rFonts w:eastAsiaTheme="minorEastAsia" w:cstheme="minorBidi"/>
              <w:noProof/>
              <w:szCs w:val="22"/>
              <w:lang w:eastAsia="en-NZ"/>
            </w:rPr>
          </w:pPr>
          <w:hyperlink w:anchor="_Toc403833210" w:history="1">
            <w:r w:rsidR="00BA7DA4" w:rsidRPr="00C94DB8">
              <w:rPr>
                <w:rStyle w:val="Hyperlink"/>
                <w:rFonts w:cstheme="minorHAnsi"/>
                <w:noProof/>
                <w:szCs w:val="22"/>
              </w:rPr>
              <w:t>APPENDICES</w:t>
            </w:r>
            <w:r w:rsidR="00BA7DA4" w:rsidRPr="00C94DB8">
              <w:rPr>
                <w:noProof/>
                <w:webHidden/>
                <w:szCs w:val="22"/>
              </w:rPr>
              <w:tab/>
            </w:r>
            <w:r w:rsidR="00BA7DA4" w:rsidRPr="00C94DB8">
              <w:rPr>
                <w:noProof/>
                <w:webHidden/>
                <w:szCs w:val="22"/>
              </w:rPr>
              <w:fldChar w:fldCharType="begin"/>
            </w:r>
            <w:r w:rsidR="00BA7DA4" w:rsidRPr="00C94DB8">
              <w:rPr>
                <w:noProof/>
                <w:webHidden/>
                <w:szCs w:val="22"/>
              </w:rPr>
              <w:instrText xml:space="preserve"> PAGEREF _Toc403833210 \h </w:instrText>
            </w:r>
            <w:r w:rsidR="00BA7DA4" w:rsidRPr="00C94DB8">
              <w:rPr>
                <w:noProof/>
                <w:webHidden/>
                <w:szCs w:val="22"/>
              </w:rPr>
            </w:r>
            <w:r w:rsidR="00BA7DA4" w:rsidRPr="00C94DB8">
              <w:rPr>
                <w:noProof/>
                <w:webHidden/>
                <w:szCs w:val="22"/>
              </w:rPr>
              <w:fldChar w:fldCharType="separate"/>
            </w:r>
            <w:r w:rsidR="00AA25B9">
              <w:rPr>
                <w:noProof/>
                <w:webHidden/>
                <w:szCs w:val="22"/>
              </w:rPr>
              <w:t>127</w:t>
            </w:r>
            <w:r w:rsidR="00BA7DA4" w:rsidRPr="00C94DB8">
              <w:rPr>
                <w:noProof/>
                <w:webHidden/>
                <w:szCs w:val="22"/>
              </w:rPr>
              <w:fldChar w:fldCharType="end"/>
            </w:r>
          </w:hyperlink>
        </w:p>
        <w:p w14:paraId="0FC889C8" w14:textId="56BDAC63" w:rsidR="00BA7DA4" w:rsidRPr="00C94DB8" w:rsidRDefault="00CA3637" w:rsidP="00C94DB8">
          <w:pPr>
            <w:pStyle w:val="TOC2"/>
            <w:ind w:left="1418" w:hanging="1178"/>
            <w:rPr>
              <w:rFonts w:eastAsiaTheme="minorEastAsia" w:cstheme="minorBidi"/>
              <w:lang w:eastAsia="en-NZ"/>
            </w:rPr>
          </w:pPr>
          <w:hyperlink w:anchor="_Toc403833211" w:history="1">
            <w:r w:rsidR="00BA7DA4" w:rsidRPr="00C94DB8">
              <w:rPr>
                <w:rStyle w:val="Hyperlink"/>
                <w:szCs w:val="22"/>
              </w:rPr>
              <w:t>Appendix A</w:t>
            </w:r>
            <w:r w:rsidR="00BA7DA4" w:rsidRPr="00C94DB8">
              <w:rPr>
                <w:rFonts w:eastAsiaTheme="minorEastAsia" w:cstheme="minorBidi"/>
                <w:lang w:eastAsia="en-NZ"/>
              </w:rPr>
              <w:t xml:space="preserve"> </w:t>
            </w:r>
            <w:r w:rsidR="00C94DB8">
              <w:rPr>
                <w:rFonts w:eastAsiaTheme="minorEastAsia" w:cstheme="minorBidi"/>
                <w:lang w:eastAsia="en-NZ"/>
              </w:rPr>
              <w:tab/>
            </w:r>
            <w:r w:rsidR="00BA7DA4" w:rsidRPr="00C94DB8">
              <w:rPr>
                <w:rStyle w:val="Hyperlink"/>
                <w:szCs w:val="22"/>
              </w:rPr>
              <w:t>Overview of NZHS 2011/12 gambling questions</w:t>
            </w:r>
            <w:r w:rsidR="00BA7DA4" w:rsidRPr="00C94DB8">
              <w:rPr>
                <w:webHidden/>
              </w:rPr>
              <w:tab/>
            </w:r>
            <w:r w:rsidR="00BA7DA4" w:rsidRPr="00C94DB8">
              <w:rPr>
                <w:webHidden/>
              </w:rPr>
              <w:fldChar w:fldCharType="begin"/>
            </w:r>
            <w:r w:rsidR="00BA7DA4" w:rsidRPr="00C94DB8">
              <w:rPr>
                <w:webHidden/>
              </w:rPr>
              <w:instrText xml:space="preserve"> PAGEREF _Toc403833211 \h </w:instrText>
            </w:r>
            <w:r w:rsidR="00BA7DA4" w:rsidRPr="00C94DB8">
              <w:rPr>
                <w:webHidden/>
              </w:rPr>
            </w:r>
            <w:r w:rsidR="00BA7DA4" w:rsidRPr="00C94DB8">
              <w:rPr>
                <w:webHidden/>
              </w:rPr>
              <w:fldChar w:fldCharType="separate"/>
            </w:r>
            <w:r w:rsidR="00AA25B9">
              <w:rPr>
                <w:webHidden/>
              </w:rPr>
              <w:t>128</w:t>
            </w:r>
            <w:r w:rsidR="00BA7DA4" w:rsidRPr="00C94DB8">
              <w:rPr>
                <w:webHidden/>
              </w:rPr>
              <w:fldChar w:fldCharType="end"/>
            </w:r>
          </w:hyperlink>
        </w:p>
        <w:p w14:paraId="1B5A6A51" w14:textId="458B364B" w:rsidR="00BA7DA4" w:rsidRPr="00C94DB8" w:rsidRDefault="00CA3637" w:rsidP="00C94DB8">
          <w:pPr>
            <w:pStyle w:val="TOC2"/>
            <w:ind w:left="1418" w:hanging="1178"/>
            <w:rPr>
              <w:rFonts w:eastAsiaTheme="minorEastAsia" w:cstheme="minorBidi"/>
              <w:lang w:eastAsia="en-NZ"/>
            </w:rPr>
          </w:pPr>
          <w:hyperlink w:anchor="_Toc403833212" w:history="1">
            <w:r w:rsidR="00BA7DA4" w:rsidRPr="00C94DB8">
              <w:rPr>
                <w:rStyle w:val="Hyperlink"/>
                <w:szCs w:val="22"/>
              </w:rPr>
              <w:t>Appendix B</w:t>
            </w:r>
            <w:r w:rsidR="00C94DB8">
              <w:rPr>
                <w:rStyle w:val="Hyperlink"/>
                <w:szCs w:val="22"/>
              </w:rPr>
              <w:tab/>
            </w:r>
            <w:r w:rsidR="00BA7DA4" w:rsidRPr="00C94DB8">
              <w:rPr>
                <w:rStyle w:val="Hyperlink"/>
                <w:szCs w:val="22"/>
              </w:rPr>
              <w:t>Past year participation in individual gambling activities by demographics</w:t>
            </w:r>
            <w:r w:rsidR="00BA7DA4" w:rsidRPr="00C94DB8">
              <w:rPr>
                <w:webHidden/>
              </w:rPr>
              <w:tab/>
            </w:r>
            <w:r w:rsidR="00BA7DA4" w:rsidRPr="00C94DB8">
              <w:rPr>
                <w:webHidden/>
              </w:rPr>
              <w:fldChar w:fldCharType="begin"/>
            </w:r>
            <w:r w:rsidR="00BA7DA4" w:rsidRPr="00C94DB8">
              <w:rPr>
                <w:webHidden/>
              </w:rPr>
              <w:instrText xml:space="preserve"> PAGEREF _Toc403833212 \h </w:instrText>
            </w:r>
            <w:r w:rsidR="00BA7DA4" w:rsidRPr="00C94DB8">
              <w:rPr>
                <w:webHidden/>
              </w:rPr>
            </w:r>
            <w:r w:rsidR="00BA7DA4" w:rsidRPr="00C94DB8">
              <w:rPr>
                <w:webHidden/>
              </w:rPr>
              <w:fldChar w:fldCharType="separate"/>
            </w:r>
            <w:r w:rsidR="00AA25B9">
              <w:rPr>
                <w:webHidden/>
              </w:rPr>
              <w:t>130</w:t>
            </w:r>
            <w:r w:rsidR="00BA7DA4" w:rsidRPr="00C94DB8">
              <w:rPr>
                <w:webHidden/>
              </w:rPr>
              <w:fldChar w:fldCharType="end"/>
            </w:r>
          </w:hyperlink>
        </w:p>
        <w:p w14:paraId="76AD62CA" w14:textId="08AEBD68" w:rsidR="00BA7DA4" w:rsidRPr="00C94DB8" w:rsidRDefault="00CA3637" w:rsidP="00C94DB8">
          <w:pPr>
            <w:pStyle w:val="TOC2"/>
            <w:ind w:left="1418" w:hanging="1178"/>
            <w:rPr>
              <w:rFonts w:eastAsiaTheme="minorEastAsia" w:cstheme="minorBidi"/>
              <w:lang w:eastAsia="en-NZ"/>
            </w:rPr>
          </w:pPr>
          <w:hyperlink w:anchor="_Toc403833213" w:history="1">
            <w:r w:rsidR="00BA7DA4" w:rsidRPr="00C94DB8">
              <w:rPr>
                <w:rStyle w:val="Hyperlink"/>
                <w:szCs w:val="22"/>
              </w:rPr>
              <w:t xml:space="preserve">Appendix C </w:t>
            </w:r>
            <w:r w:rsidR="00C94DB8">
              <w:rPr>
                <w:rStyle w:val="Hyperlink"/>
                <w:szCs w:val="22"/>
              </w:rPr>
              <w:tab/>
            </w:r>
            <w:r w:rsidR="00BA7DA4" w:rsidRPr="00C94DB8">
              <w:rPr>
                <w:rStyle w:val="Hyperlink"/>
                <w:szCs w:val="22"/>
              </w:rPr>
              <w:t>Past year participation in individual gambling activities by NZHS survey wave</w:t>
            </w:r>
            <w:r w:rsidR="00BA7DA4" w:rsidRPr="00C94DB8">
              <w:rPr>
                <w:webHidden/>
              </w:rPr>
              <w:tab/>
            </w:r>
            <w:r w:rsidR="00BA7DA4" w:rsidRPr="00C94DB8">
              <w:rPr>
                <w:webHidden/>
              </w:rPr>
              <w:fldChar w:fldCharType="begin"/>
            </w:r>
            <w:r w:rsidR="00BA7DA4" w:rsidRPr="00C94DB8">
              <w:rPr>
                <w:webHidden/>
              </w:rPr>
              <w:instrText xml:space="preserve"> PAGEREF _Toc403833213 \h </w:instrText>
            </w:r>
            <w:r w:rsidR="00BA7DA4" w:rsidRPr="00C94DB8">
              <w:rPr>
                <w:webHidden/>
              </w:rPr>
            </w:r>
            <w:r w:rsidR="00BA7DA4" w:rsidRPr="00C94DB8">
              <w:rPr>
                <w:webHidden/>
              </w:rPr>
              <w:fldChar w:fldCharType="separate"/>
            </w:r>
            <w:r w:rsidR="00AA25B9">
              <w:rPr>
                <w:webHidden/>
              </w:rPr>
              <w:t>134</w:t>
            </w:r>
            <w:r w:rsidR="00BA7DA4" w:rsidRPr="00C94DB8">
              <w:rPr>
                <w:webHidden/>
              </w:rPr>
              <w:fldChar w:fldCharType="end"/>
            </w:r>
          </w:hyperlink>
        </w:p>
        <w:p w14:paraId="74B3D684" w14:textId="32A4F04F" w:rsidR="00BA7DA4" w:rsidRPr="00C94DB8" w:rsidRDefault="00CA3637" w:rsidP="00C94DB8">
          <w:pPr>
            <w:pStyle w:val="TOC2"/>
            <w:ind w:left="1418" w:hanging="1178"/>
            <w:rPr>
              <w:rFonts w:eastAsiaTheme="minorEastAsia" w:cstheme="minorBidi"/>
              <w:lang w:eastAsia="en-NZ"/>
            </w:rPr>
          </w:pPr>
          <w:hyperlink w:anchor="_Toc403833214" w:history="1">
            <w:r w:rsidR="00BA7DA4" w:rsidRPr="00C94DB8">
              <w:rPr>
                <w:rStyle w:val="Hyperlink"/>
                <w:szCs w:val="22"/>
              </w:rPr>
              <w:t>Appendix D</w:t>
            </w:r>
            <w:r w:rsidR="00C94DB8">
              <w:rPr>
                <w:rStyle w:val="Hyperlink"/>
                <w:szCs w:val="22"/>
              </w:rPr>
              <w:tab/>
            </w:r>
            <w:r w:rsidR="00BA7DA4" w:rsidRPr="00C94DB8">
              <w:rPr>
                <w:rStyle w:val="Hyperlink"/>
                <w:szCs w:val="22"/>
              </w:rPr>
              <w:t>Number of gambling activities in last 12 months</w:t>
            </w:r>
            <w:r w:rsidR="00BA7DA4" w:rsidRPr="00C94DB8">
              <w:rPr>
                <w:webHidden/>
              </w:rPr>
              <w:tab/>
            </w:r>
            <w:r w:rsidR="00BA7DA4" w:rsidRPr="00C94DB8">
              <w:rPr>
                <w:webHidden/>
              </w:rPr>
              <w:fldChar w:fldCharType="begin"/>
            </w:r>
            <w:r w:rsidR="00BA7DA4" w:rsidRPr="00C94DB8">
              <w:rPr>
                <w:webHidden/>
              </w:rPr>
              <w:instrText xml:space="preserve"> PAGEREF _Toc403833214 \h </w:instrText>
            </w:r>
            <w:r w:rsidR="00BA7DA4" w:rsidRPr="00C94DB8">
              <w:rPr>
                <w:webHidden/>
              </w:rPr>
            </w:r>
            <w:r w:rsidR="00BA7DA4" w:rsidRPr="00C94DB8">
              <w:rPr>
                <w:webHidden/>
              </w:rPr>
              <w:fldChar w:fldCharType="separate"/>
            </w:r>
            <w:r w:rsidR="00AA25B9">
              <w:rPr>
                <w:webHidden/>
              </w:rPr>
              <w:t>135</w:t>
            </w:r>
            <w:r w:rsidR="00BA7DA4" w:rsidRPr="00C94DB8">
              <w:rPr>
                <w:webHidden/>
              </w:rPr>
              <w:fldChar w:fldCharType="end"/>
            </w:r>
          </w:hyperlink>
        </w:p>
        <w:p w14:paraId="32397EF7" w14:textId="7CA3E302" w:rsidR="00BA7DA4" w:rsidRPr="00C94DB8" w:rsidRDefault="00CA3637" w:rsidP="00C94DB8">
          <w:pPr>
            <w:pStyle w:val="TOC2"/>
            <w:ind w:left="1418" w:hanging="1178"/>
            <w:rPr>
              <w:rFonts w:eastAsiaTheme="minorEastAsia" w:cstheme="minorBidi"/>
              <w:lang w:eastAsia="en-NZ"/>
            </w:rPr>
          </w:pPr>
          <w:hyperlink w:anchor="_Toc403833215" w:history="1">
            <w:r w:rsidR="00BA7DA4" w:rsidRPr="00C94DB8">
              <w:rPr>
                <w:rStyle w:val="Hyperlink"/>
                <w:szCs w:val="22"/>
              </w:rPr>
              <w:t>Appendix E</w:t>
            </w:r>
            <w:r w:rsidR="00C94DB8">
              <w:rPr>
                <w:rStyle w:val="Hyperlink"/>
                <w:szCs w:val="22"/>
              </w:rPr>
              <w:t xml:space="preserve"> </w:t>
            </w:r>
            <w:r w:rsidR="00C94DB8">
              <w:rPr>
                <w:rStyle w:val="Hyperlink"/>
                <w:szCs w:val="22"/>
              </w:rPr>
              <w:tab/>
            </w:r>
            <w:r w:rsidR="00BA7DA4" w:rsidRPr="00C94DB8">
              <w:rPr>
                <w:rStyle w:val="Hyperlink"/>
                <w:szCs w:val="22"/>
              </w:rPr>
              <w:t>Preferred gambling activity</w:t>
            </w:r>
            <w:r w:rsidR="00BA7DA4" w:rsidRPr="00C94DB8">
              <w:rPr>
                <w:webHidden/>
              </w:rPr>
              <w:tab/>
            </w:r>
            <w:r w:rsidR="00BA7DA4" w:rsidRPr="00C94DB8">
              <w:rPr>
                <w:webHidden/>
              </w:rPr>
              <w:fldChar w:fldCharType="begin"/>
            </w:r>
            <w:r w:rsidR="00BA7DA4" w:rsidRPr="00C94DB8">
              <w:rPr>
                <w:webHidden/>
              </w:rPr>
              <w:instrText xml:space="preserve"> PAGEREF _Toc403833215 \h </w:instrText>
            </w:r>
            <w:r w:rsidR="00BA7DA4" w:rsidRPr="00C94DB8">
              <w:rPr>
                <w:webHidden/>
              </w:rPr>
            </w:r>
            <w:r w:rsidR="00BA7DA4" w:rsidRPr="00C94DB8">
              <w:rPr>
                <w:webHidden/>
              </w:rPr>
              <w:fldChar w:fldCharType="separate"/>
            </w:r>
            <w:r w:rsidR="00AA25B9">
              <w:rPr>
                <w:webHidden/>
              </w:rPr>
              <w:t>136</w:t>
            </w:r>
            <w:r w:rsidR="00BA7DA4" w:rsidRPr="00C94DB8">
              <w:rPr>
                <w:webHidden/>
              </w:rPr>
              <w:fldChar w:fldCharType="end"/>
            </w:r>
          </w:hyperlink>
        </w:p>
        <w:p w14:paraId="62C88AB1" w14:textId="3648BB8A" w:rsidR="00BA7DA4" w:rsidRPr="00C94DB8" w:rsidRDefault="00CA3637" w:rsidP="00C94DB8">
          <w:pPr>
            <w:pStyle w:val="TOC2"/>
            <w:ind w:left="1418" w:hanging="1178"/>
            <w:rPr>
              <w:rFonts w:eastAsiaTheme="minorEastAsia" w:cstheme="minorBidi"/>
              <w:lang w:eastAsia="en-NZ"/>
            </w:rPr>
          </w:pPr>
          <w:hyperlink w:anchor="_Toc403833216" w:history="1">
            <w:r w:rsidR="00BA7DA4" w:rsidRPr="00C94DB8">
              <w:rPr>
                <w:rStyle w:val="Hyperlink"/>
                <w:szCs w:val="22"/>
              </w:rPr>
              <w:t xml:space="preserve">Appendix F </w:t>
            </w:r>
            <w:r w:rsidR="00C94DB8">
              <w:rPr>
                <w:rFonts w:eastAsiaTheme="minorEastAsia" w:cstheme="minorBidi"/>
                <w:lang w:eastAsia="en-NZ"/>
              </w:rPr>
              <w:tab/>
            </w:r>
            <w:r w:rsidR="00BA7DA4" w:rsidRPr="00C94DB8">
              <w:rPr>
                <w:rStyle w:val="Hyperlink"/>
                <w:szCs w:val="22"/>
              </w:rPr>
              <w:t>Changes over time – comparison of 2002/03, 2006/07 and 2011/12 NZHS:  Prevalence of problem gambling</w:t>
            </w:r>
            <w:r w:rsidR="00BA7DA4" w:rsidRPr="00C94DB8">
              <w:rPr>
                <w:webHidden/>
              </w:rPr>
              <w:tab/>
            </w:r>
            <w:r w:rsidR="00BA7DA4" w:rsidRPr="00C94DB8">
              <w:rPr>
                <w:webHidden/>
              </w:rPr>
              <w:fldChar w:fldCharType="begin"/>
            </w:r>
            <w:r w:rsidR="00BA7DA4" w:rsidRPr="00C94DB8">
              <w:rPr>
                <w:webHidden/>
              </w:rPr>
              <w:instrText xml:space="preserve"> PAGEREF _Toc403833216 \h </w:instrText>
            </w:r>
            <w:r w:rsidR="00BA7DA4" w:rsidRPr="00C94DB8">
              <w:rPr>
                <w:webHidden/>
              </w:rPr>
            </w:r>
            <w:r w:rsidR="00BA7DA4" w:rsidRPr="00C94DB8">
              <w:rPr>
                <w:webHidden/>
              </w:rPr>
              <w:fldChar w:fldCharType="separate"/>
            </w:r>
            <w:r w:rsidR="00AA25B9">
              <w:rPr>
                <w:webHidden/>
              </w:rPr>
              <w:t>138</w:t>
            </w:r>
            <w:r w:rsidR="00BA7DA4" w:rsidRPr="00C94DB8">
              <w:rPr>
                <w:webHidden/>
              </w:rPr>
              <w:fldChar w:fldCharType="end"/>
            </w:r>
          </w:hyperlink>
        </w:p>
        <w:p w14:paraId="427D94A6" w14:textId="1F4F61B2" w:rsidR="00BA7DA4" w:rsidRPr="00C94DB8" w:rsidRDefault="00CA3637" w:rsidP="00C94DB8">
          <w:pPr>
            <w:pStyle w:val="TOC2"/>
            <w:ind w:left="1418" w:hanging="1178"/>
            <w:rPr>
              <w:rFonts w:eastAsiaTheme="minorEastAsia" w:cstheme="minorBidi"/>
              <w:lang w:eastAsia="en-NZ"/>
            </w:rPr>
          </w:pPr>
          <w:hyperlink w:anchor="_Toc403833217" w:history="1">
            <w:r w:rsidR="00BA7DA4" w:rsidRPr="00C94DB8">
              <w:rPr>
                <w:rStyle w:val="Hyperlink"/>
                <w:szCs w:val="22"/>
              </w:rPr>
              <w:t>Appendix G</w:t>
            </w:r>
            <w:r w:rsidR="00C94DB8">
              <w:rPr>
                <w:rFonts w:eastAsiaTheme="minorEastAsia" w:cstheme="minorBidi"/>
                <w:lang w:eastAsia="en-NZ"/>
              </w:rPr>
              <w:t xml:space="preserve"> </w:t>
            </w:r>
            <w:r w:rsidR="00C94DB8">
              <w:rPr>
                <w:rFonts w:eastAsiaTheme="minorEastAsia" w:cstheme="minorBidi"/>
                <w:lang w:eastAsia="en-NZ"/>
              </w:rPr>
              <w:tab/>
            </w:r>
            <w:r w:rsidR="00BA7DA4" w:rsidRPr="00C94DB8">
              <w:rPr>
                <w:rStyle w:val="Hyperlink"/>
                <w:szCs w:val="22"/>
              </w:rPr>
              <w:t>Gambling status (PGSI categorisation) by demographics</w:t>
            </w:r>
            <w:r w:rsidR="00BA7DA4" w:rsidRPr="00C94DB8">
              <w:rPr>
                <w:webHidden/>
              </w:rPr>
              <w:tab/>
            </w:r>
            <w:r w:rsidR="00BA7DA4" w:rsidRPr="00C94DB8">
              <w:rPr>
                <w:webHidden/>
              </w:rPr>
              <w:fldChar w:fldCharType="begin"/>
            </w:r>
            <w:r w:rsidR="00BA7DA4" w:rsidRPr="00C94DB8">
              <w:rPr>
                <w:webHidden/>
              </w:rPr>
              <w:instrText xml:space="preserve"> PAGEREF _Toc403833217 \h </w:instrText>
            </w:r>
            <w:r w:rsidR="00BA7DA4" w:rsidRPr="00C94DB8">
              <w:rPr>
                <w:webHidden/>
              </w:rPr>
            </w:r>
            <w:r w:rsidR="00BA7DA4" w:rsidRPr="00C94DB8">
              <w:rPr>
                <w:webHidden/>
              </w:rPr>
              <w:fldChar w:fldCharType="separate"/>
            </w:r>
            <w:r w:rsidR="00AA25B9">
              <w:rPr>
                <w:webHidden/>
              </w:rPr>
              <w:t>139</w:t>
            </w:r>
            <w:r w:rsidR="00BA7DA4" w:rsidRPr="00C94DB8">
              <w:rPr>
                <w:webHidden/>
              </w:rPr>
              <w:fldChar w:fldCharType="end"/>
            </w:r>
          </w:hyperlink>
        </w:p>
        <w:p w14:paraId="66BC70CE" w14:textId="4363A4DC" w:rsidR="00BA7DA4" w:rsidRPr="00C94DB8" w:rsidRDefault="00CA3637" w:rsidP="00C94DB8">
          <w:pPr>
            <w:pStyle w:val="TOC2"/>
            <w:ind w:left="1418" w:hanging="1178"/>
            <w:rPr>
              <w:rFonts w:eastAsiaTheme="minorEastAsia" w:cstheme="minorBidi"/>
              <w:lang w:eastAsia="en-NZ"/>
            </w:rPr>
          </w:pPr>
          <w:hyperlink w:anchor="_Toc403833218" w:history="1">
            <w:r w:rsidR="00BA7DA4" w:rsidRPr="00C94DB8">
              <w:rPr>
                <w:rStyle w:val="Hyperlink"/>
                <w:szCs w:val="22"/>
              </w:rPr>
              <w:t>Appendix H</w:t>
            </w:r>
            <w:r w:rsidR="00C94DB8">
              <w:rPr>
                <w:rStyle w:val="Hyperlink"/>
                <w:szCs w:val="22"/>
              </w:rPr>
              <w:t xml:space="preserve"> </w:t>
            </w:r>
            <w:r w:rsidR="00C94DB8">
              <w:rPr>
                <w:rStyle w:val="Hyperlink"/>
                <w:szCs w:val="22"/>
              </w:rPr>
              <w:tab/>
            </w:r>
            <w:r w:rsidR="00BA7DA4" w:rsidRPr="00C94DB8">
              <w:rPr>
                <w:rStyle w:val="Hyperlink"/>
                <w:szCs w:val="22"/>
              </w:rPr>
              <w:t>Socio-demographics and gambling</w:t>
            </w:r>
            <w:r w:rsidR="00BA7DA4" w:rsidRPr="00C94DB8">
              <w:rPr>
                <w:webHidden/>
              </w:rPr>
              <w:tab/>
            </w:r>
            <w:r w:rsidR="00BA7DA4" w:rsidRPr="00C94DB8">
              <w:rPr>
                <w:webHidden/>
              </w:rPr>
              <w:fldChar w:fldCharType="begin"/>
            </w:r>
            <w:r w:rsidR="00BA7DA4" w:rsidRPr="00C94DB8">
              <w:rPr>
                <w:webHidden/>
              </w:rPr>
              <w:instrText xml:space="preserve"> PAGEREF _Toc403833218 \h </w:instrText>
            </w:r>
            <w:r w:rsidR="00BA7DA4" w:rsidRPr="00C94DB8">
              <w:rPr>
                <w:webHidden/>
              </w:rPr>
            </w:r>
            <w:r w:rsidR="00BA7DA4" w:rsidRPr="00C94DB8">
              <w:rPr>
                <w:webHidden/>
              </w:rPr>
              <w:fldChar w:fldCharType="separate"/>
            </w:r>
            <w:r w:rsidR="00AA25B9">
              <w:rPr>
                <w:webHidden/>
              </w:rPr>
              <w:t>141</w:t>
            </w:r>
            <w:r w:rsidR="00BA7DA4" w:rsidRPr="00C94DB8">
              <w:rPr>
                <w:webHidden/>
              </w:rPr>
              <w:fldChar w:fldCharType="end"/>
            </w:r>
          </w:hyperlink>
        </w:p>
        <w:p w14:paraId="66407A22" w14:textId="60B8526D" w:rsidR="00BA7DA4" w:rsidRPr="00C94DB8" w:rsidRDefault="00CA3637" w:rsidP="00C94DB8">
          <w:pPr>
            <w:pStyle w:val="TOC2"/>
            <w:ind w:left="1418" w:hanging="1178"/>
            <w:rPr>
              <w:rFonts w:eastAsiaTheme="minorEastAsia" w:cstheme="minorBidi"/>
              <w:lang w:eastAsia="en-NZ"/>
            </w:rPr>
          </w:pPr>
          <w:hyperlink w:anchor="_Toc403833219" w:history="1">
            <w:r w:rsidR="00BA7DA4" w:rsidRPr="00C94DB8">
              <w:rPr>
                <w:rStyle w:val="Hyperlink"/>
                <w:szCs w:val="22"/>
              </w:rPr>
              <w:t>Appendix I</w:t>
            </w:r>
            <w:r w:rsidR="00C94DB8">
              <w:rPr>
                <w:rStyle w:val="Hyperlink"/>
                <w:szCs w:val="22"/>
              </w:rPr>
              <w:t xml:space="preserve"> </w:t>
            </w:r>
            <w:r w:rsidR="00C94DB8">
              <w:rPr>
                <w:rStyle w:val="Hyperlink"/>
                <w:szCs w:val="22"/>
              </w:rPr>
              <w:tab/>
            </w:r>
            <w:r w:rsidR="00BA7DA4" w:rsidRPr="00C94DB8">
              <w:rPr>
                <w:rStyle w:val="Hyperlink"/>
                <w:szCs w:val="22"/>
              </w:rPr>
              <w:t>Dangerous consumptions and gambling</w:t>
            </w:r>
            <w:r w:rsidR="00BA7DA4" w:rsidRPr="00C94DB8">
              <w:rPr>
                <w:webHidden/>
              </w:rPr>
              <w:tab/>
            </w:r>
            <w:r w:rsidR="00BA7DA4" w:rsidRPr="00C94DB8">
              <w:rPr>
                <w:webHidden/>
              </w:rPr>
              <w:fldChar w:fldCharType="begin"/>
            </w:r>
            <w:r w:rsidR="00BA7DA4" w:rsidRPr="00C94DB8">
              <w:rPr>
                <w:webHidden/>
              </w:rPr>
              <w:instrText xml:space="preserve"> PAGEREF _Toc403833219 \h </w:instrText>
            </w:r>
            <w:r w:rsidR="00BA7DA4" w:rsidRPr="00C94DB8">
              <w:rPr>
                <w:webHidden/>
              </w:rPr>
            </w:r>
            <w:r w:rsidR="00BA7DA4" w:rsidRPr="00C94DB8">
              <w:rPr>
                <w:webHidden/>
              </w:rPr>
              <w:fldChar w:fldCharType="separate"/>
            </w:r>
            <w:r w:rsidR="00AA25B9">
              <w:rPr>
                <w:webHidden/>
              </w:rPr>
              <w:t>143</w:t>
            </w:r>
            <w:r w:rsidR="00BA7DA4" w:rsidRPr="00C94DB8">
              <w:rPr>
                <w:webHidden/>
              </w:rPr>
              <w:fldChar w:fldCharType="end"/>
            </w:r>
          </w:hyperlink>
        </w:p>
        <w:p w14:paraId="529A4863" w14:textId="1A3F1CE1" w:rsidR="00BA7DA4" w:rsidRPr="00C94DB8" w:rsidRDefault="00CA3637" w:rsidP="00C94DB8">
          <w:pPr>
            <w:pStyle w:val="TOC2"/>
            <w:ind w:left="1418" w:hanging="1178"/>
            <w:rPr>
              <w:rFonts w:eastAsiaTheme="minorEastAsia" w:cstheme="minorBidi"/>
              <w:lang w:eastAsia="en-NZ"/>
            </w:rPr>
          </w:pPr>
          <w:hyperlink w:anchor="_Toc403833220" w:history="1">
            <w:r w:rsidR="00BA7DA4" w:rsidRPr="00C94DB8">
              <w:rPr>
                <w:rStyle w:val="Hyperlink"/>
                <w:szCs w:val="22"/>
              </w:rPr>
              <w:t>Appendix J</w:t>
            </w:r>
            <w:r w:rsidR="00C94DB8">
              <w:rPr>
                <w:rStyle w:val="Hyperlink"/>
                <w:szCs w:val="22"/>
              </w:rPr>
              <w:t xml:space="preserve"> </w:t>
            </w:r>
            <w:r w:rsidR="00C94DB8">
              <w:rPr>
                <w:rStyle w:val="Hyperlink"/>
                <w:szCs w:val="22"/>
              </w:rPr>
              <w:tab/>
            </w:r>
            <w:r w:rsidR="00BA7DA4" w:rsidRPr="00C94DB8">
              <w:rPr>
                <w:rStyle w:val="Hyperlink"/>
                <w:szCs w:val="22"/>
              </w:rPr>
              <w:t>Health and gambling</w:t>
            </w:r>
            <w:r w:rsidR="00BA7DA4" w:rsidRPr="00C94DB8">
              <w:rPr>
                <w:webHidden/>
              </w:rPr>
              <w:tab/>
            </w:r>
            <w:r w:rsidR="00BA7DA4" w:rsidRPr="00C94DB8">
              <w:rPr>
                <w:webHidden/>
              </w:rPr>
              <w:fldChar w:fldCharType="begin"/>
            </w:r>
            <w:r w:rsidR="00BA7DA4" w:rsidRPr="00C94DB8">
              <w:rPr>
                <w:webHidden/>
              </w:rPr>
              <w:instrText xml:space="preserve"> PAGEREF _Toc403833220 \h </w:instrText>
            </w:r>
            <w:r w:rsidR="00BA7DA4" w:rsidRPr="00C94DB8">
              <w:rPr>
                <w:webHidden/>
              </w:rPr>
            </w:r>
            <w:r w:rsidR="00BA7DA4" w:rsidRPr="00C94DB8">
              <w:rPr>
                <w:webHidden/>
              </w:rPr>
              <w:fldChar w:fldCharType="separate"/>
            </w:r>
            <w:r w:rsidR="00AA25B9">
              <w:rPr>
                <w:webHidden/>
              </w:rPr>
              <w:t>145</w:t>
            </w:r>
            <w:r w:rsidR="00BA7DA4" w:rsidRPr="00C94DB8">
              <w:rPr>
                <w:webHidden/>
              </w:rPr>
              <w:fldChar w:fldCharType="end"/>
            </w:r>
          </w:hyperlink>
        </w:p>
        <w:p w14:paraId="03D7D63C" w14:textId="0243B231" w:rsidR="00BA7DA4" w:rsidRPr="00C94DB8" w:rsidRDefault="00CA3637" w:rsidP="00C94DB8">
          <w:pPr>
            <w:pStyle w:val="TOC2"/>
            <w:ind w:left="1418" w:hanging="1178"/>
            <w:rPr>
              <w:rFonts w:eastAsiaTheme="minorEastAsia" w:cstheme="minorBidi"/>
              <w:lang w:eastAsia="en-NZ"/>
            </w:rPr>
          </w:pPr>
          <w:hyperlink w:anchor="_Toc403833221" w:history="1">
            <w:r w:rsidR="00BA7DA4" w:rsidRPr="00C94DB8">
              <w:rPr>
                <w:rStyle w:val="Hyperlink"/>
                <w:szCs w:val="22"/>
              </w:rPr>
              <w:t>Appendix K</w:t>
            </w:r>
            <w:r w:rsidR="00C94DB8">
              <w:rPr>
                <w:rStyle w:val="Hyperlink"/>
                <w:szCs w:val="22"/>
              </w:rPr>
              <w:t xml:space="preserve"> </w:t>
            </w:r>
            <w:r w:rsidR="00C94DB8">
              <w:rPr>
                <w:rStyle w:val="Hyperlink"/>
                <w:szCs w:val="22"/>
              </w:rPr>
              <w:tab/>
            </w:r>
            <w:r w:rsidR="00BA7DA4" w:rsidRPr="00C94DB8">
              <w:rPr>
                <w:rStyle w:val="Hyperlink"/>
                <w:szCs w:val="22"/>
              </w:rPr>
              <w:t>Use of health services and gambling</w:t>
            </w:r>
            <w:r w:rsidR="00BA7DA4" w:rsidRPr="00C94DB8">
              <w:rPr>
                <w:webHidden/>
              </w:rPr>
              <w:tab/>
            </w:r>
            <w:r w:rsidR="00BA7DA4" w:rsidRPr="00C94DB8">
              <w:rPr>
                <w:webHidden/>
              </w:rPr>
              <w:fldChar w:fldCharType="begin"/>
            </w:r>
            <w:r w:rsidR="00BA7DA4" w:rsidRPr="00C94DB8">
              <w:rPr>
                <w:webHidden/>
              </w:rPr>
              <w:instrText xml:space="preserve"> PAGEREF _Toc403833221 \h </w:instrText>
            </w:r>
            <w:r w:rsidR="00BA7DA4" w:rsidRPr="00C94DB8">
              <w:rPr>
                <w:webHidden/>
              </w:rPr>
            </w:r>
            <w:r w:rsidR="00BA7DA4" w:rsidRPr="00C94DB8">
              <w:rPr>
                <w:webHidden/>
              </w:rPr>
              <w:fldChar w:fldCharType="separate"/>
            </w:r>
            <w:r w:rsidR="00AA25B9">
              <w:rPr>
                <w:webHidden/>
              </w:rPr>
              <w:t>147</w:t>
            </w:r>
            <w:r w:rsidR="00BA7DA4" w:rsidRPr="00C94DB8">
              <w:rPr>
                <w:webHidden/>
              </w:rPr>
              <w:fldChar w:fldCharType="end"/>
            </w:r>
          </w:hyperlink>
        </w:p>
        <w:p w14:paraId="0A426E3A" w14:textId="7A17BC17" w:rsidR="0085628C" w:rsidRPr="00AF3A24" w:rsidRDefault="00CA3637" w:rsidP="00CF0FB7">
          <w:pPr>
            <w:pStyle w:val="TOC2"/>
            <w:ind w:left="1418" w:hanging="1178"/>
            <w:rPr>
              <w:sz w:val="20"/>
            </w:rPr>
          </w:pPr>
          <w:hyperlink w:anchor="_Toc403833222" w:history="1">
            <w:r w:rsidR="00BA7DA4" w:rsidRPr="00C94DB8">
              <w:rPr>
                <w:rStyle w:val="Hyperlink"/>
                <w:szCs w:val="22"/>
              </w:rPr>
              <w:t>Appendix L</w:t>
            </w:r>
            <w:r w:rsidR="00C94DB8">
              <w:rPr>
                <w:rStyle w:val="Hyperlink"/>
                <w:szCs w:val="22"/>
              </w:rPr>
              <w:tab/>
            </w:r>
            <w:r w:rsidR="00BA7DA4" w:rsidRPr="00C94DB8">
              <w:rPr>
                <w:rStyle w:val="Hyperlink"/>
                <w:szCs w:val="22"/>
              </w:rPr>
              <w:t>Experiencing problems due to someone else’s gambling  – activity that was involved</w:t>
            </w:r>
            <w:r w:rsidR="00BA7DA4" w:rsidRPr="00C94DB8">
              <w:rPr>
                <w:webHidden/>
              </w:rPr>
              <w:tab/>
            </w:r>
            <w:r w:rsidR="00BA7DA4" w:rsidRPr="00C94DB8">
              <w:rPr>
                <w:webHidden/>
              </w:rPr>
              <w:fldChar w:fldCharType="begin"/>
            </w:r>
            <w:r w:rsidR="00BA7DA4" w:rsidRPr="00C94DB8">
              <w:rPr>
                <w:webHidden/>
              </w:rPr>
              <w:instrText xml:space="preserve"> PAGEREF _Toc403833222 \h </w:instrText>
            </w:r>
            <w:r w:rsidR="00BA7DA4" w:rsidRPr="00C94DB8">
              <w:rPr>
                <w:webHidden/>
              </w:rPr>
            </w:r>
            <w:r w:rsidR="00BA7DA4" w:rsidRPr="00C94DB8">
              <w:rPr>
                <w:webHidden/>
              </w:rPr>
              <w:fldChar w:fldCharType="separate"/>
            </w:r>
            <w:r w:rsidR="00AA25B9">
              <w:rPr>
                <w:webHidden/>
              </w:rPr>
              <w:t>149</w:t>
            </w:r>
            <w:r w:rsidR="00BA7DA4" w:rsidRPr="00C94DB8">
              <w:rPr>
                <w:webHidden/>
              </w:rPr>
              <w:fldChar w:fldCharType="end"/>
            </w:r>
          </w:hyperlink>
          <w:r w:rsidR="0085628C" w:rsidRPr="00697C63">
            <w:rPr>
              <w:szCs w:val="22"/>
            </w:rPr>
            <w:fldChar w:fldCharType="end"/>
          </w:r>
        </w:p>
      </w:sdtContent>
    </w:sdt>
    <w:p w14:paraId="318B63EA" w14:textId="77777777" w:rsidR="00906F36" w:rsidRDefault="00861C7C" w:rsidP="001E6994">
      <w:pPr>
        <w:pStyle w:val="TOCHeading"/>
        <w:spacing w:before="0"/>
        <w:ind w:left="1134" w:hanging="1134"/>
        <w:rPr>
          <w:rFonts w:asciiTheme="minorHAnsi" w:hAnsiTheme="minorHAnsi"/>
        </w:rPr>
      </w:pPr>
      <w:r>
        <w:rPr>
          <w:rFonts w:asciiTheme="minorHAnsi" w:hAnsiTheme="minorHAnsi"/>
        </w:rPr>
        <w:br w:type="page"/>
      </w:r>
      <w:r w:rsidR="001E6994" w:rsidRPr="00AF3A24">
        <w:rPr>
          <w:rFonts w:asciiTheme="minorHAnsi" w:hAnsiTheme="minorHAnsi"/>
        </w:rPr>
        <w:lastRenderedPageBreak/>
        <w:t>LIST OF TABLES</w:t>
      </w:r>
    </w:p>
    <w:p w14:paraId="4229508E" w14:textId="77777777" w:rsidR="00597920" w:rsidRDefault="00597920" w:rsidP="0088099F">
      <w:pPr>
        <w:pStyle w:val="TableofFigures"/>
        <w:tabs>
          <w:tab w:val="left" w:pos="1134"/>
          <w:tab w:val="right" w:leader="dot" w:pos="9781"/>
        </w:tabs>
        <w:ind w:left="1134" w:right="850" w:hanging="1134"/>
        <w:rPr>
          <w:rStyle w:val="Hyperlink"/>
          <w:noProof/>
          <w:sz w:val="20"/>
        </w:rPr>
      </w:pPr>
    </w:p>
    <w:p w14:paraId="791248B9" w14:textId="63F05137" w:rsidR="0060749D" w:rsidRDefault="008F0B35" w:rsidP="000F2F0F">
      <w:pPr>
        <w:pStyle w:val="TableofFigures"/>
        <w:tabs>
          <w:tab w:val="right" w:leader="dot" w:pos="9720"/>
        </w:tabs>
        <w:ind w:left="1170" w:right="871" w:hanging="1170"/>
        <w:rPr>
          <w:rFonts w:eastAsiaTheme="minorEastAsia" w:cstheme="minorBidi"/>
          <w:noProof/>
          <w:szCs w:val="22"/>
          <w:lang w:eastAsia="en-NZ"/>
        </w:rPr>
      </w:pPr>
      <w:r w:rsidRPr="008A5C48">
        <w:rPr>
          <w:rStyle w:val="Hyperlink"/>
          <w:noProof/>
          <w:sz w:val="20"/>
        </w:rPr>
        <w:fldChar w:fldCharType="begin"/>
      </w:r>
      <w:r w:rsidRPr="008A5C48">
        <w:rPr>
          <w:rStyle w:val="Hyperlink"/>
          <w:noProof/>
          <w:sz w:val="20"/>
        </w:rPr>
        <w:instrText xml:space="preserve"> TOC \h \z \c "Table" </w:instrText>
      </w:r>
      <w:r w:rsidRPr="008A5C48">
        <w:rPr>
          <w:rStyle w:val="Hyperlink"/>
          <w:noProof/>
          <w:sz w:val="20"/>
        </w:rPr>
        <w:fldChar w:fldCharType="separate"/>
      </w:r>
      <w:hyperlink w:anchor="_Toc425426868" w:history="1">
        <w:r w:rsidR="0060749D" w:rsidRPr="003B088A">
          <w:rPr>
            <w:rStyle w:val="Hyperlink"/>
            <w:i/>
            <w:noProof/>
          </w:rPr>
          <w:t xml:space="preserve">Table 1: </w:t>
        </w:r>
        <w:r w:rsidR="000F2F0F">
          <w:rPr>
            <w:rStyle w:val="Hyperlink"/>
            <w:i/>
            <w:noProof/>
          </w:rPr>
          <w:tab/>
        </w:r>
        <w:r w:rsidR="0060749D" w:rsidRPr="003B088A">
          <w:rPr>
            <w:rStyle w:val="Hyperlink"/>
            <w:i/>
            <w:noProof/>
          </w:rPr>
          <w:t>Gambling and problem gambling prevalence research in New Zealand - overview of key research findings</w:t>
        </w:r>
        <w:r w:rsidR="0060749D">
          <w:rPr>
            <w:noProof/>
            <w:webHidden/>
          </w:rPr>
          <w:tab/>
        </w:r>
        <w:r w:rsidR="0060749D">
          <w:rPr>
            <w:noProof/>
            <w:webHidden/>
          </w:rPr>
          <w:fldChar w:fldCharType="begin"/>
        </w:r>
        <w:r w:rsidR="0060749D">
          <w:rPr>
            <w:noProof/>
            <w:webHidden/>
          </w:rPr>
          <w:instrText xml:space="preserve"> PAGEREF _Toc425426868 \h </w:instrText>
        </w:r>
        <w:r w:rsidR="0060749D">
          <w:rPr>
            <w:noProof/>
            <w:webHidden/>
          </w:rPr>
        </w:r>
        <w:r w:rsidR="0060749D">
          <w:rPr>
            <w:noProof/>
            <w:webHidden/>
          </w:rPr>
          <w:fldChar w:fldCharType="separate"/>
        </w:r>
        <w:r w:rsidR="00AA25B9">
          <w:rPr>
            <w:noProof/>
            <w:webHidden/>
          </w:rPr>
          <w:t>24</w:t>
        </w:r>
        <w:r w:rsidR="0060749D">
          <w:rPr>
            <w:noProof/>
            <w:webHidden/>
          </w:rPr>
          <w:fldChar w:fldCharType="end"/>
        </w:r>
      </w:hyperlink>
    </w:p>
    <w:p w14:paraId="4D7CD8A4"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69" w:history="1">
        <w:r w:rsidR="0060749D" w:rsidRPr="003B088A">
          <w:rPr>
            <w:rStyle w:val="Hyperlink"/>
            <w:i/>
            <w:noProof/>
          </w:rPr>
          <w:t>Table 2:</w:t>
        </w:r>
        <w:r w:rsidR="0060749D">
          <w:rPr>
            <w:rFonts w:eastAsiaTheme="minorEastAsia" w:cstheme="minorBidi"/>
            <w:noProof/>
            <w:szCs w:val="22"/>
            <w:lang w:eastAsia="en-NZ"/>
          </w:rPr>
          <w:tab/>
        </w:r>
        <w:r w:rsidR="0060749D" w:rsidRPr="003B088A">
          <w:rPr>
            <w:rStyle w:val="Hyperlink"/>
            <w:rFonts w:cstheme="minorHAnsi"/>
            <w:i/>
            <w:noProof/>
          </w:rPr>
          <w:t>PGSI scores and categorisation</w:t>
        </w:r>
        <w:r w:rsidR="0060749D">
          <w:rPr>
            <w:noProof/>
            <w:webHidden/>
          </w:rPr>
          <w:tab/>
        </w:r>
        <w:r w:rsidR="0060749D">
          <w:rPr>
            <w:noProof/>
            <w:webHidden/>
          </w:rPr>
          <w:fldChar w:fldCharType="begin"/>
        </w:r>
        <w:r w:rsidR="0060749D">
          <w:rPr>
            <w:noProof/>
            <w:webHidden/>
          </w:rPr>
          <w:instrText xml:space="preserve"> PAGEREF _Toc425426869 \h </w:instrText>
        </w:r>
        <w:r w:rsidR="0060749D">
          <w:rPr>
            <w:noProof/>
            <w:webHidden/>
          </w:rPr>
        </w:r>
        <w:r w:rsidR="0060749D">
          <w:rPr>
            <w:noProof/>
            <w:webHidden/>
          </w:rPr>
          <w:fldChar w:fldCharType="separate"/>
        </w:r>
        <w:r w:rsidR="00AA25B9">
          <w:rPr>
            <w:noProof/>
            <w:webHidden/>
          </w:rPr>
          <w:t>34</w:t>
        </w:r>
        <w:r w:rsidR="0060749D">
          <w:rPr>
            <w:noProof/>
            <w:webHidden/>
          </w:rPr>
          <w:fldChar w:fldCharType="end"/>
        </w:r>
      </w:hyperlink>
    </w:p>
    <w:p w14:paraId="498FF9F2"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0" w:history="1">
        <w:r w:rsidR="0060749D" w:rsidRPr="003B088A">
          <w:rPr>
            <w:rStyle w:val="Hyperlink"/>
            <w:i/>
            <w:noProof/>
          </w:rPr>
          <w:t>Table 3:</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gambling by demographics, total population aged 15 years and over (unadjusted prevalence; N=12,596)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_Toc425426870 \h </w:instrText>
        </w:r>
        <w:r w:rsidR="0060749D">
          <w:rPr>
            <w:noProof/>
            <w:webHidden/>
          </w:rPr>
        </w:r>
        <w:r w:rsidR="0060749D">
          <w:rPr>
            <w:noProof/>
            <w:webHidden/>
          </w:rPr>
          <w:fldChar w:fldCharType="separate"/>
        </w:r>
        <w:r w:rsidR="00AA25B9">
          <w:rPr>
            <w:noProof/>
            <w:webHidden/>
          </w:rPr>
          <w:t>39</w:t>
        </w:r>
        <w:r w:rsidR="0060749D">
          <w:rPr>
            <w:noProof/>
            <w:webHidden/>
          </w:rPr>
          <w:fldChar w:fldCharType="end"/>
        </w:r>
      </w:hyperlink>
    </w:p>
    <w:p w14:paraId="3374A81C"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1" w:history="1">
        <w:r w:rsidR="0060749D" w:rsidRPr="003B088A">
          <w:rPr>
            <w:rStyle w:val="Hyperlink"/>
            <w:i/>
            <w:noProof/>
          </w:rPr>
          <w:t>Table 4:</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specific types of gambling activities, total population aged 15 years and over (unadjusted prevalence; N=12,596)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_Toc425426871 \h </w:instrText>
        </w:r>
        <w:r w:rsidR="0060749D">
          <w:rPr>
            <w:noProof/>
            <w:webHidden/>
          </w:rPr>
        </w:r>
        <w:r w:rsidR="0060749D">
          <w:rPr>
            <w:noProof/>
            <w:webHidden/>
          </w:rPr>
          <w:fldChar w:fldCharType="separate"/>
        </w:r>
        <w:r w:rsidR="00AA25B9">
          <w:rPr>
            <w:noProof/>
            <w:webHidden/>
          </w:rPr>
          <w:t>41</w:t>
        </w:r>
        <w:r w:rsidR="0060749D">
          <w:rPr>
            <w:noProof/>
            <w:webHidden/>
          </w:rPr>
          <w:fldChar w:fldCharType="end"/>
        </w:r>
      </w:hyperlink>
    </w:p>
    <w:p w14:paraId="1D6202EE"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2" w:history="1">
        <w:r w:rsidR="0060749D" w:rsidRPr="003B088A">
          <w:rPr>
            <w:rStyle w:val="Hyperlink"/>
            <w:i/>
            <w:noProof/>
          </w:rPr>
          <w:t>Table 5:</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specific types of gambling activities by ethnicity – odds ratios and p-values (adjusted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_Toc425426872 \h </w:instrText>
        </w:r>
        <w:r w:rsidR="0060749D">
          <w:rPr>
            <w:noProof/>
            <w:webHidden/>
          </w:rPr>
        </w:r>
        <w:r w:rsidR="0060749D">
          <w:rPr>
            <w:noProof/>
            <w:webHidden/>
          </w:rPr>
          <w:fldChar w:fldCharType="separate"/>
        </w:r>
        <w:r w:rsidR="00AA25B9">
          <w:rPr>
            <w:noProof/>
            <w:webHidden/>
          </w:rPr>
          <w:t>46</w:t>
        </w:r>
        <w:r w:rsidR="0060749D">
          <w:rPr>
            <w:noProof/>
            <w:webHidden/>
          </w:rPr>
          <w:fldChar w:fldCharType="end"/>
        </w:r>
      </w:hyperlink>
    </w:p>
    <w:p w14:paraId="5417263F"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3" w:history="1">
        <w:r w:rsidR="0060749D" w:rsidRPr="003B088A">
          <w:rPr>
            <w:rStyle w:val="Hyperlink"/>
            <w:i/>
            <w:noProof/>
          </w:rPr>
          <w:t>Table 6:</w:t>
        </w:r>
        <w:r w:rsidR="0060749D">
          <w:rPr>
            <w:rFonts w:eastAsiaTheme="minorEastAsia" w:cstheme="minorBidi"/>
            <w:noProof/>
            <w:szCs w:val="22"/>
            <w:lang w:eastAsia="en-NZ"/>
          </w:rPr>
          <w:tab/>
        </w:r>
        <w:r w:rsidR="0060749D" w:rsidRPr="003B088A">
          <w:rPr>
            <w:rStyle w:val="Hyperlink"/>
            <w:rFonts w:cstheme="minorHAnsi"/>
            <w:i/>
            <w:noProof/>
          </w:rPr>
          <w:t>Past year participation in specific types of gambling activities by geography – odds ratios and p-values (unadjusted prevalence)</w:t>
        </w:r>
        <w:r w:rsidR="0060749D" w:rsidRPr="003B088A">
          <w:rPr>
            <w:rStyle w:val="Hyperlink"/>
            <w:rFonts w:cstheme="minorHAnsi"/>
            <w:i/>
            <w:noProof/>
            <w:vertAlign w:val="superscript"/>
          </w:rPr>
          <w:t xml:space="preserve"> 1</w:t>
        </w:r>
        <w:r w:rsidR="0060749D">
          <w:rPr>
            <w:noProof/>
            <w:webHidden/>
          </w:rPr>
          <w:tab/>
        </w:r>
        <w:r w:rsidR="0060749D">
          <w:rPr>
            <w:noProof/>
            <w:webHidden/>
          </w:rPr>
          <w:fldChar w:fldCharType="begin"/>
        </w:r>
        <w:r w:rsidR="0060749D">
          <w:rPr>
            <w:noProof/>
            <w:webHidden/>
          </w:rPr>
          <w:instrText xml:space="preserve"> PAGEREF _Toc425426873 \h </w:instrText>
        </w:r>
        <w:r w:rsidR="0060749D">
          <w:rPr>
            <w:noProof/>
            <w:webHidden/>
          </w:rPr>
        </w:r>
        <w:r w:rsidR="0060749D">
          <w:rPr>
            <w:noProof/>
            <w:webHidden/>
          </w:rPr>
          <w:fldChar w:fldCharType="separate"/>
        </w:r>
        <w:r w:rsidR="00AA25B9">
          <w:rPr>
            <w:noProof/>
            <w:webHidden/>
          </w:rPr>
          <w:t>47</w:t>
        </w:r>
        <w:r w:rsidR="0060749D">
          <w:rPr>
            <w:noProof/>
            <w:webHidden/>
          </w:rPr>
          <w:fldChar w:fldCharType="end"/>
        </w:r>
      </w:hyperlink>
    </w:p>
    <w:p w14:paraId="17232B29"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4" w:history="1">
        <w:r w:rsidR="0060749D" w:rsidRPr="003B088A">
          <w:rPr>
            <w:rStyle w:val="Hyperlink"/>
            <w:i/>
            <w:noProof/>
          </w:rPr>
          <w:t>Table 7:</w:t>
        </w:r>
        <w:r w:rsidR="0060749D">
          <w:rPr>
            <w:rFonts w:eastAsiaTheme="minorEastAsia" w:cstheme="minorBidi"/>
            <w:noProof/>
            <w:szCs w:val="22"/>
            <w:lang w:eastAsia="en-NZ"/>
          </w:rPr>
          <w:tab/>
        </w:r>
        <w:r w:rsidR="0060749D" w:rsidRPr="003B088A">
          <w:rPr>
            <w:rStyle w:val="Hyperlink"/>
            <w:rFonts w:cstheme="minorHAnsi"/>
            <w:i/>
            <w:noProof/>
          </w:rPr>
          <w:t xml:space="preserve">Number of gambling activities participated in during the last 12 months,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_Toc425426874 \h </w:instrText>
        </w:r>
        <w:r w:rsidR="0060749D">
          <w:rPr>
            <w:noProof/>
            <w:webHidden/>
          </w:rPr>
        </w:r>
        <w:r w:rsidR="0060749D">
          <w:rPr>
            <w:noProof/>
            <w:webHidden/>
          </w:rPr>
          <w:fldChar w:fldCharType="separate"/>
        </w:r>
        <w:r w:rsidR="00AA25B9">
          <w:rPr>
            <w:noProof/>
            <w:webHidden/>
          </w:rPr>
          <w:t>49</w:t>
        </w:r>
        <w:r w:rsidR="0060749D">
          <w:rPr>
            <w:noProof/>
            <w:webHidden/>
          </w:rPr>
          <w:fldChar w:fldCharType="end"/>
        </w:r>
      </w:hyperlink>
    </w:p>
    <w:p w14:paraId="3B3B896E"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5" w:history="1">
        <w:r w:rsidR="0060749D" w:rsidRPr="003B088A">
          <w:rPr>
            <w:rStyle w:val="Hyperlink"/>
            <w:i/>
            <w:noProof/>
          </w:rPr>
          <w:t>Table 8:</w:t>
        </w:r>
        <w:r w:rsidR="0060749D">
          <w:rPr>
            <w:rFonts w:eastAsiaTheme="minorEastAsia" w:cstheme="minorBidi"/>
            <w:noProof/>
            <w:szCs w:val="22"/>
            <w:lang w:eastAsia="en-NZ"/>
          </w:rPr>
          <w:tab/>
        </w:r>
        <w:r w:rsidR="0060749D" w:rsidRPr="003B088A">
          <w:rPr>
            <w:rStyle w:val="Hyperlink"/>
            <w:rFonts w:cstheme="minorHAnsi"/>
            <w:i/>
            <w:noProof/>
          </w:rPr>
          <w:t xml:space="preserve"> </w:t>
        </w:r>
        <w:r w:rsidR="0060749D" w:rsidRPr="003B088A">
          <w:rPr>
            <w:rStyle w:val="Hyperlink"/>
            <w:i/>
            <w:noProof/>
          </w:rPr>
          <w:t xml:space="preserve">Number of gambling activities participated in during the last 12 months, by past-year gambling participation group, past-year gamblers </w:t>
        </w:r>
        <w:r w:rsidR="0060749D" w:rsidRPr="003B088A">
          <w:rPr>
            <w:rStyle w:val="Hyperlink"/>
            <w:rFonts w:cstheme="minorHAnsi"/>
            <w:i/>
            <w:noProof/>
          </w:rPr>
          <w:t xml:space="preserve">(unadjusted prevalence; N=12,596)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_Toc425426875 \h </w:instrText>
        </w:r>
        <w:r w:rsidR="0060749D">
          <w:rPr>
            <w:noProof/>
            <w:webHidden/>
          </w:rPr>
        </w:r>
        <w:r w:rsidR="0060749D">
          <w:rPr>
            <w:noProof/>
            <w:webHidden/>
          </w:rPr>
          <w:fldChar w:fldCharType="separate"/>
        </w:r>
        <w:r w:rsidR="00AA25B9">
          <w:rPr>
            <w:noProof/>
            <w:webHidden/>
          </w:rPr>
          <w:t>53</w:t>
        </w:r>
        <w:r w:rsidR="0060749D">
          <w:rPr>
            <w:noProof/>
            <w:webHidden/>
          </w:rPr>
          <w:fldChar w:fldCharType="end"/>
        </w:r>
      </w:hyperlink>
    </w:p>
    <w:p w14:paraId="76140A03"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6" w:history="1">
        <w:r w:rsidR="0060749D" w:rsidRPr="003B088A">
          <w:rPr>
            <w:rStyle w:val="Hyperlink"/>
            <w:i/>
            <w:noProof/>
          </w:rPr>
          <w:t>Table 9:</w:t>
        </w:r>
        <w:r w:rsidR="0060749D">
          <w:rPr>
            <w:rFonts w:eastAsiaTheme="minorEastAsia" w:cstheme="minorBidi"/>
            <w:noProof/>
            <w:szCs w:val="22"/>
            <w:lang w:eastAsia="en-NZ"/>
          </w:rPr>
          <w:tab/>
        </w:r>
        <w:r w:rsidR="0060749D" w:rsidRPr="003B088A">
          <w:rPr>
            <w:rStyle w:val="Hyperlink"/>
            <w:rFonts w:cstheme="minorHAnsi"/>
            <w:i/>
            <w:noProof/>
          </w:rPr>
          <w:t xml:space="preserve">Number of gambling activities participated in during the last 12 months by NZHS survey wave, total population aged 15 years and over (adjusted prevalence; </w:t>
        </w:r>
        <w:r w:rsidR="0060749D" w:rsidRPr="003B088A">
          <w:rPr>
            <w:rStyle w:val="Hyperlink"/>
            <w:i/>
            <w:noProof/>
          </w:rPr>
          <w:t>2002/03 NZHS N=12,529,</w:t>
        </w:r>
        <w:r w:rsidR="0060749D" w:rsidRPr="003B088A">
          <w:rPr>
            <w:rStyle w:val="Hyperlink"/>
            <w:rFonts w:cstheme="minorHAnsi"/>
            <w:i/>
            <w:noProof/>
          </w:rPr>
          <w:t xml:space="preserve"> </w:t>
        </w:r>
        <w:r w:rsidR="0060749D" w:rsidRPr="003B088A">
          <w:rPr>
            <w:rStyle w:val="Hyperlink"/>
            <w:i/>
            <w:noProof/>
          </w:rPr>
          <w:t>2006/07 NZHS N=12,488, 2011/12 NZHS N=12,596</w:t>
        </w:r>
        <w:r w:rsidR="0060749D" w:rsidRPr="003B088A">
          <w:rPr>
            <w:rStyle w:val="Hyperlink"/>
            <w:rFonts w:cstheme="minorHAnsi"/>
            <w:i/>
            <w:noProof/>
          </w:rPr>
          <w:t xml:space="preserv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_Toc425426876 \h </w:instrText>
        </w:r>
        <w:r w:rsidR="0060749D">
          <w:rPr>
            <w:noProof/>
            <w:webHidden/>
          </w:rPr>
        </w:r>
        <w:r w:rsidR="0060749D">
          <w:rPr>
            <w:noProof/>
            <w:webHidden/>
          </w:rPr>
          <w:fldChar w:fldCharType="separate"/>
        </w:r>
        <w:r w:rsidR="00AA25B9">
          <w:rPr>
            <w:noProof/>
            <w:webHidden/>
          </w:rPr>
          <w:t>54</w:t>
        </w:r>
        <w:r w:rsidR="0060749D">
          <w:rPr>
            <w:noProof/>
            <w:webHidden/>
          </w:rPr>
          <w:fldChar w:fldCharType="end"/>
        </w:r>
      </w:hyperlink>
    </w:p>
    <w:p w14:paraId="79D1191C" w14:textId="15689B27" w:rsidR="0060749D" w:rsidRDefault="00CA3637" w:rsidP="000F2F0F">
      <w:pPr>
        <w:pStyle w:val="TableofFigures"/>
        <w:tabs>
          <w:tab w:val="right" w:leader="dot" w:pos="9720"/>
          <w:tab w:val="right" w:leader="dot" w:pos="9771"/>
        </w:tabs>
        <w:ind w:left="1170" w:right="871" w:hanging="1170"/>
        <w:rPr>
          <w:rFonts w:eastAsiaTheme="minorEastAsia" w:cstheme="minorBidi"/>
          <w:noProof/>
          <w:szCs w:val="22"/>
          <w:lang w:eastAsia="en-NZ"/>
        </w:rPr>
      </w:pPr>
      <w:hyperlink w:anchor="_Toc425426877" w:history="1">
        <w:r w:rsidR="0060749D" w:rsidRPr="003B088A">
          <w:rPr>
            <w:rStyle w:val="Hyperlink"/>
            <w:i/>
            <w:noProof/>
          </w:rPr>
          <w:t xml:space="preserve">Table 10: </w:t>
        </w:r>
        <w:r w:rsidR="000F2F0F">
          <w:rPr>
            <w:rStyle w:val="Hyperlink"/>
            <w:i/>
            <w:noProof/>
          </w:rPr>
          <w:tab/>
        </w:r>
        <w:r w:rsidR="0060749D" w:rsidRPr="003B088A">
          <w:rPr>
            <w:rStyle w:val="Hyperlink"/>
            <w:i/>
            <w:noProof/>
          </w:rPr>
          <w:t xml:space="preserve">Preferred gambling activity, past-year gamblers (unadjusted prevalence; N=6,549) </w:t>
        </w:r>
        <w:r w:rsidR="0060749D" w:rsidRPr="003B088A">
          <w:rPr>
            <w:rStyle w:val="Hyperlink"/>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_Toc425426877 \h </w:instrText>
        </w:r>
        <w:r w:rsidR="0060749D">
          <w:rPr>
            <w:noProof/>
            <w:webHidden/>
          </w:rPr>
        </w:r>
        <w:r w:rsidR="0060749D">
          <w:rPr>
            <w:noProof/>
            <w:webHidden/>
          </w:rPr>
          <w:fldChar w:fldCharType="separate"/>
        </w:r>
        <w:r w:rsidR="00AA25B9">
          <w:rPr>
            <w:noProof/>
            <w:webHidden/>
          </w:rPr>
          <w:t>56</w:t>
        </w:r>
        <w:r w:rsidR="0060749D">
          <w:rPr>
            <w:noProof/>
            <w:webHidden/>
          </w:rPr>
          <w:fldChar w:fldCharType="end"/>
        </w:r>
      </w:hyperlink>
    </w:p>
    <w:p w14:paraId="65BD4952"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78" w:history="1">
        <w:r w:rsidR="0060749D" w:rsidRPr="003B088A">
          <w:rPr>
            <w:rStyle w:val="Hyperlink"/>
            <w:i/>
            <w:noProof/>
          </w:rPr>
          <w:t>Table 11:</w:t>
        </w:r>
        <w:r w:rsidR="0060749D">
          <w:rPr>
            <w:rFonts w:eastAsiaTheme="minorEastAsia" w:cstheme="minorBidi"/>
            <w:noProof/>
            <w:szCs w:val="22"/>
            <w:lang w:eastAsia="en-NZ"/>
          </w:rPr>
          <w:tab/>
        </w:r>
        <w:r w:rsidR="0060749D" w:rsidRPr="003B088A">
          <w:rPr>
            <w:rStyle w:val="Hyperlink"/>
            <w:rFonts w:cstheme="minorHAnsi"/>
            <w:i/>
            <w:noProof/>
          </w:rPr>
          <w:t xml:space="preserve">Responses to individual PGSI items – prevalence of experiencing problematic gambling behaviours in the past 12 months,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_Toc425426878 \h </w:instrText>
        </w:r>
        <w:r w:rsidR="0060749D">
          <w:rPr>
            <w:noProof/>
            <w:webHidden/>
          </w:rPr>
        </w:r>
        <w:r w:rsidR="0060749D">
          <w:rPr>
            <w:noProof/>
            <w:webHidden/>
          </w:rPr>
          <w:fldChar w:fldCharType="separate"/>
        </w:r>
        <w:r w:rsidR="00AA25B9">
          <w:rPr>
            <w:noProof/>
            <w:webHidden/>
          </w:rPr>
          <w:t>62</w:t>
        </w:r>
        <w:r w:rsidR="0060749D">
          <w:rPr>
            <w:noProof/>
            <w:webHidden/>
          </w:rPr>
          <w:fldChar w:fldCharType="end"/>
        </w:r>
      </w:hyperlink>
    </w:p>
    <w:p w14:paraId="29B2BC43" w14:textId="77777777" w:rsidR="0060749D" w:rsidRDefault="00CA3637" w:rsidP="000F2F0F">
      <w:pPr>
        <w:pStyle w:val="TableofFigures"/>
        <w:tabs>
          <w:tab w:val="left" w:pos="1320"/>
          <w:tab w:val="right" w:leader="dot" w:pos="9720"/>
          <w:tab w:val="right" w:leader="dot" w:pos="9771"/>
        </w:tabs>
        <w:ind w:left="1170" w:right="871" w:hanging="1170"/>
        <w:rPr>
          <w:rFonts w:eastAsiaTheme="minorEastAsia" w:cstheme="minorBidi"/>
          <w:noProof/>
          <w:szCs w:val="22"/>
          <w:lang w:eastAsia="en-NZ"/>
        </w:rPr>
      </w:pPr>
      <w:hyperlink w:anchor="_Toc425426879" w:history="1">
        <w:r w:rsidR="0060749D" w:rsidRPr="003B088A">
          <w:rPr>
            <w:rStyle w:val="Hyperlink"/>
            <w:i/>
            <w:noProof/>
          </w:rPr>
          <w:t xml:space="preserve">Table 12: </w:t>
        </w:r>
        <w:r w:rsidR="0060749D">
          <w:rPr>
            <w:rFonts w:eastAsiaTheme="minorEastAsia" w:cstheme="minorBidi"/>
            <w:noProof/>
            <w:szCs w:val="22"/>
            <w:lang w:eastAsia="en-NZ"/>
          </w:rPr>
          <w:tab/>
        </w:r>
        <w:r w:rsidR="0060749D" w:rsidRPr="003B088A">
          <w:rPr>
            <w:rStyle w:val="Hyperlink"/>
            <w:rFonts w:cstheme="minorHAnsi"/>
            <w:i/>
            <w:noProof/>
          </w:rPr>
          <w:t xml:space="preserve">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_Toc425426879 \h </w:instrText>
        </w:r>
        <w:r w:rsidR="0060749D">
          <w:rPr>
            <w:noProof/>
            <w:webHidden/>
          </w:rPr>
        </w:r>
        <w:r w:rsidR="0060749D">
          <w:rPr>
            <w:noProof/>
            <w:webHidden/>
          </w:rPr>
          <w:fldChar w:fldCharType="separate"/>
        </w:r>
        <w:r w:rsidR="00AA25B9">
          <w:rPr>
            <w:noProof/>
            <w:webHidden/>
          </w:rPr>
          <w:t>63</w:t>
        </w:r>
        <w:r w:rsidR="0060749D">
          <w:rPr>
            <w:noProof/>
            <w:webHidden/>
          </w:rPr>
          <w:fldChar w:fldCharType="end"/>
        </w:r>
      </w:hyperlink>
    </w:p>
    <w:p w14:paraId="48ED1847"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0" w:history="1">
        <w:r w:rsidR="0060749D" w:rsidRPr="003B088A">
          <w:rPr>
            <w:rStyle w:val="Hyperlink"/>
            <w:i/>
            <w:noProof/>
          </w:rPr>
          <w:t>Table 13:</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specific types of gambling activities, by PGSI categorisation, past-year gamblers (unadjusted prevalence; N=6,549)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_Toc425426880 \h </w:instrText>
        </w:r>
        <w:r w:rsidR="0060749D">
          <w:rPr>
            <w:noProof/>
            <w:webHidden/>
          </w:rPr>
        </w:r>
        <w:r w:rsidR="0060749D">
          <w:rPr>
            <w:noProof/>
            <w:webHidden/>
          </w:rPr>
          <w:fldChar w:fldCharType="separate"/>
        </w:r>
        <w:r w:rsidR="00AA25B9">
          <w:rPr>
            <w:noProof/>
            <w:webHidden/>
          </w:rPr>
          <w:t>73</w:t>
        </w:r>
        <w:r w:rsidR="0060749D">
          <w:rPr>
            <w:noProof/>
            <w:webHidden/>
          </w:rPr>
          <w:fldChar w:fldCharType="end"/>
        </w:r>
      </w:hyperlink>
    </w:p>
    <w:p w14:paraId="4AC92FA3"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1" w:history="1">
        <w:r w:rsidR="0060749D" w:rsidRPr="003B088A">
          <w:rPr>
            <w:rStyle w:val="Hyperlink"/>
            <w:i/>
            <w:noProof/>
          </w:rPr>
          <w:t>Table 14:</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specific types of gambling activities, by PGSI categorisation (past-year gamblers; N=6,549) - Odds ratios and p-values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_Toc425426881 \h </w:instrText>
        </w:r>
        <w:r w:rsidR="0060749D">
          <w:rPr>
            <w:noProof/>
            <w:webHidden/>
          </w:rPr>
        </w:r>
        <w:r w:rsidR="0060749D">
          <w:rPr>
            <w:noProof/>
            <w:webHidden/>
          </w:rPr>
          <w:fldChar w:fldCharType="separate"/>
        </w:r>
        <w:r w:rsidR="00AA25B9">
          <w:rPr>
            <w:noProof/>
            <w:webHidden/>
          </w:rPr>
          <w:t>74</w:t>
        </w:r>
        <w:r w:rsidR="0060749D">
          <w:rPr>
            <w:noProof/>
            <w:webHidden/>
          </w:rPr>
          <w:fldChar w:fldCharType="end"/>
        </w:r>
      </w:hyperlink>
    </w:p>
    <w:p w14:paraId="233563DF" w14:textId="77777777" w:rsidR="0060749D" w:rsidRDefault="00CA3637" w:rsidP="000F2F0F">
      <w:pPr>
        <w:pStyle w:val="TableofFigures"/>
        <w:tabs>
          <w:tab w:val="left" w:pos="1320"/>
          <w:tab w:val="right" w:leader="dot" w:pos="9720"/>
          <w:tab w:val="right" w:leader="dot" w:pos="9771"/>
        </w:tabs>
        <w:ind w:left="1170" w:right="871" w:hanging="1170"/>
        <w:rPr>
          <w:rFonts w:eastAsiaTheme="minorEastAsia" w:cstheme="minorBidi"/>
          <w:noProof/>
          <w:szCs w:val="22"/>
          <w:lang w:eastAsia="en-NZ"/>
        </w:rPr>
      </w:pPr>
      <w:hyperlink w:anchor="_Toc425426882" w:history="1">
        <w:r w:rsidR="0060749D" w:rsidRPr="003B088A">
          <w:rPr>
            <w:rStyle w:val="Hyperlink"/>
            <w:i/>
            <w:noProof/>
          </w:rPr>
          <w:t>Table 15:</w:t>
        </w:r>
        <w:r w:rsidR="0060749D" w:rsidRPr="003B088A">
          <w:rPr>
            <w:rStyle w:val="Hyperlink"/>
            <w:rFonts w:cstheme="minorHAnsi"/>
            <w:i/>
            <w:noProof/>
          </w:rPr>
          <w:t xml:space="preserve"> </w:t>
        </w:r>
        <w:r w:rsidR="0060749D">
          <w:rPr>
            <w:rFonts w:eastAsiaTheme="minorEastAsia" w:cstheme="minorBidi"/>
            <w:noProof/>
            <w:szCs w:val="22"/>
            <w:lang w:eastAsia="en-NZ"/>
          </w:rPr>
          <w:tab/>
        </w:r>
        <w:r w:rsidR="0060749D" w:rsidRPr="003B088A">
          <w:rPr>
            <w:rStyle w:val="Hyperlink"/>
            <w:i/>
            <w:noProof/>
          </w:rPr>
          <w:t xml:space="preserve">Number of gambling activities participated in during the last 12 months, by gambling status </w:t>
        </w:r>
        <w:r w:rsidR="0060749D" w:rsidRPr="003B088A">
          <w:rPr>
            <w:rStyle w:val="Hyperlink"/>
            <w:rFonts w:cstheme="minorHAnsi"/>
            <w:i/>
            <w:noProof/>
          </w:rPr>
          <w:t xml:space="preserve">(unadjusted prevalence; N=6,549)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_Toc425426882 \h </w:instrText>
        </w:r>
        <w:r w:rsidR="0060749D">
          <w:rPr>
            <w:noProof/>
            <w:webHidden/>
          </w:rPr>
        </w:r>
        <w:r w:rsidR="0060749D">
          <w:rPr>
            <w:noProof/>
            <w:webHidden/>
          </w:rPr>
          <w:fldChar w:fldCharType="separate"/>
        </w:r>
        <w:r w:rsidR="00AA25B9">
          <w:rPr>
            <w:noProof/>
            <w:webHidden/>
          </w:rPr>
          <w:t>77</w:t>
        </w:r>
        <w:r w:rsidR="0060749D">
          <w:rPr>
            <w:noProof/>
            <w:webHidden/>
          </w:rPr>
          <w:fldChar w:fldCharType="end"/>
        </w:r>
      </w:hyperlink>
    </w:p>
    <w:p w14:paraId="52452BD1"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3" w:history="1">
        <w:r w:rsidR="0060749D" w:rsidRPr="003B088A">
          <w:rPr>
            <w:rStyle w:val="Hyperlink"/>
            <w:i/>
            <w:noProof/>
          </w:rPr>
          <w:t>Table 16:</w:t>
        </w:r>
        <w:r w:rsidR="0060749D">
          <w:rPr>
            <w:rFonts w:eastAsiaTheme="minorEastAsia" w:cstheme="minorBidi"/>
            <w:noProof/>
            <w:szCs w:val="22"/>
            <w:lang w:eastAsia="en-NZ"/>
          </w:rPr>
          <w:tab/>
        </w:r>
        <w:r w:rsidR="0060749D" w:rsidRPr="003B088A">
          <w:rPr>
            <w:rStyle w:val="Hyperlink"/>
            <w:rFonts w:cstheme="minorHAnsi"/>
            <w:i/>
            <w:noProof/>
          </w:rPr>
          <w:t xml:space="preserve">SF-12 domains and guide to interpretation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_Toc425426883 \h </w:instrText>
        </w:r>
        <w:r w:rsidR="0060749D">
          <w:rPr>
            <w:noProof/>
            <w:webHidden/>
          </w:rPr>
        </w:r>
        <w:r w:rsidR="0060749D">
          <w:rPr>
            <w:noProof/>
            <w:webHidden/>
          </w:rPr>
          <w:fldChar w:fldCharType="separate"/>
        </w:r>
        <w:r w:rsidR="00AA25B9">
          <w:rPr>
            <w:noProof/>
            <w:webHidden/>
          </w:rPr>
          <w:t>87</w:t>
        </w:r>
        <w:r w:rsidR="0060749D">
          <w:rPr>
            <w:noProof/>
            <w:webHidden/>
          </w:rPr>
          <w:fldChar w:fldCharType="end"/>
        </w:r>
      </w:hyperlink>
    </w:p>
    <w:p w14:paraId="42AEC78B" w14:textId="6914D76B" w:rsidR="0060749D" w:rsidRDefault="00CA3637" w:rsidP="000F2F0F">
      <w:pPr>
        <w:pStyle w:val="TableofFigures"/>
        <w:tabs>
          <w:tab w:val="right" w:leader="dot" w:pos="9720"/>
          <w:tab w:val="right" w:leader="dot" w:pos="9771"/>
        </w:tabs>
        <w:ind w:left="1170" w:right="871" w:hanging="1170"/>
        <w:rPr>
          <w:rFonts w:eastAsiaTheme="minorEastAsia" w:cstheme="minorBidi"/>
          <w:noProof/>
          <w:szCs w:val="22"/>
          <w:lang w:eastAsia="en-NZ"/>
        </w:rPr>
      </w:pPr>
      <w:hyperlink w:anchor="_Toc425426884" w:history="1">
        <w:r w:rsidR="0060749D" w:rsidRPr="003B088A">
          <w:rPr>
            <w:rStyle w:val="Hyperlink"/>
            <w:i/>
            <w:noProof/>
          </w:rPr>
          <w:t xml:space="preserve">Table 17: </w:t>
        </w:r>
        <w:r w:rsidR="000F2F0F">
          <w:rPr>
            <w:rStyle w:val="Hyperlink"/>
            <w:i/>
            <w:noProof/>
          </w:rPr>
          <w:tab/>
        </w:r>
        <w:r w:rsidR="0060749D" w:rsidRPr="003B088A">
          <w:rPr>
            <w:rStyle w:val="Hyperlink"/>
            <w:rFonts w:cstheme="minorHAnsi"/>
            <w:i/>
            <w:noProof/>
          </w:rPr>
          <w:t xml:space="preserve">Have been affected by other’s gambling by 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_Toc425426884 \h </w:instrText>
        </w:r>
        <w:r w:rsidR="0060749D">
          <w:rPr>
            <w:noProof/>
            <w:webHidden/>
          </w:rPr>
        </w:r>
        <w:r w:rsidR="0060749D">
          <w:rPr>
            <w:noProof/>
            <w:webHidden/>
          </w:rPr>
          <w:fldChar w:fldCharType="separate"/>
        </w:r>
        <w:r w:rsidR="00AA25B9">
          <w:rPr>
            <w:noProof/>
            <w:webHidden/>
          </w:rPr>
          <w:t>103</w:t>
        </w:r>
        <w:r w:rsidR="0060749D">
          <w:rPr>
            <w:noProof/>
            <w:webHidden/>
          </w:rPr>
          <w:fldChar w:fldCharType="end"/>
        </w:r>
      </w:hyperlink>
    </w:p>
    <w:p w14:paraId="4629F870" w14:textId="5F99232C" w:rsidR="0060749D" w:rsidRDefault="00CA3637" w:rsidP="000F2F0F">
      <w:pPr>
        <w:pStyle w:val="TableofFigures"/>
        <w:tabs>
          <w:tab w:val="right" w:leader="dot" w:pos="9720"/>
          <w:tab w:val="right" w:leader="dot" w:pos="9771"/>
        </w:tabs>
        <w:ind w:left="1170" w:right="871" w:hanging="1170"/>
        <w:rPr>
          <w:rFonts w:eastAsiaTheme="minorEastAsia" w:cstheme="minorBidi"/>
          <w:noProof/>
          <w:szCs w:val="22"/>
          <w:lang w:eastAsia="en-NZ"/>
        </w:rPr>
      </w:pPr>
      <w:hyperlink w:anchor="_Toc425426885" w:history="1">
        <w:r w:rsidR="0060749D" w:rsidRPr="003B088A">
          <w:rPr>
            <w:rStyle w:val="Hyperlink"/>
            <w:i/>
            <w:noProof/>
          </w:rPr>
          <w:t xml:space="preserve">Table 18: </w:t>
        </w:r>
        <w:r w:rsidR="000F2F0F">
          <w:rPr>
            <w:rStyle w:val="Hyperlink"/>
            <w:i/>
            <w:noProof/>
          </w:rPr>
          <w:tab/>
        </w:r>
        <w:r w:rsidR="0060749D" w:rsidRPr="003B088A">
          <w:rPr>
            <w:rStyle w:val="Hyperlink"/>
            <w:i/>
            <w:noProof/>
          </w:rPr>
          <w:t>Overview of recent gambling and problem gambling prevalence research in New Zealand - design and methodological characteristics</w:t>
        </w:r>
        <w:r w:rsidR="0060749D">
          <w:rPr>
            <w:noProof/>
            <w:webHidden/>
          </w:rPr>
          <w:tab/>
        </w:r>
        <w:r w:rsidR="0060749D">
          <w:rPr>
            <w:noProof/>
            <w:webHidden/>
          </w:rPr>
          <w:fldChar w:fldCharType="begin"/>
        </w:r>
        <w:r w:rsidR="0060749D">
          <w:rPr>
            <w:noProof/>
            <w:webHidden/>
          </w:rPr>
          <w:instrText xml:space="preserve"> PAGEREF _Toc425426885 \h </w:instrText>
        </w:r>
        <w:r w:rsidR="0060749D">
          <w:rPr>
            <w:noProof/>
            <w:webHidden/>
          </w:rPr>
        </w:r>
        <w:r w:rsidR="0060749D">
          <w:rPr>
            <w:noProof/>
            <w:webHidden/>
          </w:rPr>
          <w:fldChar w:fldCharType="separate"/>
        </w:r>
        <w:r w:rsidR="00AA25B9">
          <w:rPr>
            <w:noProof/>
            <w:webHidden/>
          </w:rPr>
          <w:t>109</w:t>
        </w:r>
        <w:r w:rsidR="0060749D">
          <w:rPr>
            <w:noProof/>
            <w:webHidden/>
          </w:rPr>
          <w:fldChar w:fldCharType="end"/>
        </w:r>
      </w:hyperlink>
    </w:p>
    <w:p w14:paraId="532CAB77"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6" w:history="1">
        <w:r w:rsidR="0060749D" w:rsidRPr="003B088A">
          <w:rPr>
            <w:rStyle w:val="Hyperlink"/>
            <w:i/>
            <w:noProof/>
          </w:rPr>
          <w:t>Table 19:</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specific types of gambling activities by demographics, total population aged 15 years and over (unadjusted prevalence; N=12,596)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_Toc425426886 \h </w:instrText>
        </w:r>
        <w:r w:rsidR="0060749D">
          <w:rPr>
            <w:noProof/>
            <w:webHidden/>
          </w:rPr>
        </w:r>
        <w:r w:rsidR="0060749D">
          <w:rPr>
            <w:noProof/>
            <w:webHidden/>
          </w:rPr>
          <w:fldChar w:fldCharType="separate"/>
        </w:r>
        <w:r w:rsidR="00AA25B9">
          <w:rPr>
            <w:noProof/>
            <w:webHidden/>
          </w:rPr>
          <w:t>130</w:t>
        </w:r>
        <w:r w:rsidR="0060749D">
          <w:rPr>
            <w:noProof/>
            <w:webHidden/>
          </w:rPr>
          <w:fldChar w:fldCharType="end"/>
        </w:r>
      </w:hyperlink>
    </w:p>
    <w:p w14:paraId="73BAD8B5"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7" w:history="1">
        <w:r w:rsidR="0060749D" w:rsidRPr="003B088A">
          <w:rPr>
            <w:rStyle w:val="Hyperlink"/>
            <w:i/>
            <w:noProof/>
          </w:rPr>
          <w:t>Table 20:</w:t>
        </w:r>
        <w:r w:rsidR="0060749D">
          <w:rPr>
            <w:rFonts w:eastAsiaTheme="minorEastAsia" w:cstheme="minorBidi"/>
            <w:noProof/>
            <w:szCs w:val="22"/>
            <w:lang w:eastAsia="en-NZ"/>
          </w:rPr>
          <w:tab/>
        </w:r>
        <w:r w:rsidR="0060749D" w:rsidRPr="003B088A">
          <w:rPr>
            <w:rStyle w:val="Hyperlink"/>
            <w:rFonts w:cstheme="minorHAnsi"/>
            <w:i/>
            <w:noProof/>
          </w:rPr>
          <w:t xml:space="preserve">Past year participation in gambling activities by NZHS survey wave, total population aged 15 years and over (adjusted prevalence; </w:t>
        </w:r>
        <w:r w:rsidR="0060749D" w:rsidRPr="003B088A">
          <w:rPr>
            <w:rStyle w:val="Hyperlink"/>
            <w:i/>
            <w:noProof/>
          </w:rPr>
          <w:t>2002/03 NZHS N=12,529,</w:t>
        </w:r>
        <w:r w:rsidR="0060749D" w:rsidRPr="003B088A">
          <w:rPr>
            <w:rStyle w:val="Hyperlink"/>
            <w:rFonts w:cstheme="minorHAnsi"/>
            <w:i/>
            <w:noProof/>
          </w:rPr>
          <w:t xml:space="preserve"> </w:t>
        </w:r>
        <w:r w:rsidR="0060749D" w:rsidRPr="003B088A">
          <w:rPr>
            <w:rStyle w:val="Hyperlink"/>
            <w:i/>
            <w:noProof/>
          </w:rPr>
          <w:t>2006/07 NZHS N=12,488, 2011/12 NZHS N=12,596</w:t>
        </w:r>
        <w:r w:rsidR="0060749D" w:rsidRPr="003B088A">
          <w:rPr>
            <w:rStyle w:val="Hyperlink"/>
            <w:rFonts w:cstheme="minorHAnsi"/>
            <w:i/>
            <w:noProof/>
          </w:rPr>
          <w:t xml:space="preserv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_Toc425426887 \h </w:instrText>
        </w:r>
        <w:r w:rsidR="0060749D">
          <w:rPr>
            <w:noProof/>
            <w:webHidden/>
          </w:rPr>
        </w:r>
        <w:r w:rsidR="0060749D">
          <w:rPr>
            <w:noProof/>
            <w:webHidden/>
          </w:rPr>
          <w:fldChar w:fldCharType="separate"/>
        </w:r>
        <w:r w:rsidR="00AA25B9">
          <w:rPr>
            <w:noProof/>
            <w:webHidden/>
          </w:rPr>
          <w:t>134</w:t>
        </w:r>
        <w:r w:rsidR="0060749D">
          <w:rPr>
            <w:noProof/>
            <w:webHidden/>
          </w:rPr>
          <w:fldChar w:fldCharType="end"/>
        </w:r>
      </w:hyperlink>
    </w:p>
    <w:p w14:paraId="621887D8"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88" w:history="1">
        <w:r w:rsidR="0060749D" w:rsidRPr="003B088A">
          <w:rPr>
            <w:rStyle w:val="Hyperlink"/>
            <w:i/>
            <w:noProof/>
          </w:rPr>
          <w:t>Table 21:</w:t>
        </w:r>
        <w:r w:rsidR="0060749D">
          <w:rPr>
            <w:rFonts w:eastAsiaTheme="minorEastAsia" w:cstheme="minorBidi"/>
            <w:noProof/>
            <w:szCs w:val="22"/>
            <w:lang w:eastAsia="en-NZ"/>
          </w:rPr>
          <w:tab/>
        </w:r>
        <w:r w:rsidR="0060749D" w:rsidRPr="003B088A">
          <w:rPr>
            <w:rStyle w:val="Hyperlink"/>
            <w:rFonts w:cstheme="minorHAnsi"/>
            <w:i/>
            <w:noProof/>
          </w:rPr>
          <w:t xml:space="preserve">Number of gambling activities participated in during the last 12 months by demographics, total population aged 15 years and over (unadjusted prevalence; N=12,596)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_Toc425426888 \h </w:instrText>
        </w:r>
        <w:r w:rsidR="0060749D">
          <w:rPr>
            <w:noProof/>
            <w:webHidden/>
          </w:rPr>
        </w:r>
        <w:r w:rsidR="0060749D">
          <w:rPr>
            <w:noProof/>
            <w:webHidden/>
          </w:rPr>
          <w:fldChar w:fldCharType="separate"/>
        </w:r>
        <w:r w:rsidR="00AA25B9">
          <w:rPr>
            <w:noProof/>
            <w:webHidden/>
          </w:rPr>
          <w:t>135</w:t>
        </w:r>
        <w:r w:rsidR="0060749D">
          <w:rPr>
            <w:noProof/>
            <w:webHidden/>
          </w:rPr>
          <w:fldChar w:fldCharType="end"/>
        </w:r>
      </w:hyperlink>
    </w:p>
    <w:p w14:paraId="62205F7B" w14:textId="10E74021" w:rsidR="0060749D" w:rsidRDefault="00CA3637" w:rsidP="000F2F0F">
      <w:pPr>
        <w:pStyle w:val="TableofFigures"/>
        <w:tabs>
          <w:tab w:val="right" w:leader="dot" w:pos="9720"/>
          <w:tab w:val="right" w:leader="dot" w:pos="9771"/>
        </w:tabs>
        <w:ind w:left="1170" w:right="871" w:hanging="1170"/>
        <w:rPr>
          <w:rFonts w:eastAsiaTheme="minorEastAsia" w:cstheme="minorBidi"/>
          <w:noProof/>
          <w:szCs w:val="22"/>
          <w:lang w:eastAsia="en-NZ"/>
        </w:rPr>
      </w:pPr>
      <w:hyperlink w:anchor="_Toc425426889" w:history="1">
        <w:r w:rsidR="0060749D" w:rsidRPr="003B088A">
          <w:rPr>
            <w:rStyle w:val="Hyperlink"/>
            <w:i/>
            <w:noProof/>
          </w:rPr>
          <w:t>Table 22:</w:t>
        </w:r>
        <w:r w:rsidR="0060749D" w:rsidRPr="003B088A">
          <w:rPr>
            <w:rStyle w:val="Hyperlink"/>
            <w:rFonts w:cstheme="minorHAnsi"/>
            <w:i/>
            <w:noProof/>
          </w:rPr>
          <w:t xml:space="preserve"> </w:t>
        </w:r>
        <w:r w:rsidR="000F2F0F">
          <w:rPr>
            <w:rStyle w:val="Hyperlink"/>
            <w:rFonts w:cstheme="minorHAnsi"/>
            <w:i/>
            <w:noProof/>
          </w:rPr>
          <w:tab/>
        </w:r>
        <w:r w:rsidR="0060749D" w:rsidRPr="003B088A">
          <w:rPr>
            <w:rStyle w:val="Hyperlink"/>
            <w:rFonts w:cstheme="minorHAnsi"/>
            <w:i/>
            <w:noProof/>
          </w:rPr>
          <w:t xml:space="preserve">Preferred gambling activity by demographics, past-year gamblers (unadjusted prevalence; N=6,549) </w:t>
        </w:r>
        <w:r w:rsidR="0060749D" w:rsidRPr="003B088A">
          <w:rPr>
            <w:rStyle w:val="Hyperlink"/>
            <w:rFonts w:cstheme="minorHAnsi"/>
            <w:i/>
            <w:noProof/>
            <w:vertAlign w:val="superscript"/>
          </w:rPr>
          <w:t>1 2</w:t>
        </w:r>
        <w:r w:rsidR="0060749D">
          <w:rPr>
            <w:noProof/>
            <w:webHidden/>
          </w:rPr>
          <w:tab/>
        </w:r>
        <w:r w:rsidR="0060749D">
          <w:rPr>
            <w:noProof/>
            <w:webHidden/>
          </w:rPr>
          <w:fldChar w:fldCharType="begin"/>
        </w:r>
        <w:r w:rsidR="0060749D">
          <w:rPr>
            <w:noProof/>
            <w:webHidden/>
          </w:rPr>
          <w:instrText xml:space="preserve"> PAGEREF _Toc425426889 \h </w:instrText>
        </w:r>
        <w:r w:rsidR="0060749D">
          <w:rPr>
            <w:noProof/>
            <w:webHidden/>
          </w:rPr>
        </w:r>
        <w:r w:rsidR="0060749D">
          <w:rPr>
            <w:noProof/>
            <w:webHidden/>
          </w:rPr>
          <w:fldChar w:fldCharType="separate"/>
        </w:r>
        <w:r w:rsidR="00AA25B9">
          <w:rPr>
            <w:noProof/>
            <w:webHidden/>
          </w:rPr>
          <w:t>136</w:t>
        </w:r>
        <w:r w:rsidR="0060749D">
          <w:rPr>
            <w:noProof/>
            <w:webHidden/>
          </w:rPr>
          <w:fldChar w:fldCharType="end"/>
        </w:r>
      </w:hyperlink>
    </w:p>
    <w:p w14:paraId="0EFBCEBF" w14:textId="77777777" w:rsidR="0060749D" w:rsidRDefault="00CA3637" w:rsidP="000F2F0F">
      <w:pPr>
        <w:pStyle w:val="TableofFigures"/>
        <w:tabs>
          <w:tab w:val="left" w:pos="1320"/>
          <w:tab w:val="right" w:leader="dot" w:pos="9720"/>
          <w:tab w:val="right" w:leader="dot" w:pos="9771"/>
        </w:tabs>
        <w:ind w:left="1170" w:right="871" w:hanging="1170"/>
        <w:rPr>
          <w:rFonts w:eastAsiaTheme="minorEastAsia" w:cstheme="minorBidi"/>
          <w:noProof/>
          <w:szCs w:val="22"/>
          <w:lang w:eastAsia="en-NZ"/>
        </w:rPr>
      </w:pPr>
      <w:hyperlink w:anchor="_Toc425426890" w:history="1">
        <w:r w:rsidR="0060749D" w:rsidRPr="003B088A">
          <w:rPr>
            <w:rStyle w:val="Hyperlink"/>
            <w:i/>
            <w:noProof/>
          </w:rPr>
          <w:t>Table 23:</w:t>
        </w:r>
        <w:r w:rsidR="0060749D" w:rsidRPr="003B088A">
          <w:rPr>
            <w:rStyle w:val="Hyperlink"/>
            <w:rFonts w:cstheme="minorHAnsi"/>
            <w:i/>
            <w:noProof/>
          </w:rPr>
          <w:t xml:space="preserve"> </w:t>
        </w:r>
        <w:r w:rsidR="0060749D">
          <w:rPr>
            <w:rFonts w:eastAsiaTheme="minorEastAsia" w:cstheme="minorBidi"/>
            <w:noProof/>
            <w:szCs w:val="22"/>
            <w:lang w:eastAsia="en-NZ"/>
          </w:rPr>
          <w:tab/>
        </w:r>
        <w:r w:rsidR="0060749D" w:rsidRPr="003B088A">
          <w:rPr>
            <w:rStyle w:val="Hyperlink"/>
            <w:rFonts w:cstheme="minorHAnsi"/>
            <w:i/>
            <w:noProof/>
          </w:rPr>
          <w:t>Gambling Status (PGSI categorisation), by NZHS survey wave, total population aged 15 years and over (adjusted prevalence;</w:t>
        </w:r>
        <w:r w:rsidR="0060749D" w:rsidRPr="003B088A">
          <w:rPr>
            <w:rStyle w:val="Hyperlink"/>
            <w:i/>
            <w:noProof/>
          </w:rPr>
          <w:t xml:space="preserve"> 2002/03 NZHS N=12,529,</w:t>
        </w:r>
        <w:r w:rsidR="0060749D" w:rsidRPr="003B088A">
          <w:rPr>
            <w:rStyle w:val="Hyperlink"/>
            <w:rFonts w:cstheme="minorHAnsi"/>
            <w:i/>
            <w:noProof/>
          </w:rPr>
          <w:t xml:space="preserve"> </w:t>
        </w:r>
        <w:r w:rsidR="0060749D" w:rsidRPr="003B088A">
          <w:rPr>
            <w:rStyle w:val="Hyperlink"/>
            <w:i/>
            <w:noProof/>
          </w:rPr>
          <w:t>2006/07 NZHS N=12,488, 2011/12 NZHS N=12,596</w:t>
        </w:r>
        <w:r w:rsidR="0060749D" w:rsidRPr="003B088A">
          <w:rPr>
            <w:rStyle w:val="Hyperlink"/>
            <w:rFonts w:cstheme="minorHAnsi"/>
            <w:i/>
            <w:noProof/>
          </w:rPr>
          <w:t xml:space="preserv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_Toc425426890 \h </w:instrText>
        </w:r>
        <w:r w:rsidR="0060749D">
          <w:rPr>
            <w:noProof/>
            <w:webHidden/>
          </w:rPr>
        </w:r>
        <w:r w:rsidR="0060749D">
          <w:rPr>
            <w:noProof/>
            <w:webHidden/>
          </w:rPr>
          <w:fldChar w:fldCharType="separate"/>
        </w:r>
        <w:r w:rsidR="00AA25B9">
          <w:rPr>
            <w:noProof/>
            <w:webHidden/>
          </w:rPr>
          <w:t>138</w:t>
        </w:r>
        <w:r w:rsidR="0060749D">
          <w:rPr>
            <w:noProof/>
            <w:webHidden/>
          </w:rPr>
          <w:fldChar w:fldCharType="end"/>
        </w:r>
      </w:hyperlink>
    </w:p>
    <w:p w14:paraId="6D373FCA"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1" w:history="1">
        <w:r w:rsidR="0060749D" w:rsidRPr="003B088A">
          <w:rPr>
            <w:rStyle w:val="Hyperlink"/>
            <w:i/>
            <w:noProof/>
          </w:rPr>
          <w:t>Table 24:</w:t>
        </w:r>
        <w:r w:rsidR="0060749D">
          <w:rPr>
            <w:rFonts w:eastAsiaTheme="minorEastAsia" w:cstheme="minorBidi"/>
            <w:noProof/>
            <w:szCs w:val="22"/>
            <w:lang w:eastAsia="en-NZ"/>
          </w:rPr>
          <w:tab/>
        </w:r>
        <w:r w:rsidR="0060749D" w:rsidRPr="003B088A">
          <w:rPr>
            <w:rStyle w:val="Hyperlink"/>
            <w:rFonts w:cstheme="minorHAnsi"/>
            <w:i/>
            <w:noProof/>
          </w:rPr>
          <w:t xml:space="preserve">Gambling status (PGSI categorisation) by demographics, total population aged 15 years and over (unadjusted prevalence; N=12,594)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_Toc425426891 \h </w:instrText>
        </w:r>
        <w:r w:rsidR="0060749D">
          <w:rPr>
            <w:noProof/>
            <w:webHidden/>
          </w:rPr>
        </w:r>
        <w:r w:rsidR="0060749D">
          <w:rPr>
            <w:noProof/>
            <w:webHidden/>
          </w:rPr>
          <w:fldChar w:fldCharType="separate"/>
        </w:r>
        <w:r w:rsidR="00AA25B9">
          <w:rPr>
            <w:noProof/>
            <w:webHidden/>
          </w:rPr>
          <w:t>139</w:t>
        </w:r>
        <w:r w:rsidR="0060749D">
          <w:rPr>
            <w:noProof/>
            <w:webHidden/>
          </w:rPr>
          <w:fldChar w:fldCharType="end"/>
        </w:r>
      </w:hyperlink>
    </w:p>
    <w:p w14:paraId="7B971061" w14:textId="1293F01B" w:rsidR="0060749D" w:rsidRDefault="00CA3637" w:rsidP="000F2F0F">
      <w:pPr>
        <w:pStyle w:val="TableofFigures"/>
        <w:tabs>
          <w:tab w:val="right" w:leader="dot" w:pos="9720"/>
          <w:tab w:val="right" w:leader="dot" w:pos="9771"/>
        </w:tabs>
        <w:ind w:left="1170" w:right="871" w:hanging="1170"/>
        <w:rPr>
          <w:rFonts w:eastAsiaTheme="minorEastAsia" w:cstheme="minorBidi"/>
          <w:noProof/>
          <w:szCs w:val="22"/>
          <w:lang w:eastAsia="en-NZ"/>
        </w:rPr>
      </w:pPr>
      <w:hyperlink w:anchor="_Toc425426892" w:history="1">
        <w:r w:rsidR="0060749D" w:rsidRPr="003B088A">
          <w:rPr>
            <w:rStyle w:val="Hyperlink"/>
            <w:i/>
            <w:noProof/>
          </w:rPr>
          <w:t xml:space="preserve">Table 25: </w:t>
        </w:r>
        <w:r w:rsidR="000F2F0F">
          <w:rPr>
            <w:rStyle w:val="Hyperlink"/>
            <w:i/>
            <w:noProof/>
          </w:rPr>
          <w:tab/>
        </w:r>
        <w:r w:rsidR="0060749D" w:rsidRPr="003B088A">
          <w:rPr>
            <w:rStyle w:val="Hyperlink"/>
            <w:i/>
            <w:noProof/>
          </w:rPr>
          <w:t>Gambling status - changes over time - comparison of 2006/07 NZHS and 2011/12 NZHS, by ethnicity, total population aged 15 years and over (adjusted prevalence; 2002/03 NZHS N=12,529,</w:t>
        </w:r>
        <w:r w:rsidR="0060749D" w:rsidRPr="003B088A">
          <w:rPr>
            <w:rStyle w:val="Hyperlink"/>
            <w:rFonts w:cstheme="minorHAnsi"/>
            <w:i/>
            <w:noProof/>
          </w:rPr>
          <w:t xml:space="preserve"> </w:t>
        </w:r>
        <w:r w:rsidR="0060749D" w:rsidRPr="003B088A">
          <w:rPr>
            <w:rStyle w:val="Hyperlink"/>
            <w:i/>
            <w:noProof/>
          </w:rPr>
          <w:t xml:space="preserve">2006/07 NZHS N=12,488, 2011/12 NZHS N=12,596) </w:t>
        </w:r>
        <w:r w:rsidR="0060749D" w:rsidRPr="003B088A">
          <w:rPr>
            <w:rStyle w:val="Hyperlink"/>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_Toc425426892 \h </w:instrText>
        </w:r>
        <w:r w:rsidR="0060749D">
          <w:rPr>
            <w:noProof/>
            <w:webHidden/>
          </w:rPr>
        </w:r>
        <w:r w:rsidR="0060749D">
          <w:rPr>
            <w:noProof/>
            <w:webHidden/>
          </w:rPr>
          <w:fldChar w:fldCharType="separate"/>
        </w:r>
        <w:r w:rsidR="00AA25B9">
          <w:rPr>
            <w:noProof/>
            <w:webHidden/>
          </w:rPr>
          <w:t>140</w:t>
        </w:r>
        <w:r w:rsidR="0060749D">
          <w:rPr>
            <w:noProof/>
            <w:webHidden/>
          </w:rPr>
          <w:fldChar w:fldCharType="end"/>
        </w:r>
      </w:hyperlink>
    </w:p>
    <w:p w14:paraId="6D5C5DEF"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3" w:history="1">
        <w:r w:rsidR="0060749D" w:rsidRPr="003B088A">
          <w:rPr>
            <w:rStyle w:val="Hyperlink"/>
            <w:i/>
            <w:noProof/>
          </w:rPr>
          <w:t>Table 26:</w:t>
        </w:r>
        <w:r w:rsidR="0060749D">
          <w:rPr>
            <w:rFonts w:eastAsiaTheme="minorEastAsia" w:cstheme="minorBidi"/>
            <w:noProof/>
            <w:szCs w:val="22"/>
            <w:lang w:eastAsia="en-NZ"/>
          </w:rPr>
          <w:tab/>
        </w:r>
        <w:r w:rsidR="0060749D" w:rsidRPr="003B088A">
          <w:rPr>
            <w:rStyle w:val="Hyperlink"/>
            <w:rFonts w:cstheme="minorHAnsi"/>
            <w:i/>
            <w:noProof/>
          </w:rPr>
          <w:t xml:space="preserve">Socio-demographics and 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_Toc425426893 \h </w:instrText>
        </w:r>
        <w:r w:rsidR="0060749D">
          <w:rPr>
            <w:noProof/>
            <w:webHidden/>
          </w:rPr>
        </w:r>
        <w:r w:rsidR="0060749D">
          <w:rPr>
            <w:noProof/>
            <w:webHidden/>
          </w:rPr>
          <w:fldChar w:fldCharType="separate"/>
        </w:r>
        <w:r w:rsidR="00AA25B9">
          <w:rPr>
            <w:noProof/>
            <w:webHidden/>
          </w:rPr>
          <w:t>141</w:t>
        </w:r>
        <w:r w:rsidR="0060749D">
          <w:rPr>
            <w:noProof/>
            <w:webHidden/>
          </w:rPr>
          <w:fldChar w:fldCharType="end"/>
        </w:r>
      </w:hyperlink>
    </w:p>
    <w:p w14:paraId="0B8C8E0B"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4" w:history="1">
        <w:r w:rsidR="0060749D" w:rsidRPr="003B088A">
          <w:rPr>
            <w:rStyle w:val="Hyperlink"/>
            <w:i/>
            <w:noProof/>
          </w:rPr>
          <w:t>Table 27:</w:t>
        </w:r>
        <w:r w:rsidR="0060749D">
          <w:rPr>
            <w:rFonts w:eastAsiaTheme="minorEastAsia" w:cstheme="minorBidi"/>
            <w:noProof/>
            <w:szCs w:val="22"/>
            <w:lang w:eastAsia="en-NZ"/>
          </w:rPr>
          <w:tab/>
        </w:r>
        <w:r w:rsidR="0060749D" w:rsidRPr="003B088A">
          <w:rPr>
            <w:rStyle w:val="Hyperlink"/>
            <w:rFonts w:cstheme="minorHAnsi"/>
            <w:i/>
            <w:noProof/>
          </w:rPr>
          <w:t xml:space="preserve">Gambling status by socio-demographics, total population aged 15 years and over - Odds ratios and p-values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_Toc425426894 \h </w:instrText>
        </w:r>
        <w:r w:rsidR="0060749D">
          <w:rPr>
            <w:noProof/>
            <w:webHidden/>
          </w:rPr>
        </w:r>
        <w:r w:rsidR="0060749D">
          <w:rPr>
            <w:noProof/>
            <w:webHidden/>
          </w:rPr>
          <w:fldChar w:fldCharType="separate"/>
        </w:r>
        <w:r w:rsidR="00AA25B9">
          <w:rPr>
            <w:noProof/>
            <w:webHidden/>
          </w:rPr>
          <w:t>142</w:t>
        </w:r>
        <w:r w:rsidR="0060749D">
          <w:rPr>
            <w:noProof/>
            <w:webHidden/>
          </w:rPr>
          <w:fldChar w:fldCharType="end"/>
        </w:r>
      </w:hyperlink>
    </w:p>
    <w:p w14:paraId="2A31E4FC"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5" w:history="1">
        <w:r w:rsidR="0060749D" w:rsidRPr="003B088A">
          <w:rPr>
            <w:rStyle w:val="Hyperlink"/>
            <w:i/>
            <w:noProof/>
          </w:rPr>
          <w:t>Table 28:</w:t>
        </w:r>
        <w:r w:rsidR="0060749D">
          <w:rPr>
            <w:rFonts w:eastAsiaTheme="minorEastAsia" w:cstheme="minorBidi"/>
            <w:noProof/>
            <w:szCs w:val="22"/>
            <w:lang w:eastAsia="en-NZ"/>
          </w:rPr>
          <w:tab/>
        </w:r>
        <w:r w:rsidR="0060749D" w:rsidRPr="003B088A">
          <w:rPr>
            <w:rStyle w:val="Hyperlink"/>
            <w:rFonts w:cstheme="minorHAnsi"/>
            <w:i/>
            <w:noProof/>
          </w:rPr>
          <w:t xml:space="preserve">Dangerous consumptions and 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_Toc425426895 \h </w:instrText>
        </w:r>
        <w:r w:rsidR="0060749D">
          <w:rPr>
            <w:noProof/>
            <w:webHidden/>
          </w:rPr>
        </w:r>
        <w:r w:rsidR="0060749D">
          <w:rPr>
            <w:noProof/>
            <w:webHidden/>
          </w:rPr>
          <w:fldChar w:fldCharType="separate"/>
        </w:r>
        <w:r w:rsidR="00AA25B9">
          <w:rPr>
            <w:noProof/>
            <w:webHidden/>
          </w:rPr>
          <w:t>143</w:t>
        </w:r>
        <w:r w:rsidR="0060749D">
          <w:rPr>
            <w:noProof/>
            <w:webHidden/>
          </w:rPr>
          <w:fldChar w:fldCharType="end"/>
        </w:r>
      </w:hyperlink>
    </w:p>
    <w:p w14:paraId="572A58BC"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6" w:history="1">
        <w:r w:rsidR="0060749D" w:rsidRPr="003B088A">
          <w:rPr>
            <w:rStyle w:val="Hyperlink"/>
            <w:i/>
            <w:noProof/>
          </w:rPr>
          <w:t>Table 29:</w:t>
        </w:r>
        <w:r w:rsidR="0060749D">
          <w:rPr>
            <w:rFonts w:eastAsiaTheme="minorEastAsia" w:cstheme="minorBidi"/>
            <w:noProof/>
            <w:szCs w:val="22"/>
            <w:lang w:eastAsia="en-NZ"/>
          </w:rPr>
          <w:tab/>
        </w:r>
        <w:r w:rsidR="0060749D" w:rsidRPr="003B088A">
          <w:rPr>
            <w:rStyle w:val="Hyperlink"/>
            <w:rFonts w:cstheme="minorHAnsi"/>
            <w:i/>
            <w:noProof/>
          </w:rPr>
          <w:t xml:space="preserve">Gambling status by dangerous consumptions, total population aged 15 years and over – Odds ratios and p-values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_Toc425426896 \h </w:instrText>
        </w:r>
        <w:r w:rsidR="0060749D">
          <w:rPr>
            <w:noProof/>
            <w:webHidden/>
          </w:rPr>
        </w:r>
        <w:r w:rsidR="0060749D">
          <w:rPr>
            <w:noProof/>
            <w:webHidden/>
          </w:rPr>
          <w:fldChar w:fldCharType="separate"/>
        </w:r>
        <w:r w:rsidR="00AA25B9">
          <w:rPr>
            <w:noProof/>
            <w:webHidden/>
          </w:rPr>
          <w:t>144</w:t>
        </w:r>
        <w:r w:rsidR="0060749D">
          <w:rPr>
            <w:noProof/>
            <w:webHidden/>
          </w:rPr>
          <w:fldChar w:fldCharType="end"/>
        </w:r>
      </w:hyperlink>
    </w:p>
    <w:p w14:paraId="0E9AFF30"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7" w:history="1">
        <w:r w:rsidR="0060749D" w:rsidRPr="003B088A">
          <w:rPr>
            <w:rStyle w:val="Hyperlink"/>
            <w:i/>
            <w:noProof/>
          </w:rPr>
          <w:t>Table 30:</w:t>
        </w:r>
        <w:r w:rsidR="0060749D">
          <w:rPr>
            <w:rFonts w:eastAsiaTheme="minorEastAsia" w:cstheme="minorBidi"/>
            <w:noProof/>
            <w:szCs w:val="22"/>
            <w:lang w:eastAsia="en-NZ"/>
          </w:rPr>
          <w:tab/>
        </w:r>
        <w:r w:rsidR="0060749D" w:rsidRPr="003B088A">
          <w:rPr>
            <w:rStyle w:val="Hyperlink"/>
            <w:rFonts w:cstheme="minorHAnsi"/>
            <w:i/>
            <w:noProof/>
          </w:rPr>
          <w:t xml:space="preserve">Health status and 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_Toc425426897 \h </w:instrText>
        </w:r>
        <w:r w:rsidR="0060749D">
          <w:rPr>
            <w:noProof/>
            <w:webHidden/>
          </w:rPr>
        </w:r>
        <w:r w:rsidR="0060749D">
          <w:rPr>
            <w:noProof/>
            <w:webHidden/>
          </w:rPr>
          <w:fldChar w:fldCharType="separate"/>
        </w:r>
        <w:r w:rsidR="00AA25B9">
          <w:rPr>
            <w:noProof/>
            <w:webHidden/>
          </w:rPr>
          <w:t>145</w:t>
        </w:r>
        <w:r w:rsidR="0060749D">
          <w:rPr>
            <w:noProof/>
            <w:webHidden/>
          </w:rPr>
          <w:fldChar w:fldCharType="end"/>
        </w:r>
      </w:hyperlink>
    </w:p>
    <w:p w14:paraId="6B3C9493"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8" w:history="1">
        <w:r w:rsidR="0060749D" w:rsidRPr="003B088A">
          <w:rPr>
            <w:rStyle w:val="Hyperlink"/>
            <w:i/>
            <w:noProof/>
          </w:rPr>
          <w:t>Table 31:</w:t>
        </w:r>
        <w:r w:rsidR="0060749D">
          <w:rPr>
            <w:rFonts w:eastAsiaTheme="minorEastAsia" w:cstheme="minorBidi"/>
            <w:noProof/>
            <w:szCs w:val="22"/>
            <w:lang w:eastAsia="en-NZ"/>
          </w:rPr>
          <w:tab/>
        </w:r>
        <w:r w:rsidR="0060749D" w:rsidRPr="003B088A">
          <w:rPr>
            <w:rStyle w:val="Hyperlink"/>
            <w:rFonts w:cstheme="minorHAnsi"/>
            <w:i/>
            <w:noProof/>
          </w:rPr>
          <w:t xml:space="preserve">Gambling status by health status, total population aged 15 years and over – Odds ratios and p-values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_Toc425426898 \h </w:instrText>
        </w:r>
        <w:r w:rsidR="0060749D">
          <w:rPr>
            <w:noProof/>
            <w:webHidden/>
          </w:rPr>
        </w:r>
        <w:r w:rsidR="0060749D">
          <w:rPr>
            <w:noProof/>
            <w:webHidden/>
          </w:rPr>
          <w:fldChar w:fldCharType="separate"/>
        </w:r>
        <w:r w:rsidR="00AA25B9">
          <w:rPr>
            <w:noProof/>
            <w:webHidden/>
          </w:rPr>
          <w:t>146</w:t>
        </w:r>
        <w:r w:rsidR="0060749D">
          <w:rPr>
            <w:noProof/>
            <w:webHidden/>
          </w:rPr>
          <w:fldChar w:fldCharType="end"/>
        </w:r>
      </w:hyperlink>
    </w:p>
    <w:p w14:paraId="0E1CB7D4"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899" w:history="1">
        <w:r w:rsidR="0060749D" w:rsidRPr="003B088A">
          <w:rPr>
            <w:rStyle w:val="Hyperlink"/>
            <w:i/>
            <w:noProof/>
          </w:rPr>
          <w:t>Table 32:</w:t>
        </w:r>
        <w:r w:rsidR="0060749D">
          <w:rPr>
            <w:rFonts w:eastAsiaTheme="minorEastAsia" w:cstheme="minorBidi"/>
            <w:noProof/>
            <w:szCs w:val="22"/>
            <w:lang w:eastAsia="en-NZ"/>
          </w:rPr>
          <w:tab/>
        </w:r>
        <w:r w:rsidR="0060749D" w:rsidRPr="003B088A">
          <w:rPr>
            <w:rStyle w:val="Hyperlink"/>
            <w:rFonts w:cstheme="minorHAnsi"/>
            <w:i/>
            <w:noProof/>
          </w:rPr>
          <w:t xml:space="preserve">Use of health services and gambling status (PGSI categorisation), total population aged 15 years and over (unadjusted prevalence)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_Toc425426899 \h </w:instrText>
        </w:r>
        <w:r w:rsidR="0060749D">
          <w:rPr>
            <w:noProof/>
            <w:webHidden/>
          </w:rPr>
        </w:r>
        <w:r w:rsidR="0060749D">
          <w:rPr>
            <w:noProof/>
            <w:webHidden/>
          </w:rPr>
          <w:fldChar w:fldCharType="separate"/>
        </w:r>
        <w:r w:rsidR="00AA25B9">
          <w:rPr>
            <w:noProof/>
            <w:webHidden/>
          </w:rPr>
          <w:t>147</w:t>
        </w:r>
        <w:r w:rsidR="0060749D">
          <w:rPr>
            <w:noProof/>
            <w:webHidden/>
          </w:rPr>
          <w:fldChar w:fldCharType="end"/>
        </w:r>
      </w:hyperlink>
    </w:p>
    <w:p w14:paraId="7EC4ED32"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900" w:history="1">
        <w:r w:rsidR="0060749D" w:rsidRPr="003B088A">
          <w:rPr>
            <w:rStyle w:val="Hyperlink"/>
            <w:i/>
            <w:noProof/>
          </w:rPr>
          <w:t>Table 33:</w:t>
        </w:r>
        <w:r w:rsidR="0060749D">
          <w:rPr>
            <w:rFonts w:eastAsiaTheme="minorEastAsia" w:cstheme="minorBidi"/>
            <w:noProof/>
            <w:szCs w:val="22"/>
            <w:lang w:eastAsia="en-NZ"/>
          </w:rPr>
          <w:tab/>
        </w:r>
        <w:r w:rsidR="0060749D" w:rsidRPr="003B088A">
          <w:rPr>
            <w:rStyle w:val="Hyperlink"/>
            <w:rFonts w:cstheme="minorHAnsi"/>
            <w:i/>
            <w:noProof/>
          </w:rPr>
          <w:t xml:space="preserve">Gambling status by use of health services, total population aged 15 years and over – Odds ratios and p-values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_Toc425426900 \h </w:instrText>
        </w:r>
        <w:r w:rsidR="0060749D">
          <w:rPr>
            <w:noProof/>
            <w:webHidden/>
          </w:rPr>
        </w:r>
        <w:r w:rsidR="0060749D">
          <w:rPr>
            <w:noProof/>
            <w:webHidden/>
          </w:rPr>
          <w:fldChar w:fldCharType="separate"/>
        </w:r>
        <w:r w:rsidR="00AA25B9">
          <w:rPr>
            <w:noProof/>
            <w:webHidden/>
          </w:rPr>
          <w:t>148</w:t>
        </w:r>
        <w:r w:rsidR="0060749D">
          <w:rPr>
            <w:noProof/>
            <w:webHidden/>
          </w:rPr>
          <w:fldChar w:fldCharType="end"/>
        </w:r>
      </w:hyperlink>
    </w:p>
    <w:p w14:paraId="63CC854F"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901" w:history="1">
        <w:r w:rsidR="0060749D" w:rsidRPr="003B088A">
          <w:rPr>
            <w:rStyle w:val="Hyperlink"/>
            <w:i/>
            <w:noProof/>
          </w:rPr>
          <w:t>Table 34:</w:t>
        </w:r>
        <w:r w:rsidR="0060749D">
          <w:rPr>
            <w:rFonts w:eastAsiaTheme="minorEastAsia" w:cstheme="minorBidi"/>
            <w:noProof/>
            <w:szCs w:val="22"/>
            <w:lang w:eastAsia="en-NZ"/>
          </w:rPr>
          <w:tab/>
        </w:r>
        <w:r w:rsidR="0060749D" w:rsidRPr="003B088A">
          <w:rPr>
            <w:rStyle w:val="Hyperlink"/>
            <w:rFonts w:cstheme="minorHAnsi"/>
            <w:i/>
            <w:noProof/>
          </w:rPr>
          <w:t xml:space="preserve">People affected by someone else’s gambling by demographics, total population aged 15 years and over (unadjusted prevalence; N=12,576)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_Toc425426901 \h </w:instrText>
        </w:r>
        <w:r w:rsidR="0060749D">
          <w:rPr>
            <w:noProof/>
            <w:webHidden/>
          </w:rPr>
        </w:r>
        <w:r w:rsidR="0060749D">
          <w:rPr>
            <w:noProof/>
            <w:webHidden/>
          </w:rPr>
          <w:fldChar w:fldCharType="separate"/>
        </w:r>
        <w:r w:rsidR="00AA25B9">
          <w:rPr>
            <w:noProof/>
            <w:webHidden/>
          </w:rPr>
          <w:t>149</w:t>
        </w:r>
        <w:r w:rsidR="0060749D">
          <w:rPr>
            <w:noProof/>
            <w:webHidden/>
          </w:rPr>
          <w:fldChar w:fldCharType="end"/>
        </w:r>
      </w:hyperlink>
    </w:p>
    <w:p w14:paraId="382301FD" w14:textId="77777777" w:rsidR="0060749D" w:rsidRDefault="00CA3637" w:rsidP="000F2F0F">
      <w:pPr>
        <w:pStyle w:val="TableofFigures"/>
        <w:tabs>
          <w:tab w:val="left" w:pos="1134"/>
          <w:tab w:val="right" w:leader="dot" w:pos="9720"/>
          <w:tab w:val="right" w:leader="dot" w:pos="9771"/>
        </w:tabs>
        <w:ind w:left="1170" w:right="871" w:hanging="1170"/>
        <w:rPr>
          <w:rFonts w:eastAsiaTheme="minorEastAsia" w:cstheme="minorBidi"/>
          <w:noProof/>
          <w:szCs w:val="22"/>
          <w:lang w:eastAsia="en-NZ"/>
        </w:rPr>
      </w:pPr>
      <w:hyperlink w:anchor="_Toc425426902" w:history="1">
        <w:r w:rsidR="0060749D" w:rsidRPr="003B088A">
          <w:rPr>
            <w:rStyle w:val="Hyperlink"/>
            <w:i/>
            <w:noProof/>
          </w:rPr>
          <w:t>Table 35:</w:t>
        </w:r>
        <w:r w:rsidR="0060749D">
          <w:rPr>
            <w:rFonts w:eastAsiaTheme="minorEastAsia" w:cstheme="minorBidi"/>
            <w:noProof/>
            <w:szCs w:val="22"/>
            <w:lang w:eastAsia="en-NZ"/>
          </w:rPr>
          <w:tab/>
        </w:r>
        <w:r w:rsidR="0060749D" w:rsidRPr="003B088A">
          <w:rPr>
            <w:rStyle w:val="Hyperlink"/>
            <w:rFonts w:cstheme="minorHAnsi"/>
            <w:i/>
            <w:noProof/>
          </w:rPr>
          <w:t xml:space="preserve">Been impacted by other’s gambling – activity that was involved, those who have been impacted (unadjusted prevalence; N=391) </w:t>
        </w:r>
        <w:r w:rsidR="0060749D" w:rsidRPr="003B088A">
          <w:rPr>
            <w:rStyle w:val="Hyperlink"/>
            <w:rFonts w:cstheme="minorHAnsi"/>
            <w:i/>
            <w:noProof/>
            <w:vertAlign w:val="superscript"/>
          </w:rPr>
          <w:t>1</w:t>
        </w:r>
        <w:r w:rsidR="0060749D">
          <w:rPr>
            <w:noProof/>
            <w:webHidden/>
          </w:rPr>
          <w:tab/>
        </w:r>
        <w:r w:rsidR="0060749D">
          <w:rPr>
            <w:noProof/>
            <w:webHidden/>
          </w:rPr>
          <w:fldChar w:fldCharType="begin"/>
        </w:r>
        <w:r w:rsidR="0060749D">
          <w:rPr>
            <w:noProof/>
            <w:webHidden/>
          </w:rPr>
          <w:instrText xml:space="preserve"> PAGEREF _Toc425426902 \h </w:instrText>
        </w:r>
        <w:r w:rsidR="0060749D">
          <w:rPr>
            <w:noProof/>
            <w:webHidden/>
          </w:rPr>
        </w:r>
        <w:r w:rsidR="0060749D">
          <w:rPr>
            <w:noProof/>
            <w:webHidden/>
          </w:rPr>
          <w:fldChar w:fldCharType="separate"/>
        </w:r>
        <w:r w:rsidR="00AA25B9">
          <w:rPr>
            <w:noProof/>
            <w:webHidden/>
          </w:rPr>
          <w:t>150</w:t>
        </w:r>
        <w:r w:rsidR="0060749D">
          <w:rPr>
            <w:noProof/>
            <w:webHidden/>
          </w:rPr>
          <w:fldChar w:fldCharType="end"/>
        </w:r>
      </w:hyperlink>
    </w:p>
    <w:p w14:paraId="382B6048" w14:textId="77777777" w:rsidR="008F0B35" w:rsidRPr="008A5C48" w:rsidRDefault="008F0B35" w:rsidP="000F2F0F">
      <w:pPr>
        <w:pStyle w:val="TableofFigures"/>
        <w:tabs>
          <w:tab w:val="left" w:pos="993"/>
          <w:tab w:val="left" w:pos="1134"/>
          <w:tab w:val="right" w:leader="dot" w:pos="9720"/>
          <w:tab w:val="right" w:leader="dot" w:pos="9781"/>
        </w:tabs>
        <w:ind w:left="1170" w:right="871" w:hanging="1170"/>
        <w:rPr>
          <w:rStyle w:val="Hyperlink"/>
          <w:noProof/>
          <w:sz w:val="20"/>
        </w:rPr>
      </w:pPr>
      <w:r w:rsidRPr="008A5C48">
        <w:rPr>
          <w:rStyle w:val="Hyperlink"/>
          <w:noProof/>
          <w:sz w:val="20"/>
        </w:rPr>
        <w:fldChar w:fldCharType="end"/>
      </w:r>
    </w:p>
    <w:p w14:paraId="731988F0" w14:textId="77777777" w:rsidR="009F4940" w:rsidRDefault="009F4940">
      <w:pPr>
        <w:spacing w:before="0" w:after="200" w:line="276" w:lineRule="auto"/>
        <w:jc w:val="left"/>
        <w:rPr>
          <w:rFonts w:asciiTheme="minorHAnsi" w:hAnsiTheme="minorHAnsi"/>
          <w:b/>
          <w:bCs/>
          <w:color w:val="365F91"/>
          <w:sz w:val="28"/>
          <w:szCs w:val="28"/>
          <w:lang w:val="en-US"/>
        </w:rPr>
      </w:pPr>
      <w:r>
        <w:rPr>
          <w:rFonts w:asciiTheme="minorHAnsi" w:hAnsiTheme="minorHAnsi"/>
        </w:rPr>
        <w:br w:type="page"/>
      </w:r>
    </w:p>
    <w:p w14:paraId="35A756C6" w14:textId="77777777" w:rsidR="008F0B35" w:rsidRDefault="001E6994" w:rsidP="008F0B35">
      <w:pPr>
        <w:pStyle w:val="TOCHeading"/>
        <w:ind w:left="1134" w:hanging="1134"/>
        <w:rPr>
          <w:rFonts w:asciiTheme="minorHAnsi" w:hAnsiTheme="minorHAnsi"/>
        </w:rPr>
      </w:pPr>
      <w:r w:rsidRPr="00AF3A24">
        <w:rPr>
          <w:rFonts w:asciiTheme="minorHAnsi" w:hAnsiTheme="minorHAnsi"/>
        </w:rPr>
        <w:lastRenderedPageBreak/>
        <w:t>LIST OF FIGURES</w:t>
      </w:r>
    </w:p>
    <w:p w14:paraId="0C62B794" w14:textId="77777777" w:rsidR="00597920" w:rsidRDefault="00597920" w:rsidP="0088099F">
      <w:pPr>
        <w:pStyle w:val="TableofFigures"/>
        <w:tabs>
          <w:tab w:val="left" w:pos="1134"/>
          <w:tab w:val="right" w:leader="dot" w:pos="9771"/>
        </w:tabs>
        <w:ind w:left="1134" w:right="850" w:hanging="1134"/>
        <w:rPr>
          <w:rStyle w:val="Hyperlink"/>
          <w:i/>
          <w:noProof/>
        </w:rPr>
      </w:pPr>
    </w:p>
    <w:p w14:paraId="1DFB0469" w14:textId="77777777" w:rsidR="000F2F0F" w:rsidRDefault="008F0B35" w:rsidP="000F2F0F">
      <w:pPr>
        <w:pStyle w:val="TableofFigures"/>
        <w:tabs>
          <w:tab w:val="left" w:pos="1260"/>
          <w:tab w:val="right" w:leader="dot" w:pos="9720"/>
        </w:tabs>
        <w:ind w:left="1260" w:right="871" w:hanging="1260"/>
        <w:rPr>
          <w:rFonts w:eastAsiaTheme="minorEastAsia" w:cstheme="minorBidi"/>
          <w:noProof/>
          <w:szCs w:val="22"/>
          <w:lang w:eastAsia="en-NZ"/>
        </w:rPr>
      </w:pPr>
      <w:r w:rsidRPr="0088099F">
        <w:rPr>
          <w:rStyle w:val="Hyperlink"/>
          <w:i/>
          <w:noProof/>
        </w:rPr>
        <w:fldChar w:fldCharType="begin"/>
      </w:r>
      <w:r w:rsidRPr="0088099F">
        <w:rPr>
          <w:rStyle w:val="Hyperlink"/>
          <w:i/>
          <w:noProof/>
        </w:rPr>
        <w:instrText xml:space="preserve"> TOC \h \z \c "Figure" </w:instrText>
      </w:r>
      <w:r w:rsidRPr="0088099F">
        <w:rPr>
          <w:rStyle w:val="Hyperlink"/>
          <w:i/>
          <w:noProof/>
        </w:rPr>
        <w:fldChar w:fldCharType="separate"/>
      </w:r>
      <w:hyperlink w:anchor="_Toc425426974" w:history="1">
        <w:r w:rsidR="000F2F0F" w:rsidRPr="00B3572A">
          <w:rPr>
            <w:rStyle w:val="Hyperlink"/>
            <w:rFonts w:cstheme="minorHAnsi"/>
            <w:i/>
            <w:noProof/>
          </w:rPr>
          <w:t xml:space="preserve">Figure 1: </w:t>
        </w:r>
        <w:r w:rsidR="000F2F0F">
          <w:rPr>
            <w:rFonts w:eastAsiaTheme="minorEastAsia" w:cstheme="minorBidi"/>
            <w:noProof/>
            <w:szCs w:val="22"/>
            <w:lang w:eastAsia="en-NZ"/>
          </w:rPr>
          <w:tab/>
        </w:r>
        <w:r w:rsidR="000F2F0F" w:rsidRPr="00B3572A">
          <w:rPr>
            <w:rStyle w:val="Hyperlink"/>
            <w:rFonts w:cstheme="minorHAnsi"/>
            <w:i/>
            <w:noProof/>
          </w:rPr>
          <w:t xml:space="preserve">Gaming machine numbers, June 1994 to September 2014 at 3-monthly intervals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_Toc425426974 \h </w:instrText>
        </w:r>
        <w:r w:rsidR="000F2F0F">
          <w:rPr>
            <w:noProof/>
            <w:webHidden/>
          </w:rPr>
        </w:r>
        <w:r w:rsidR="000F2F0F">
          <w:rPr>
            <w:noProof/>
            <w:webHidden/>
          </w:rPr>
          <w:fldChar w:fldCharType="separate"/>
        </w:r>
        <w:r w:rsidR="00AA25B9">
          <w:rPr>
            <w:noProof/>
            <w:webHidden/>
          </w:rPr>
          <w:t>17</w:t>
        </w:r>
        <w:r w:rsidR="000F2F0F">
          <w:rPr>
            <w:noProof/>
            <w:webHidden/>
          </w:rPr>
          <w:fldChar w:fldCharType="end"/>
        </w:r>
      </w:hyperlink>
    </w:p>
    <w:p w14:paraId="41E4F348"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75" w:history="1">
        <w:r w:rsidR="000F2F0F" w:rsidRPr="00B3572A">
          <w:rPr>
            <w:rStyle w:val="Hyperlink"/>
            <w:rFonts w:cstheme="minorHAnsi"/>
            <w:i/>
            <w:noProof/>
          </w:rPr>
          <w:t xml:space="preserve">Figure 2: </w:t>
        </w:r>
        <w:r w:rsidR="000F2F0F">
          <w:rPr>
            <w:rFonts w:eastAsiaTheme="minorEastAsia" w:cstheme="minorBidi"/>
            <w:noProof/>
            <w:szCs w:val="22"/>
            <w:lang w:eastAsia="en-NZ"/>
          </w:rPr>
          <w:tab/>
        </w:r>
        <w:r w:rsidR="000F2F0F" w:rsidRPr="00B3572A">
          <w:rPr>
            <w:rStyle w:val="Hyperlink"/>
            <w:rFonts w:cstheme="minorHAnsi"/>
            <w:i/>
            <w:noProof/>
          </w:rPr>
          <w:t xml:space="preserve">Annual gambling expenditure in New Zealand, by gambling activity type (1989/90 – 2013/14 financial years)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_Toc425426975 \h </w:instrText>
        </w:r>
        <w:r w:rsidR="000F2F0F">
          <w:rPr>
            <w:noProof/>
            <w:webHidden/>
          </w:rPr>
        </w:r>
        <w:r w:rsidR="000F2F0F">
          <w:rPr>
            <w:noProof/>
            <w:webHidden/>
          </w:rPr>
          <w:fldChar w:fldCharType="separate"/>
        </w:r>
        <w:r w:rsidR="00AA25B9">
          <w:rPr>
            <w:noProof/>
            <w:webHidden/>
          </w:rPr>
          <w:t>19</w:t>
        </w:r>
        <w:r w:rsidR="000F2F0F">
          <w:rPr>
            <w:noProof/>
            <w:webHidden/>
          </w:rPr>
          <w:fldChar w:fldCharType="end"/>
        </w:r>
      </w:hyperlink>
    </w:p>
    <w:p w14:paraId="0755F869"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76" w:history="1">
        <w:r w:rsidR="000F2F0F" w:rsidRPr="00B3572A">
          <w:rPr>
            <w:rStyle w:val="Hyperlink"/>
            <w:rFonts w:cstheme="minorHAnsi"/>
            <w:i/>
            <w:noProof/>
          </w:rPr>
          <w:t xml:space="preserve">Figure 3: </w:t>
        </w:r>
        <w:r w:rsidR="000F2F0F">
          <w:rPr>
            <w:rFonts w:eastAsiaTheme="minorEastAsia" w:cstheme="minorBidi"/>
            <w:noProof/>
            <w:szCs w:val="22"/>
            <w:lang w:eastAsia="en-NZ"/>
          </w:rPr>
          <w:tab/>
        </w:r>
        <w:r w:rsidR="000F2F0F" w:rsidRPr="00B3572A">
          <w:rPr>
            <w:rStyle w:val="Hyperlink"/>
            <w:rFonts w:cstheme="minorHAnsi"/>
            <w:i/>
            <w:noProof/>
          </w:rPr>
          <w:t xml:space="preserve">Total clients assisted in New Zealand for problem gambling, all client types (2006/07 to 2012/13 financial years)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_Toc425426976 \h </w:instrText>
        </w:r>
        <w:r w:rsidR="000F2F0F">
          <w:rPr>
            <w:noProof/>
            <w:webHidden/>
          </w:rPr>
        </w:r>
        <w:r w:rsidR="000F2F0F">
          <w:rPr>
            <w:noProof/>
            <w:webHidden/>
          </w:rPr>
          <w:fldChar w:fldCharType="separate"/>
        </w:r>
        <w:r w:rsidR="00AA25B9">
          <w:rPr>
            <w:noProof/>
            <w:webHidden/>
          </w:rPr>
          <w:t>26</w:t>
        </w:r>
        <w:r w:rsidR="000F2F0F">
          <w:rPr>
            <w:noProof/>
            <w:webHidden/>
          </w:rPr>
          <w:fldChar w:fldCharType="end"/>
        </w:r>
      </w:hyperlink>
    </w:p>
    <w:p w14:paraId="0827932A"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77" w:history="1">
        <w:r w:rsidR="000F2F0F" w:rsidRPr="00B3572A">
          <w:rPr>
            <w:rStyle w:val="Hyperlink"/>
            <w:rFonts w:cstheme="minorHAnsi"/>
            <w:i/>
            <w:noProof/>
          </w:rPr>
          <w:t xml:space="preserve">Figure 4: </w:t>
        </w:r>
        <w:r w:rsidR="000F2F0F">
          <w:rPr>
            <w:rFonts w:eastAsiaTheme="minorEastAsia" w:cstheme="minorBidi"/>
            <w:noProof/>
            <w:szCs w:val="22"/>
            <w:lang w:eastAsia="en-NZ"/>
          </w:rPr>
          <w:tab/>
        </w:r>
        <w:r w:rsidR="000F2F0F" w:rsidRPr="00B3572A">
          <w:rPr>
            <w:rStyle w:val="Hyperlink"/>
            <w:rFonts w:cstheme="minorHAnsi"/>
            <w:i/>
            <w:noProof/>
          </w:rPr>
          <w:t xml:space="preserve">Primary gambling mode for total clients assisted in New Zealand for problem gambling, all client types (2006/07 to 2012/13 financial years)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_Toc425426977 \h </w:instrText>
        </w:r>
        <w:r w:rsidR="000F2F0F">
          <w:rPr>
            <w:noProof/>
            <w:webHidden/>
          </w:rPr>
        </w:r>
        <w:r w:rsidR="000F2F0F">
          <w:rPr>
            <w:noProof/>
            <w:webHidden/>
          </w:rPr>
          <w:fldChar w:fldCharType="separate"/>
        </w:r>
        <w:r w:rsidR="00AA25B9">
          <w:rPr>
            <w:noProof/>
            <w:webHidden/>
          </w:rPr>
          <w:t>27</w:t>
        </w:r>
        <w:r w:rsidR="000F2F0F">
          <w:rPr>
            <w:noProof/>
            <w:webHidden/>
          </w:rPr>
          <w:fldChar w:fldCharType="end"/>
        </w:r>
      </w:hyperlink>
    </w:p>
    <w:p w14:paraId="71455C84"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78" w:history="1">
        <w:r w:rsidR="000F2F0F" w:rsidRPr="00DC0682">
          <w:rPr>
            <w:rStyle w:val="Hyperlink"/>
            <w:rFonts w:ascii="Calibri" w:hAnsi="Calibri"/>
            <w:i/>
            <w:noProof/>
          </w:rPr>
          <w:t xml:space="preserve">Figure 5: </w:t>
        </w:r>
        <w:r w:rsidR="000F2F0F">
          <w:rPr>
            <w:rFonts w:eastAsiaTheme="minorEastAsia" w:cstheme="minorBidi"/>
            <w:noProof/>
            <w:szCs w:val="22"/>
            <w:lang w:eastAsia="en-NZ"/>
          </w:rPr>
          <w:tab/>
        </w:r>
        <w:r w:rsidR="000F2F0F" w:rsidRPr="00B3572A">
          <w:rPr>
            <w:rStyle w:val="Hyperlink"/>
            <w:rFonts w:ascii="Calibri" w:hAnsi="Calibri"/>
            <w:noProof/>
          </w:rPr>
          <w:t>Analysis of NZHS gambling and problem gambling data – key variables</w:t>
        </w:r>
        <w:r w:rsidR="000F2F0F">
          <w:rPr>
            <w:noProof/>
            <w:webHidden/>
          </w:rPr>
          <w:tab/>
        </w:r>
        <w:r w:rsidR="000F2F0F">
          <w:rPr>
            <w:noProof/>
            <w:webHidden/>
          </w:rPr>
          <w:fldChar w:fldCharType="begin"/>
        </w:r>
        <w:r w:rsidR="000F2F0F">
          <w:rPr>
            <w:noProof/>
            <w:webHidden/>
          </w:rPr>
          <w:instrText xml:space="preserve"> PAGEREF _Toc425426978 \h </w:instrText>
        </w:r>
        <w:r w:rsidR="000F2F0F">
          <w:rPr>
            <w:noProof/>
            <w:webHidden/>
          </w:rPr>
        </w:r>
        <w:r w:rsidR="000F2F0F">
          <w:rPr>
            <w:noProof/>
            <w:webHidden/>
          </w:rPr>
          <w:fldChar w:fldCharType="separate"/>
        </w:r>
        <w:r w:rsidR="00AA25B9">
          <w:rPr>
            <w:noProof/>
            <w:webHidden/>
          </w:rPr>
          <w:t>36</w:t>
        </w:r>
        <w:r w:rsidR="000F2F0F">
          <w:rPr>
            <w:noProof/>
            <w:webHidden/>
          </w:rPr>
          <w:fldChar w:fldCharType="end"/>
        </w:r>
      </w:hyperlink>
    </w:p>
    <w:p w14:paraId="0CFB1EE1"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79" w:history="1">
        <w:r w:rsidR="000F2F0F" w:rsidRPr="00B3572A">
          <w:rPr>
            <w:rStyle w:val="Hyperlink"/>
            <w:rFonts w:cstheme="minorHAnsi"/>
            <w:i/>
            <w:noProof/>
          </w:rPr>
          <w:t xml:space="preserve">Figure 6: </w:t>
        </w:r>
        <w:r w:rsidR="000F2F0F">
          <w:rPr>
            <w:rFonts w:eastAsiaTheme="minorEastAsia" w:cstheme="minorBidi"/>
            <w:noProof/>
            <w:szCs w:val="22"/>
            <w:lang w:eastAsia="en-NZ"/>
          </w:rPr>
          <w:tab/>
        </w:r>
        <w:r w:rsidR="000F2F0F" w:rsidRPr="00B3572A">
          <w:rPr>
            <w:rStyle w:val="Hyperlink"/>
            <w:rFonts w:cstheme="minorHAnsi"/>
            <w:i/>
            <w:noProof/>
          </w:rPr>
          <w:t>Gambling in the last 12 months, by age group and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_Toc425426979 \h </w:instrText>
        </w:r>
        <w:r w:rsidR="000F2F0F">
          <w:rPr>
            <w:noProof/>
            <w:webHidden/>
          </w:rPr>
        </w:r>
        <w:r w:rsidR="000F2F0F">
          <w:rPr>
            <w:noProof/>
            <w:webHidden/>
          </w:rPr>
          <w:fldChar w:fldCharType="separate"/>
        </w:r>
        <w:r w:rsidR="00AA25B9">
          <w:rPr>
            <w:noProof/>
            <w:webHidden/>
          </w:rPr>
          <w:t>40</w:t>
        </w:r>
        <w:r w:rsidR="000F2F0F">
          <w:rPr>
            <w:noProof/>
            <w:webHidden/>
          </w:rPr>
          <w:fldChar w:fldCharType="end"/>
        </w:r>
      </w:hyperlink>
    </w:p>
    <w:p w14:paraId="18DC5902"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80" w:history="1">
        <w:r w:rsidR="000F2F0F" w:rsidRPr="00B3572A">
          <w:rPr>
            <w:rStyle w:val="Hyperlink"/>
            <w:rFonts w:cstheme="minorHAnsi"/>
            <w:i/>
            <w:noProof/>
          </w:rPr>
          <w:t xml:space="preserve">Figure 7: </w:t>
        </w:r>
        <w:r w:rsidR="000F2F0F">
          <w:rPr>
            <w:rFonts w:eastAsiaTheme="minorEastAsia" w:cstheme="minorBidi"/>
            <w:noProof/>
            <w:szCs w:val="22"/>
            <w:lang w:eastAsia="en-NZ"/>
          </w:rPr>
          <w:tab/>
        </w:r>
        <w:r w:rsidR="000F2F0F" w:rsidRPr="00B3572A">
          <w:rPr>
            <w:rStyle w:val="Hyperlink"/>
            <w:rFonts w:cstheme="minorHAnsi"/>
            <w:i/>
            <w:noProof/>
          </w:rPr>
          <w:t>Gambling activities in the last 12 months, by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_Toc425426980 \h </w:instrText>
        </w:r>
        <w:r w:rsidR="000F2F0F">
          <w:rPr>
            <w:noProof/>
            <w:webHidden/>
          </w:rPr>
        </w:r>
        <w:r w:rsidR="000F2F0F">
          <w:rPr>
            <w:noProof/>
            <w:webHidden/>
          </w:rPr>
          <w:fldChar w:fldCharType="separate"/>
        </w:r>
        <w:r w:rsidR="00AA25B9">
          <w:rPr>
            <w:noProof/>
            <w:webHidden/>
          </w:rPr>
          <w:t>42</w:t>
        </w:r>
        <w:r w:rsidR="000F2F0F">
          <w:rPr>
            <w:noProof/>
            <w:webHidden/>
          </w:rPr>
          <w:fldChar w:fldCharType="end"/>
        </w:r>
      </w:hyperlink>
    </w:p>
    <w:p w14:paraId="584F6F34"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81" w:history="1">
        <w:r w:rsidR="000F2F0F" w:rsidRPr="00B3572A">
          <w:rPr>
            <w:rStyle w:val="Hyperlink"/>
            <w:rFonts w:cstheme="minorHAnsi"/>
            <w:i/>
            <w:noProof/>
          </w:rPr>
          <w:t xml:space="preserve">Figure 8: </w:t>
        </w:r>
        <w:r w:rsidR="000F2F0F">
          <w:rPr>
            <w:rFonts w:eastAsiaTheme="minorEastAsia" w:cstheme="minorBidi"/>
            <w:noProof/>
            <w:szCs w:val="22"/>
            <w:lang w:eastAsia="en-NZ"/>
          </w:rPr>
          <w:tab/>
        </w:r>
        <w:r w:rsidR="000F2F0F" w:rsidRPr="00B3572A">
          <w:rPr>
            <w:rStyle w:val="Hyperlink"/>
            <w:rFonts w:cstheme="minorHAnsi"/>
            <w:i/>
            <w:noProof/>
          </w:rPr>
          <w:t>Gambling on any casino activity (EGMs or tables) in the last 12 months, by age group and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_Toc425426981 \h </w:instrText>
        </w:r>
        <w:r w:rsidR="000F2F0F">
          <w:rPr>
            <w:noProof/>
            <w:webHidden/>
          </w:rPr>
        </w:r>
        <w:r w:rsidR="000F2F0F">
          <w:rPr>
            <w:noProof/>
            <w:webHidden/>
          </w:rPr>
          <w:fldChar w:fldCharType="separate"/>
        </w:r>
        <w:r w:rsidR="00AA25B9">
          <w:rPr>
            <w:noProof/>
            <w:webHidden/>
          </w:rPr>
          <w:t>43</w:t>
        </w:r>
        <w:r w:rsidR="000F2F0F">
          <w:rPr>
            <w:noProof/>
            <w:webHidden/>
          </w:rPr>
          <w:fldChar w:fldCharType="end"/>
        </w:r>
      </w:hyperlink>
    </w:p>
    <w:p w14:paraId="7A69F0AF" w14:textId="77777777"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82" w:history="1">
        <w:r w:rsidR="000F2F0F" w:rsidRPr="00B3572A">
          <w:rPr>
            <w:rStyle w:val="Hyperlink"/>
            <w:rFonts w:cstheme="minorHAnsi"/>
            <w:i/>
            <w:noProof/>
          </w:rPr>
          <w:t xml:space="preserve">Figure 9: </w:t>
        </w:r>
        <w:r w:rsidR="000F2F0F">
          <w:rPr>
            <w:rFonts w:eastAsiaTheme="minorEastAsia" w:cstheme="minorBidi"/>
            <w:noProof/>
            <w:szCs w:val="22"/>
            <w:lang w:eastAsia="en-NZ"/>
          </w:rPr>
          <w:tab/>
        </w:r>
        <w:r w:rsidR="000F2F0F" w:rsidRPr="00B3572A">
          <w:rPr>
            <w:rStyle w:val="Hyperlink"/>
            <w:rFonts w:cstheme="minorHAnsi"/>
            <w:i/>
            <w:noProof/>
          </w:rPr>
          <w:t>Gambling on Instant Kiwi (or other scratch tickets) in the last 12 months, by age group and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_Toc425426982 \h </w:instrText>
        </w:r>
        <w:r w:rsidR="000F2F0F">
          <w:rPr>
            <w:noProof/>
            <w:webHidden/>
          </w:rPr>
        </w:r>
        <w:r w:rsidR="000F2F0F">
          <w:rPr>
            <w:noProof/>
            <w:webHidden/>
          </w:rPr>
          <w:fldChar w:fldCharType="separate"/>
        </w:r>
        <w:r w:rsidR="00AA25B9">
          <w:rPr>
            <w:noProof/>
            <w:webHidden/>
          </w:rPr>
          <w:t>44</w:t>
        </w:r>
        <w:r w:rsidR="000F2F0F">
          <w:rPr>
            <w:noProof/>
            <w:webHidden/>
          </w:rPr>
          <w:fldChar w:fldCharType="end"/>
        </w:r>
      </w:hyperlink>
    </w:p>
    <w:p w14:paraId="4D435EC3"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3" w:history="1">
        <w:r w:rsidR="000F2F0F" w:rsidRPr="00B3572A">
          <w:rPr>
            <w:rStyle w:val="Hyperlink"/>
            <w:rFonts w:cstheme="minorHAnsi"/>
            <w:i/>
            <w:noProof/>
          </w:rPr>
          <w:t xml:space="preserve">Figure 10: </w:t>
        </w:r>
        <w:r w:rsidR="000F2F0F">
          <w:rPr>
            <w:rFonts w:eastAsiaTheme="minorEastAsia" w:cstheme="minorBidi"/>
            <w:noProof/>
            <w:szCs w:val="22"/>
            <w:lang w:eastAsia="en-NZ"/>
          </w:rPr>
          <w:tab/>
        </w:r>
        <w:r w:rsidR="000F2F0F" w:rsidRPr="00B3572A">
          <w:rPr>
            <w:rStyle w:val="Hyperlink"/>
            <w:rFonts w:cstheme="minorHAnsi"/>
            <w:i/>
            <w:noProof/>
          </w:rPr>
          <w:t>Gambling on Lotto in the last 12 months, by age group and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_Toc425426983 \h </w:instrText>
        </w:r>
        <w:r w:rsidR="000F2F0F">
          <w:rPr>
            <w:noProof/>
            <w:webHidden/>
          </w:rPr>
        </w:r>
        <w:r w:rsidR="000F2F0F">
          <w:rPr>
            <w:noProof/>
            <w:webHidden/>
          </w:rPr>
          <w:fldChar w:fldCharType="separate"/>
        </w:r>
        <w:r w:rsidR="00AA25B9">
          <w:rPr>
            <w:noProof/>
            <w:webHidden/>
          </w:rPr>
          <w:t>44</w:t>
        </w:r>
        <w:r w:rsidR="000F2F0F">
          <w:rPr>
            <w:noProof/>
            <w:webHidden/>
          </w:rPr>
          <w:fldChar w:fldCharType="end"/>
        </w:r>
      </w:hyperlink>
    </w:p>
    <w:p w14:paraId="2C973BFA"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4" w:history="1">
        <w:r w:rsidR="000F2F0F" w:rsidRPr="00B3572A">
          <w:rPr>
            <w:rStyle w:val="Hyperlink"/>
            <w:rFonts w:cstheme="minorHAnsi"/>
            <w:i/>
            <w:noProof/>
          </w:rPr>
          <w:t xml:space="preserve">Figure 11: </w:t>
        </w:r>
        <w:r w:rsidR="000F2F0F">
          <w:rPr>
            <w:rFonts w:eastAsiaTheme="minorEastAsia" w:cstheme="minorBidi"/>
            <w:noProof/>
            <w:szCs w:val="22"/>
            <w:lang w:eastAsia="en-NZ"/>
          </w:rPr>
          <w:tab/>
        </w:r>
        <w:r w:rsidR="000F2F0F" w:rsidRPr="00B3572A">
          <w:rPr>
            <w:rStyle w:val="Hyperlink"/>
            <w:rFonts w:cstheme="minorHAnsi"/>
            <w:i/>
            <w:noProof/>
          </w:rPr>
          <w:t>Gambling on Lotto only in the last 12 months, by neighbourhood deprivation</w:t>
        </w:r>
        <w:r w:rsidR="000F2F0F" w:rsidRPr="00B3572A">
          <w:rPr>
            <w:rStyle w:val="Hyperlink"/>
            <w:rFonts w:cstheme="minorHAnsi"/>
            <w:i/>
            <w:noProof/>
            <w:vertAlign w:val="superscript"/>
          </w:rPr>
          <w:t>1</w:t>
        </w:r>
        <w:r w:rsidR="000F2F0F" w:rsidRPr="00B3572A">
          <w:rPr>
            <w:rStyle w:val="Hyperlink"/>
            <w:rFonts w:cstheme="minorHAnsi"/>
            <w:i/>
            <w:noProof/>
          </w:rPr>
          <w:t>,</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2</w:t>
        </w:r>
        <w:r w:rsidR="000F2F0F">
          <w:rPr>
            <w:noProof/>
            <w:webHidden/>
          </w:rPr>
          <w:tab/>
        </w:r>
        <w:r w:rsidR="000F2F0F">
          <w:rPr>
            <w:noProof/>
            <w:webHidden/>
          </w:rPr>
          <w:fldChar w:fldCharType="begin"/>
        </w:r>
        <w:r w:rsidR="000F2F0F">
          <w:rPr>
            <w:noProof/>
            <w:webHidden/>
          </w:rPr>
          <w:instrText xml:space="preserve"> PAGEREF _Toc425426984 \h </w:instrText>
        </w:r>
        <w:r w:rsidR="000F2F0F">
          <w:rPr>
            <w:noProof/>
            <w:webHidden/>
          </w:rPr>
        </w:r>
        <w:r w:rsidR="000F2F0F">
          <w:rPr>
            <w:noProof/>
            <w:webHidden/>
          </w:rPr>
          <w:fldChar w:fldCharType="separate"/>
        </w:r>
        <w:r w:rsidR="00AA25B9">
          <w:rPr>
            <w:noProof/>
            <w:webHidden/>
          </w:rPr>
          <w:t>47</w:t>
        </w:r>
        <w:r w:rsidR="000F2F0F">
          <w:rPr>
            <w:noProof/>
            <w:webHidden/>
          </w:rPr>
          <w:fldChar w:fldCharType="end"/>
        </w:r>
      </w:hyperlink>
    </w:p>
    <w:p w14:paraId="40E4B731"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5" w:history="1">
        <w:r w:rsidR="000F2F0F" w:rsidRPr="00B3572A">
          <w:rPr>
            <w:rStyle w:val="Hyperlink"/>
            <w:i/>
            <w:noProof/>
          </w:rPr>
          <w:t xml:space="preserve">Figure 12: </w:t>
        </w:r>
        <w:r w:rsidR="000F2F0F">
          <w:rPr>
            <w:rFonts w:eastAsiaTheme="minorEastAsia" w:cstheme="minorBidi"/>
            <w:noProof/>
            <w:szCs w:val="22"/>
            <w:lang w:eastAsia="en-NZ"/>
          </w:rPr>
          <w:tab/>
        </w:r>
        <w:r w:rsidR="000F2F0F" w:rsidRPr="00B3572A">
          <w:rPr>
            <w:rStyle w:val="Hyperlink"/>
            <w:i/>
            <w:noProof/>
          </w:rPr>
          <w:t xml:space="preserve">Past year participation in gambling activities by NZHS survey wave, total population aged 15 years and over (adjusted prevalence) </w:t>
        </w:r>
        <w:r w:rsidR="000F2F0F" w:rsidRPr="00B3572A">
          <w:rPr>
            <w:rStyle w:val="Hyperlink"/>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_Toc425426985 \h </w:instrText>
        </w:r>
        <w:r w:rsidR="000F2F0F">
          <w:rPr>
            <w:noProof/>
            <w:webHidden/>
          </w:rPr>
        </w:r>
        <w:r w:rsidR="000F2F0F">
          <w:rPr>
            <w:noProof/>
            <w:webHidden/>
          </w:rPr>
          <w:fldChar w:fldCharType="separate"/>
        </w:r>
        <w:r w:rsidR="00AA25B9">
          <w:rPr>
            <w:noProof/>
            <w:webHidden/>
          </w:rPr>
          <w:t>49</w:t>
        </w:r>
        <w:r w:rsidR="000F2F0F">
          <w:rPr>
            <w:noProof/>
            <w:webHidden/>
          </w:rPr>
          <w:fldChar w:fldCharType="end"/>
        </w:r>
      </w:hyperlink>
    </w:p>
    <w:p w14:paraId="2154B6AF"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6" w:history="1">
        <w:r w:rsidR="000F2F0F" w:rsidRPr="00B3572A">
          <w:rPr>
            <w:rStyle w:val="Hyperlink"/>
            <w:rFonts w:cstheme="minorHAnsi"/>
            <w:i/>
            <w:noProof/>
          </w:rPr>
          <w:t xml:space="preserve">Figure 13: </w:t>
        </w:r>
        <w:r w:rsidR="000F2F0F">
          <w:rPr>
            <w:rFonts w:eastAsiaTheme="minorEastAsia" w:cstheme="minorBidi"/>
            <w:noProof/>
            <w:szCs w:val="22"/>
            <w:lang w:eastAsia="en-NZ"/>
          </w:rPr>
          <w:tab/>
        </w:r>
        <w:r w:rsidR="000F2F0F" w:rsidRPr="00B3572A">
          <w:rPr>
            <w:rStyle w:val="Hyperlink"/>
            <w:rFonts w:cstheme="minorHAnsi"/>
            <w:i/>
            <w:noProof/>
          </w:rPr>
          <w:t>Number of gambling activities participated in during the last 12 months, by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_Toc425426986 \h </w:instrText>
        </w:r>
        <w:r w:rsidR="000F2F0F">
          <w:rPr>
            <w:noProof/>
            <w:webHidden/>
          </w:rPr>
        </w:r>
        <w:r w:rsidR="000F2F0F">
          <w:rPr>
            <w:noProof/>
            <w:webHidden/>
          </w:rPr>
          <w:fldChar w:fldCharType="separate"/>
        </w:r>
        <w:r w:rsidR="00AA25B9">
          <w:rPr>
            <w:noProof/>
            <w:webHidden/>
          </w:rPr>
          <w:t>50</w:t>
        </w:r>
        <w:r w:rsidR="000F2F0F">
          <w:rPr>
            <w:noProof/>
            <w:webHidden/>
          </w:rPr>
          <w:fldChar w:fldCharType="end"/>
        </w:r>
      </w:hyperlink>
    </w:p>
    <w:p w14:paraId="49F10FEC"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7" w:history="1">
        <w:r w:rsidR="000F2F0F" w:rsidRPr="00B3572A">
          <w:rPr>
            <w:rStyle w:val="Hyperlink"/>
            <w:rFonts w:cstheme="minorHAnsi"/>
            <w:i/>
            <w:noProof/>
          </w:rPr>
          <w:t xml:space="preserve">Figure 14: </w:t>
        </w:r>
        <w:r w:rsidR="000F2F0F">
          <w:rPr>
            <w:rFonts w:eastAsiaTheme="minorEastAsia" w:cstheme="minorBidi"/>
            <w:noProof/>
            <w:szCs w:val="22"/>
            <w:lang w:eastAsia="en-NZ"/>
          </w:rPr>
          <w:tab/>
        </w:r>
        <w:r w:rsidR="000F2F0F" w:rsidRPr="00B3572A">
          <w:rPr>
            <w:rStyle w:val="Hyperlink"/>
            <w:rFonts w:cstheme="minorHAnsi"/>
            <w:i/>
            <w:noProof/>
          </w:rPr>
          <w:t xml:space="preserve">Number of gambling activities participated in during the last 12 months by NZHS survey wave, total population aged 15 years and over (adjusted prevalence)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_Toc425426987 \h </w:instrText>
        </w:r>
        <w:r w:rsidR="000F2F0F">
          <w:rPr>
            <w:noProof/>
            <w:webHidden/>
          </w:rPr>
        </w:r>
        <w:r w:rsidR="000F2F0F">
          <w:rPr>
            <w:noProof/>
            <w:webHidden/>
          </w:rPr>
          <w:fldChar w:fldCharType="separate"/>
        </w:r>
        <w:r w:rsidR="00AA25B9">
          <w:rPr>
            <w:noProof/>
            <w:webHidden/>
          </w:rPr>
          <w:t>55</w:t>
        </w:r>
        <w:r w:rsidR="000F2F0F">
          <w:rPr>
            <w:noProof/>
            <w:webHidden/>
          </w:rPr>
          <w:fldChar w:fldCharType="end"/>
        </w:r>
      </w:hyperlink>
    </w:p>
    <w:p w14:paraId="3FFC9AFD"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8" w:history="1">
        <w:r w:rsidR="000F2F0F" w:rsidRPr="00B3572A">
          <w:rPr>
            <w:rStyle w:val="Hyperlink"/>
            <w:rFonts w:cstheme="minorHAnsi"/>
            <w:i/>
            <w:noProof/>
          </w:rPr>
          <w:t xml:space="preserve">Figure 15: </w:t>
        </w:r>
        <w:r w:rsidR="000F2F0F">
          <w:rPr>
            <w:rFonts w:eastAsiaTheme="minorEastAsia" w:cstheme="minorBidi"/>
            <w:noProof/>
            <w:szCs w:val="22"/>
            <w:lang w:eastAsia="en-NZ"/>
          </w:rPr>
          <w:tab/>
        </w:r>
        <w:r w:rsidR="000F2F0F" w:rsidRPr="00B3572A">
          <w:rPr>
            <w:rStyle w:val="Hyperlink"/>
            <w:rFonts w:cstheme="minorHAnsi"/>
            <w:i/>
            <w:noProof/>
          </w:rPr>
          <w:t xml:space="preserve">Prevalence of problem gambling by NZHS survey wave, total population aged 15 years and over (adjusted prevalence)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_Toc425426988 \h </w:instrText>
        </w:r>
        <w:r w:rsidR="000F2F0F">
          <w:rPr>
            <w:noProof/>
            <w:webHidden/>
          </w:rPr>
        </w:r>
        <w:r w:rsidR="000F2F0F">
          <w:rPr>
            <w:noProof/>
            <w:webHidden/>
          </w:rPr>
          <w:fldChar w:fldCharType="separate"/>
        </w:r>
        <w:r w:rsidR="00AA25B9">
          <w:rPr>
            <w:noProof/>
            <w:webHidden/>
          </w:rPr>
          <w:t>65</w:t>
        </w:r>
        <w:r w:rsidR="000F2F0F">
          <w:rPr>
            <w:noProof/>
            <w:webHidden/>
          </w:rPr>
          <w:fldChar w:fldCharType="end"/>
        </w:r>
      </w:hyperlink>
    </w:p>
    <w:p w14:paraId="58D2B5F9"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89" w:history="1">
        <w:r w:rsidR="000F2F0F" w:rsidRPr="00B3572A">
          <w:rPr>
            <w:rStyle w:val="Hyperlink"/>
            <w:rFonts w:cstheme="minorHAnsi"/>
            <w:i/>
            <w:noProof/>
          </w:rPr>
          <w:t xml:space="preserve">Figure 16: </w:t>
        </w:r>
        <w:r w:rsidR="000F2F0F">
          <w:rPr>
            <w:rFonts w:eastAsiaTheme="minorEastAsia" w:cstheme="minorBidi"/>
            <w:noProof/>
            <w:szCs w:val="22"/>
            <w:lang w:eastAsia="en-NZ"/>
          </w:rPr>
          <w:tab/>
        </w:r>
        <w:r w:rsidR="000F2F0F" w:rsidRPr="00B3572A">
          <w:rPr>
            <w:rStyle w:val="Hyperlink"/>
            <w:rFonts w:cstheme="minorHAnsi"/>
            <w:i/>
            <w:noProof/>
          </w:rPr>
          <w:t>Problem gambling level, by gender,</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_Toc425426989 \h </w:instrText>
        </w:r>
        <w:r w:rsidR="000F2F0F">
          <w:rPr>
            <w:noProof/>
            <w:webHidden/>
          </w:rPr>
        </w:r>
        <w:r w:rsidR="000F2F0F">
          <w:rPr>
            <w:noProof/>
            <w:webHidden/>
          </w:rPr>
          <w:fldChar w:fldCharType="separate"/>
        </w:r>
        <w:r w:rsidR="00AA25B9">
          <w:rPr>
            <w:noProof/>
            <w:webHidden/>
          </w:rPr>
          <w:t>66</w:t>
        </w:r>
        <w:r w:rsidR="000F2F0F">
          <w:rPr>
            <w:noProof/>
            <w:webHidden/>
          </w:rPr>
          <w:fldChar w:fldCharType="end"/>
        </w:r>
      </w:hyperlink>
    </w:p>
    <w:p w14:paraId="269BF809"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0" w:history="1">
        <w:r w:rsidR="000F2F0F" w:rsidRPr="00B3572A">
          <w:rPr>
            <w:rStyle w:val="Hyperlink"/>
            <w:rFonts w:cstheme="minorHAnsi"/>
            <w:i/>
            <w:noProof/>
          </w:rPr>
          <w:t xml:space="preserve">Figure 17: </w:t>
        </w:r>
        <w:r w:rsidR="000F2F0F">
          <w:rPr>
            <w:rFonts w:eastAsiaTheme="minorEastAsia" w:cstheme="minorBidi"/>
            <w:noProof/>
            <w:szCs w:val="22"/>
            <w:lang w:eastAsia="en-NZ"/>
          </w:rPr>
          <w:tab/>
        </w:r>
        <w:r w:rsidR="000F2F0F" w:rsidRPr="00B3572A">
          <w:rPr>
            <w:rStyle w:val="Hyperlink"/>
            <w:rFonts w:cstheme="minorHAnsi"/>
            <w:i/>
            <w:noProof/>
          </w:rPr>
          <w:t>Moderate-risk/problem gambling, by age-group,</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_Toc425426990 \h </w:instrText>
        </w:r>
        <w:r w:rsidR="000F2F0F">
          <w:rPr>
            <w:noProof/>
            <w:webHidden/>
          </w:rPr>
        </w:r>
        <w:r w:rsidR="000F2F0F">
          <w:rPr>
            <w:noProof/>
            <w:webHidden/>
          </w:rPr>
          <w:fldChar w:fldCharType="separate"/>
        </w:r>
        <w:r w:rsidR="00AA25B9">
          <w:rPr>
            <w:noProof/>
            <w:webHidden/>
          </w:rPr>
          <w:t>67</w:t>
        </w:r>
        <w:r w:rsidR="000F2F0F">
          <w:rPr>
            <w:noProof/>
            <w:webHidden/>
          </w:rPr>
          <w:fldChar w:fldCharType="end"/>
        </w:r>
      </w:hyperlink>
    </w:p>
    <w:p w14:paraId="48873E4C"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1" w:history="1">
        <w:r w:rsidR="000F2F0F" w:rsidRPr="00B3572A">
          <w:rPr>
            <w:rStyle w:val="Hyperlink"/>
            <w:rFonts w:cstheme="minorHAnsi"/>
            <w:i/>
            <w:noProof/>
          </w:rPr>
          <w:t xml:space="preserve">Figure 18: </w:t>
        </w:r>
        <w:r w:rsidR="000F2F0F">
          <w:rPr>
            <w:rFonts w:eastAsiaTheme="minorEastAsia" w:cstheme="minorBidi"/>
            <w:noProof/>
            <w:szCs w:val="22"/>
            <w:lang w:eastAsia="en-NZ"/>
          </w:rPr>
          <w:tab/>
        </w:r>
        <w:r w:rsidR="000F2F0F" w:rsidRPr="00B3572A">
          <w:rPr>
            <w:rStyle w:val="Hyperlink"/>
            <w:rFonts w:cstheme="minorHAnsi"/>
            <w:i/>
            <w:noProof/>
          </w:rPr>
          <w:t>Moderate-risk/problem gambling, by ethnicity,</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_Toc425426991 \h </w:instrText>
        </w:r>
        <w:r w:rsidR="000F2F0F">
          <w:rPr>
            <w:noProof/>
            <w:webHidden/>
          </w:rPr>
        </w:r>
        <w:r w:rsidR="000F2F0F">
          <w:rPr>
            <w:noProof/>
            <w:webHidden/>
          </w:rPr>
          <w:fldChar w:fldCharType="separate"/>
        </w:r>
        <w:r w:rsidR="00AA25B9">
          <w:rPr>
            <w:noProof/>
            <w:webHidden/>
          </w:rPr>
          <w:t>68</w:t>
        </w:r>
        <w:r w:rsidR="000F2F0F">
          <w:rPr>
            <w:noProof/>
            <w:webHidden/>
          </w:rPr>
          <w:fldChar w:fldCharType="end"/>
        </w:r>
      </w:hyperlink>
    </w:p>
    <w:p w14:paraId="076DB8F6" w14:textId="506F058A"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6992" w:history="1">
        <w:r w:rsidR="000F2F0F" w:rsidRPr="00B3572A">
          <w:rPr>
            <w:rStyle w:val="Hyperlink"/>
            <w:rFonts w:cstheme="minorHAnsi"/>
            <w:i/>
            <w:noProof/>
          </w:rPr>
          <w:t xml:space="preserve">Figure 19:  </w:t>
        </w:r>
        <w:r w:rsidR="000F2F0F">
          <w:rPr>
            <w:rStyle w:val="Hyperlink"/>
            <w:rFonts w:cstheme="minorHAnsi"/>
            <w:i/>
            <w:noProof/>
          </w:rPr>
          <w:tab/>
        </w:r>
        <w:r w:rsidR="000F2F0F" w:rsidRPr="00B3572A">
          <w:rPr>
            <w:rStyle w:val="Hyperlink"/>
            <w:rFonts w:cstheme="minorHAnsi"/>
            <w:i/>
            <w:noProof/>
          </w:rPr>
          <w:t>Gambling status, changes over time, comparison of 2006/07 NZHS and 2011/12 NZHS, by ethnicity,</w:t>
        </w:r>
        <w:r w:rsidR="000F2F0F" w:rsidRPr="00B3572A">
          <w:rPr>
            <w:rStyle w:val="Hyperlink"/>
            <w:rFonts w:cstheme="minorHAnsi"/>
            <w:i/>
            <w:noProof/>
            <w:lang w:val="en-US"/>
          </w:rPr>
          <w:t xml:space="preserve"> </w:t>
        </w:r>
        <w:r w:rsidR="000F2F0F" w:rsidRPr="00B3572A">
          <w:rPr>
            <w:rStyle w:val="Hyperlink"/>
            <w:rFonts w:cstheme="minorHAnsi"/>
            <w:i/>
            <w:noProof/>
          </w:rPr>
          <w:t>total population aged 15 years and over (adjusted prevalence; 2006/07 NZHS N=12,488, 2011/12 NZHS N=12,596)</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_Toc425426992 \h </w:instrText>
        </w:r>
        <w:r w:rsidR="000F2F0F">
          <w:rPr>
            <w:noProof/>
            <w:webHidden/>
          </w:rPr>
        </w:r>
        <w:r w:rsidR="000F2F0F">
          <w:rPr>
            <w:noProof/>
            <w:webHidden/>
          </w:rPr>
          <w:fldChar w:fldCharType="separate"/>
        </w:r>
        <w:r w:rsidR="00AA25B9">
          <w:rPr>
            <w:noProof/>
            <w:webHidden/>
          </w:rPr>
          <w:t>70</w:t>
        </w:r>
        <w:r w:rsidR="000F2F0F">
          <w:rPr>
            <w:noProof/>
            <w:webHidden/>
          </w:rPr>
          <w:fldChar w:fldCharType="end"/>
        </w:r>
      </w:hyperlink>
    </w:p>
    <w:p w14:paraId="175D768F"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3" w:history="1">
        <w:r w:rsidR="000F2F0F" w:rsidRPr="00B3572A">
          <w:rPr>
            <w:rStyle w:val="Hyperlink"/>
            <w:rFonts w:cstheme="minorHAnsi"/>
            <w:i/>
            <w:noProof/>
          </w:rPr>
          <w:t xml:space="preserve">Figure 20: </w:t>
        </w:r>
        <w:r w:rsidR="000F2F0F">
          <w:rPr>
            <w:rFonts w:eastAsiaTheme="minorEastAsia" w:cstheme="minorBidi"/>
            <w:noProof/>
            <w:szCs w:val="22"/>
            <w:lang w:eastAsia="en-NZ"/>
          </w:rPr>
          <w:tab/>
        </w:r>
        <w:r w:rsidR="000F2F0F" w:rsidRPr="00B3572A">
          <w:rPr>
            <w:rStyle w:val="Hyperlink"/>
            <w:rFonts w:cstheme="minorHAnsi"/>
            <w:i/>
            <w:noProof/>
          </w:rPr>
          <w:t>Moderate-risk/problem gambling, by neighbourhood deprivation (NZDep2006),</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_Toc425426993 \h </w:instrText>
        </w:r>
        <w:r w:rsidR="000F2F0F">
          <w:rPr>
            <w:noProof/>
            <w:webHidden/>
          </w:rPr>
        </w:r>
        <w:r w:rsidR="000F2F0F">
          <w:rPr>
            <w:noProof/>
            <w:webHidden/>
          </w:rPr>
          <w:fldChar w:fldCharType="separate"/>
        </w:r>
        <w:r w:rsidR="00AA25B9">
          <w:rPr>
            <w:noProof/>
            <w:webHidden/>
          </w:rPr>
          <w:t>71</w:t>
        </w:r>
        <w:r w:rsidR="000F2F0F">
          <w:rPr>
            <w:noProof/>
            <w:webHidden/>
          </w:rPr>
          <w:fldChar w:fldCharType="end"/>
        </w:r>
      </w:hyperlink>
    </w:p>
    <w:p w14:paraId="779A0079"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4" w:history="1">
        <w:r w:rsidR="000F2F0F" w:rsidRPr="00B3572A">
          <w:rPr>
            <w:rStyle w:val="Hyperlink"/>
            <w:rFonts w:cstheme="minorHAnsi"/>
            <w:i/>
            <w:noProof/>
          </w:rPr>
          <w:t xml:space="preserve">Figure 21: </w:t>
        </w:r>
        <w:r w:rsidR="000F2F0F">
          <w:rPr>
            <w:rFonts w:eastAsiaTheme="minorEastAsia" w:cstheme="minorBidi"/>
            <w:noProof/>
            <w:szCs w:val="22"/>
            <w:lang w:eastAsia="en-NZ"/>
          </w:rPr>
          <w:tab/>
        </w:r>
        <w:r w:rsidR="000F2F0F" w:rsidRPr="00B3572A">
          <w:rPr>
            <w:rStyle w:val="Hyperlink"/>
            <w:rFonts w:cstheme="minorHAnsi"/>
            <w:i/>
            <w:noProof/>
          </w:rPr>
          <w:t>Gambling on any EGM (casino or non-casino), by gambling status,</w:t>
        </w:r>
        <w:r w:rsidR="000F2F0F" w:rsidRPr="00B3572A">
          <w:rPr>
            <w:rStyle w:val="Hyperlink"/>
            <w:rFonts w:cstheme="minorHAnsi"/>
            <w:i/>
            <w:noProof/>
            <w:lang w:val="en-US"/>
          </w:rPr>
          <w:t xml:space="preserve"> </w:t>
        </w:r>
        <w:r w:rsidR="000F2F0F" w:rsidRPr="00B3572A">
          <w:rPr>
            <w:rStyle w:val="Hyperlink"/>
            <w:rFonts w:cstheme="minorHAnsi"/>
            <w:i/>
            <w:noProof/>
          </w:rPr>
          <w:t xml:space="preserve">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_Toc425426994 \h </w:instrText>
        </w:r>
        <w:r w:rsidR="000F2F0F">
          <w:rPr>
            <w:noProof/>
            <w:webHidden/>
          </w:rPr>
        </w:r>
        <w:r w:rsidR="000F2F0F">
          <w:rPr>
            <w:noProof/>
            <w:webHidden/>
          </w:rPr>
          <w:fldChar w:fldCharType="separate"/>
        </w:r>
        <w:r w:rsidR="00AA25B9">
          <w:rPr>
            <w:noProof/>
            <w:webHidden/>
          </w:rPr>
          <w:t>75</w:t>
        </w:r>
        <w:r w:rsidR="000F2F0F">
          <w:rPr>
            <w:noProof/>
            <w:webHidden/>
          </w:rPr>
          <w:fldChar w:fldCharType="end"/>
        </w:r>
      </w:hyperlink>
    </w:p>
    <w:p w14:paraId="6A110875"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5" w:history="1">
        <w:r w:rsidR="000F2F0F" w:rsidRPr="00B3572A">
          <w:rPr>
            <w:rStyle w:val="Hyperlink"/>
            <w:rFonts w:cstheme="minorHAnsi"/>
            <w:i/>
            <w:noProof/>
          </w:rPr>
          <w:t xml:space="preserve">Figure 22: </w:t>
        </w:r>
        <w:r w:rsidR="000F2F0F">
          <w:rPr>
            <w:rFonts w:eastAsiaTheme="minorEastAsia" w:cstheme="minorBidi"/>
            <w:noProof/>
            <w:szCs w:val="22"/>
            <w:lang w:eastAsia="en-NZ"/>
          </w:rPr>
          <w:tab/>
        </w:r>
        <w:r w:rsidR="000F2F0F" w:rsidRPr="00B3572A">
          <w:rPr>
            <w:rStyle w:val="Hyperlink"/>
            <w:rFonts w:cstheme="minorHAnsi"/>
            <w:i/>
            <w:noProof/>
          </w:rPr>
          <w:t>Number of gambling activities participated in during the last 12 months, by gambling status,</w:t>
        </w:r>
        <w:r w:rsidR="000F2F0F" w:rsidRPr="00B3572A">
          <w:rPr>
            <w:rStyle w:val="Hyperlink"/>
            <w:rFonts w:cstheme="minorHAnsi"/>
            <w:i/>
            <w:noProof/>
            <w:lang w:val="en-US"/>
          </w:rPr>
          <w:t xml:space="preserve"> </w:t>
        </w:r>
        <w:r w:rsidR="000F2F0F" w:rsidRPr="00B3572A">
          <w:rPr>
            <w:rStyle w:val="Hyperlink"/>
            <w:rFonts w:cstheme="minorHAnsi"/>
            <w:i/>
            <w:noProof/>
          </w:rPr>
          <w:t xml:space="preserve">past-year gamblers (unadjusted prevalence; N=6,549)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_Toc425426995 \h </w:instrText>
        </w:r>
        <w:r w:rsidR="000F2F0F">
          <w:rPr>
            <w:noProof/>
            <w:webHidden/>
          </w:rPr>
        </w:r>
        <w:r w:rsidR="000F2F0F">
          <w:rPr>
            <w:noProof/>
            <w:webHidden/>
          </w:rPr>
          <w:fldChar w:fldCharType="separate"/>
        </w:r>
        <w:r w:rsidR="00AA25B9">
          <w:rPr>
            <w:noProof/>
            <w:webHidden/>
          </w:rPr>
          <w:t>76</w:t>
        </w:r>
        <w:r w:rsidR="000F2F0F">
          <w:rPr>
            <w:noProof/>
            <w:webHidden/>
          </w:rPr>
          <w:fldChar w:fldCharType="end"/>
        </w:r>
      </w:hyperlink>
    </w:p>
    <w:p w14:paraId="2A7E5CED"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6" w:history="1">
        <w:r w:rsidR="000F2F0F" w:rsidRPr="00B3572A">
          <w:rPr>
            <w:rStyle w:val="Hyperlink"/>
            <w:rFonts w:cstheme="minorHAnsi"/>
            <w:i/>
            <w:noProof/>
          </w:rPr>
          <w:t xml:space="preserve">Figure 23: </w:t>
        </w:r>
        <w:r w:rsidR="000F2F0F">
          <w:rPr>
            <w:rFonts w:eastAsiaTheme="minorEastAsia" w:cstheme="minorBidi"/>
            <w:noProof/>
            <w:szCs w:val="22"/>
            <w:lang w:eastAsia="en-NZ"/>
          </w:rPr>
          <w:tab/>
        </w:r>
        <w:r w:rsidR="000F2F0F" w:rsidRPr="00B3572A">
          <w:rPr>
            <w:rStyle w:val="Hyperlink"/>
            <w:rFonts w:cstheme="minorHAnsi"/>
            <w:i/>
            <w:noProof/>
          </w:rPr>
          <w:t xml:space="preserve">Prevalence of hazardous drinking by gambling status and gender, total population aged 15 years and over (unadjusted prevalence; N=12,392)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_Toc425426996 \h </w:instrText>
        </w:r>
        <w:r w:rsidR="000F2F0F">
          <w:rPr>
            <w:noProof/>
            <w:webHidden/>
          </w:rPr>
        </w:r>
        <w:r w:rsidR="000F2F0F">
          <w:rPr>
            <w:noProof/>
            <w:webHidden/>
          </w:rPr>
          <w:fldChar w:fldCharType="separate"/>
        </w:r>
        <w:r w:rsidR="00AA25B9">
          <w:rPr>
            <w:noProof/>
            <w:webHidden/>
          </w:rPr>
          <w:t>82</w:t>
        </w:r>
        <w:r w:rsidR="000F2F0F">
          <w:rPr>
            <w:noProof/>
            <w:webHidden/>
          </w:rPr>
          <w:fldChar w:fldCharType="end"/>
        </w:r>
      </w:hyperlink>
    </w:p>
    <w:p w14:paraId="4CBFC391"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7" w:history="1">
        <w:r w:rsidR="000F2F0F" w:rsidRPr="00B3572A">
          <w:rPr>
            <w:rStyle w:val="Hyperlink"/>
            <w:rFonts w:cstheme="minorHAnsi"/>
            <w:i/>
            <w:noProof/>
          </w:rPr>
          <w:t xml:space="preserve">Figure 24: </w:t>
        </w:r>
        <w:r w:rsidR="000F2F0F">
          <w:rPr>
            <w:rFonts w:eastAsiaTheme="minorEastAsia" w:cstheme="minorBidi"/>
            <w:noProof/>
            <w:szCs w:val="22"/>
            <w:lang w:eastAsia="en-NZ"/>
          </w:rPr>
          <w:tab/>
        </w:r>
        <w:r w:rsidR="000F2F0F" w:rsidRPr="00B3572A">
          <w:rPr>
            <w:rStyle w:val="Hyperlink"/>
            <w:rFonts w:cstheme="minorHAnsi"/>
            <w:i/>
            <w:noProof/>
          </w:rPr>
          <w:t xml:space="preserve">Prevalence of current smoking by gambling status and gender, total population aged 15 years and over (unadjusted prevalence; N=12,559)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_Toc425426997 \h </w:instrText>
        </w:r>
        <w:r w:rsidR="000F2F0F">
          <w:rPr>
            <w:noProof/>
            <w:webHidden/>
          </w:rPr>
        </w:r>
        <w:r w:rsidR="000F2F0F">
          <w:rPr>
            <w:noProof/>
            <w:webHidden/>
          </w:rPr>
          <w:fldChar w:fldCharType="separate"/>
        </w:r>
        <w:r w:rsidR="00AA25B9">
          <w:rPr>
            <w:noProof/>
            <w:webHidden/>
          </w:rPr>
          <w:t>84</w:t>
        </w:r>
        <w:r w:rsidR="000F2F0F">
          <w:rPr>
            <w:noProof/>
            <w:webHidden/>
          </w:rPr>
          <w:fldChar w:fldCharType="end"/>
        </w:r>
      </w:hyperlink>
    </w:p>
    <w:p w14:paraId="73BE78D9"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8" w:history="1">
        <w:r w:rsidR="000F2F0F" w:rsidRPr="00B3572A">
          <w:rPr>
            <w:rStyle w:val="Hyperlink"/>
            <w:rFonts w:cstheme="minorHAnsi"/>
            <w:i/>
            <w:noProof/>
          </w:rPr>
          <w:t xml:space="preserve">Figure 25: </w:t>
        </w:r>
        <w:r w:rsidR="000F2F0F">
          <w:rPr>
            <w:rFonts w:eastAsiaTheme="minorEastAsia" w:cstheme="minorBidi"/>
            <w:noProof/>
            <w:szCs w:val="22"/>
            <w:lang w:eastAsia="en-NZ"/>
          </w:rPr>
          <w:tab/>
        </w:r>
        <w:r w:rsidR="000F2F0F" w:rsidRPr="00B3572A">
          <w:rPr>
            <w:rStyle w:val="Hyperlink"/>
            <w:rFonts w:cstheme="minorHAnsi"/>
            <w:i/>
            <w:noProof/>
          </w:rPr>
          <w:t xml:space="preserve">Prevalence of drug use by gambling status, 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_Toc425426998 \h </w:instrText>
        </w:r>
        <w:r w:rsidR="000F2F0F">
          <w:rPr>
            <w:noProof/>
            <w:webHidden/>
          </w:rPr>
        </w:r>
        <w:r w:rsidR="000F2F0F">
          <w:rPr>
            <w:noProof/>
            <w:webHidden/>
          </w:rPr>
          <w:fldChar w:fldCharType="separate"/>
        </w:r>
        <w:r w:rsidR="00AA25B9">
          <w:rPr>
            <w:noProof/>
            <w:webHidden/>
          </w:rPr>
          <w:t>85</w:t>
        </w:r>
        <w:r w:rsidR="000F2F0F">
          <w:rPr>
            <w:noProof/>
            <w:webHidden/>
          </w:rPr>
          <w:fldChar w:fldCharType="end"/>
        </w:r>
      </w:hyperlink>
    </w:p>
    <w:p w14:paraId="6D2F219A"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6999" w:history="1">
        <w:r w:rsidR="000F2F0F" w:rsidRPr="00B3572A">
          <w:rPr>
            <w:rStyle w:val="Hyperlink"/>
            <w:rFonts w:cstheme="minorHAnsi"/>
            <w:i/>
            <w:noProof/>
          </w:rPr>
          <w:t xml:space="preserve">Figure 26: </w:t>
        </w:r>
        <w:r w:rsidR="000F2F0F">
          <w:rPr>
            <w:rFonts w:eastAsiaTheme="minorEastAsia" w:cstheme="minorBidi"/>
            <w:noProof/>
            <w:szCs w:val="22"/>
            <w:lang w:eastAsia="en-NZ"/>
          </w:rPr>
          <w:tab/>
        </w:r>
        <w:r w:rsidR="000F2F0F" w:rsidRPr="00B3572A">
          <w:rPr>
            <w:rStyle w:val="Hyperlink"/>
            <w:rFonts w:cstheme="minorHAnsi"/>
            <w:i/>
            <w:noProof/>
          </w:rPr>
          <w:t xml:space="preserve">Mean SF-12 scores by gambling status, total population aged 15 years and over (unadjusted prevalence; N=12,596)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_Toc425426999 \h </w:instrText>
        </w:r>
        <w:r w:rsidR="000F2F0F">
          <w:rPr>
            <w:noProof/>
            <w:webHidden/>
          </w:rPr>
        </w:r>
        <w:r w:rsidR="000F2F0F">
          <w:rPr>
            <w:noProof/>
            <w:webHidden/>
          </w:rPr>
          <w:fldChar w:fldCharType="separate"/>
        </w:r>
        <w:r w:rsidR="00AA25B9">
          <w:rPr>
            <w:noProof/>
            <w:webHidden/>
          </w:rPr>
          <w:t>88</w:t>
        </w:r>
        <w:r w:rsidR="000F2F0F">
          <w:rPr>
            <w:noProof/>
            <w:webHidden/>
          </w:rPr>
          <w:fldChar w:fldCharType="end"/>
        </w:r>
      </w:hyperlink>
    </w:p>
    <w:p w14:paraId="44290C0D"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7000" w:history="1">
        <w:r w:rsidR="000F2F0F" w:rsidRPr="00B3572A">
          <w:rPr>
            <w:rStyle w:val="Hyperlink"/>
            <w:rFonts w:cstheme="minorHAnsi"/>
            <w:i/>
            <w:noProof/>
          </w:rPr>
          <w:t xml:space="preserve">Figure 27: </w:t>
        </w:r>
        <w:r w:rsidR="000F2F0F">
          <w:rPr>
            <w:rFonts w:eastAsiaTheme="minorEastAsia" w:cstheme="minorBidi"/>
            <w:noProof/>
            <w:szCs w:val="22"/>
            <w:lang w:eastAsia="en-NZ"/>
          </w:rPr>
          <w:tab/>
        </w:r>
        <w:r w:rsidR="000F2F0F" w:rsidRPr="00B3572A">
          <w:rPr>
            <w:rStyle w:val="Hyperlink"/>
            <w:rFonts w:cstheme="minorHAnsi"/>
            <w:i/>
            <w:noProof/>
          </w:rPr>
          <w:t xml:space="preserve">Fair or poor general health by gambling status, total population aged 15 years and over (unadjusted prevalence; N=12,576)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_Toc425427000 \h </w:instrText>
        </w:r>
        <w:r w:rsidR="000F2F0F">
          <w:rPr>
            <w:noProof/>
            <w:webHidden/>
          </w:rPr>
        </w:r>
        <w:r w:rsidR="000F2F0F">
          <w:rPr>
            <w:noProof/>
            <w:webHidden/>
          </w:rPr>
          <w:fldChar w:fldCharType="separate"/>
        </w:r>
        <w:r w:rsidR="00AA25B9">
          <w:rPr>
            <w:noProof/>
            <w:webHidden/>
          </w:rPr>
          <w:t>89</w:t>
        </w:r>
        <w:r w:rsidR="000F2F0F">
          <w:rPr>
            <w:noProof/>
            <w:webHidden/>
          </w:rPr>
          <w:fldChar w:fldCharType="end"/>
        </w:r>
      </w:hyperlink>
    </w:p>
    <w:p w14:paraId="75C03958"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7001" w:history="1">
        <w:r w:rsidR="000F2F0F" w:rsidRPr="00B3572A">
          <w:rPr>
            <w:rStyle w:val="Hyperlink"/>
            <w:rFonts w:cstheme="minorHAnsi"/>
            <w:i/>
            <w:noProof/>
          </w:rPr>
          <w:t xml:space="preserve">Figure 28: </w:t>
        </w:r>
        <w:r w:rsidR="000F2F0F">
          <w:rPr>
            <w:rFonts w:eastAsiaTheme="minorEastAsia" w:cstheme="minorBidi"/>
            <w:noProof/>
            <w:szCs w:val="22"/>
            <w:lang w:eastAsia="en-NZ"/>
          </w:rPr>
          <w:tab/>
        </w:r>
        <w:r w:rsidR="000F2F0F" w:rsidRPr="00B3572A">
          <w:rPr>
            <w:rStyle w:val="Hyperlink"/>
            <w:rFonts w:cstheme="minorHAnsi"/>
            <w:i/>
            <w:noProof/>
          </w:rPr>
          <w:t>High or very high probability of anxiety or depression</w:t>
        </w:r>
        <w:r w:rsidR="000F2F0F" w:rsidRPr="00B3572A">
          <w:rPr>
            <w:rStyle w:val="Hyperlink"/>
            <w:rFonts w:cstheme="minorHAnsi"/>
            <w:i/>
            <w:noProof/>
            <w:vertAlign w:val="superscript"/>
          </w:rPr>
          <w:t xml:space="preserve"> </w:t>
        </w:r>
        <w:r w:rsidR="000F2F0F" w:rsidRPr="00B3572A">
          <w:rPr>
            <w:rStyle w:val="Hyperlink"/>
            <w:rFonts w:cstheme="minorHAnsi"/>
            <w:i/>
            <w:noProof/>
          </w:rPr>
          <w:t xml:space="preserve">by gambling status, total population aged 15 years and over (unadjusted prevalence; N=12,564)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_Toc425427001 \h </w:instrText>
        </w:r>
        <w:r w:rsidR="000F2F0F">
          <w:rPr>
            <w:noProof/>
            <w:webHidden/>
          </w:rPr>
        </w:r>
        <w:r w:rsidR="000F2F0F">
          <w:rPr>
            <w:noProof/>
            <w:webHidden/>
          </w:rPr>
          <w:fldChar w:fldCharType="separate"/>
        </w:r>
        <w:r w:rsidR="00AA25B9">
          <w:rPr>
            <w:noProof/>
            <w:webHidden/>
          </w:rPr>
          <w:t>90</w:t>
        </w:r>
        <w:r w:rsidR="000F2F0F">
          <w:rPr>
            <w:noProof/>
            <w:webHidden/>
          </w:rPr>
          <w:fldChar w:fldCharType="end"/>
        </w:r>
      </w:hyperlink>
    </w:p>
    <w:p w14:paraId="6A64D103"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7002" w:history="1">
        <w:r w:rsidR="000F2F0F" w:rsidRPr="00B3572A">
          <w:rPr>
            <w:rStyle w:val="Hyperlink"/>
            <w:rFonts w:cstheme="minorHAnsi"/>
            <w:i/>
            <w:noProof/>
          </w:rPr>
          <w:t xml:space="preserve">Figure 29: </w:t>
        </w:r>
        <w:r w:rsidR="000F2F0F">
          <w:rPr>
            <w:rFonts w:eastAsiaTheme="minorEastAsia" w:cstheme="minorBidi"/>
            <w:noProof/>
            <w:szCs w:val="22"/>
            <w:lang w:eastAsia="en-NZ"/>
          </w:rPr>
          <w:tab/>
        </w:r>
        <w:r w:rsidR="000F2F0F" w:rsidRPr="00B3572A">
          <w:rPr>
            <w:rStyle w:val="Hyperlink"/>
            <w:rFonts w:cstheme="minorHAnsi"/>
            <w:i/>
            <w:noProof/>
          </w:rPr>
          <w:t xml:space="preserve">Common mental disorder by gambling status, total population aged 15 years and over (unadjusted prevalence; N=12,557)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_Toc425427002 \h </w:instrText>
        </w:r>
        <w:r w:rsidR="000F2F0F">
          <w:rPr>
            <w:noProof/>
            <w:webHidden/>
          </w:rPr>
        </w:r>
        <w:r w:rsidR="000F2F0F">
          <w:rPr>
            <w:noProof/>
            <w:webHidden/>
          </w:rPr>
          <w:fldChar w:fldCharType="separate"/>
        </w:r>
        <w:r w:rsidR="00AA25B9">
          <w:rPr>
            <w:noProof/>
            <w:webHidden/>
          </w:rPr>
          <w:t>91</w:t>
        </w:r>
        <w:r w:rsidR="000F2F0F">
          <w:rPr>
            <w:noProof/>
            <w:webHidden/>
          </w:rPr>
          <w:fldChar w:fldCharType="end"/>
        </w:r>
      </w:hyperlink>
    </w:p>
    <w:p w14:paraId="38B35D98"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7003" w:history="1">
        <w:r w:rsidR="000F2F0F" w:rsidRPr="00B3572A">
          <w:rPr>
            <w:rStyle w:val="Hyperlink"/>
            <w:rFonts w:cstheme="minorHAnsi"/>
            <w:i/>
            <w:noProof/>
          </w:rPr>
          <w:t xml:space="preserve">Figure 30: </w:t>
        </w:r>
        <w:r w:rsidR="000F2F0F">
          <w:rPr>
            <w:rFonts w:eastAsiaTheme="minorEastAsia" w:cstheme="minorBidi"/>
            <w:noProof/>
            <w:szCs w:val="22"/>
            <w:lang w:eastAsia="en-NZ"/>
          </w:rPr>
          <w:tab/>
        </w:r>
        <w:r w:rsidR="000F2F0F" w:rsidRPr="00B3572A">
          <w:rPr>
            <w:rStyle w:val="Hyperlink"/>
            <w:rFonts w:cstheme="minorHAnsi"/>
            <w:i/>
            <w:noProof/>
          </w:rPr>
          <w:t xml:space="preserve">Past-year use of a GP by gambling status, total population aged 15 years and over (unadjusted prevalence; N=12,574)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_Toc425427003 \h </w:instrText>
        </w:r>
        <w:r w:rsidR="000F2F0F">
          <w:rPr>
            <w:noProof/>
            <w:webHidden/>
          </w:rPr>
        </w:r>
        <w:r w:rsidR="000F2F0F">
          <w:rPr>
            <w:noProof/>
            <w:webHidden/>
          </w:rPr>
          <w:fldChar w:fldCharType="separate"/>
        </w:r>
        <w:r w:rsidR="00AA25B9">
          <w:rPr>
            <w:noProof/>
            <w:webHidden/>
          </w:rPr>
          <w:t>92</w:t>
        </w:r>
        <w:r w:rsidR="000F2F0F">
          <w:rPr>
            <w:noProof/>
            <w:webHidden/>
          </w:rPr>
          <w:fldChar w:fldCharType="end"/>
        </w:r>
      </w:hyperlink>
    </w:p>
    <w:p w14:paraId="541A7393" w14:textId="77777777" w:rsidR="000F2F0F" w:rsidRDefault="00CA3637" w:rsidP="000F2F0F">
      <w:pPr>
        <w:pStyle w:val="TableofFigures"/>
        <w:tabs>
          <w:tab w:val="left" w:pos="1260"/>
          <w:tab w:val="left" w:pos="1320"/>
          <w:tab w:val="right" w:leader="dot" w:pos="9720"/>
        </w:tabs>
        <w:ind w:left="1260" w:right="871" w:hanging="1260"/>
        <w:rPr>
          <w:rFonts w:eastAsiaTheme="minorEastAsia" w:cstheme="minorBidi"/>
          <w:noProof/>
          <w:szCs w:val="22"/>
          <w:lang w:eastAsia="en-NZ"/>
        </w:rPr>
      </w:pPr>
      <w:hyperlink w:anchor="_Toc425427004" w:history="1">
        <w:r w:rsidR="000F2F0F" w:rsidRPr="00B3572A">
          <w:rPr>
            <w:rStyle w:val="Hyperlink"/>
            <w:rFonts w:cstheme="minorHAnsi"/>
            <w:i/>
            <w:noProof/>
          </w:rPr>
          <w:t xml:space="preserve">Figure 31: </w:t>
        </w:r>
        <w:r w:rsidR="000F2F0F">
          <w:rPr>
            <w:rFonts w:eastAsiaTheme="minorEastAsia" w:cstheme="minorBidi"/>
            <w:noProof/>
            <w:szCs w:val="22"/>
            <w:lang w:eastAsia="en-NZ"/>
          </w:rPr>
          <w:tab/>
        </w:r>
        <w:r w:rsidR="000F2F0F" w:rsidRPr="00B3572A">
          <w:rPr>
            <w:rStyle w:val="Hyperlink"/>
            <w:rFonts w:cstheme="minorHAnsi"/>
            <w:i/>
            <w:noProof/>
          </w:rPr>
          <w:t xml:space="preserve">Unmet health needs by gambling status, total population aged 15 years and over (unadjusted prevalence; N=12,575)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_Toc425427004 \h </w:instrText>
        </w:r>
        <w:r w:rsidR="000F2F0F">
          <w:rPr>
            <w:noProof/>
            <w:webHidden/>
          </w:rPr>
        </w:r>
        <w:r w:rsidR="000F2F0F">
          <w:rPr>
            <w:noProof/>
            <w:webHidden/>
          </w:rPr>
          <w:fldChar w:fldCharType="separate"/>
        </w:r>
        <w:r w:rsidR="00AA25B9">
          <w:rPr>
            <w:noProof/>
            <w:webHidden/>
          </w:rPr>
          <w:t>93</w:t>
        </w:r>
        <w:r w:rsidR="000F2F0F">
          <w:rPr>
            <w:noProof/>
            <w:webHidden/>
          </w:rPr>
          <w:fldChar w:fldCharType="end"/>
        </w:r>
      </w:hyperlink>
    </w:p>
    <w:p w14:paraId="15D0A2B3" w14:textId="4E344EC8"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7005" w:history="1">
        <w:r w:rsidR="000F2F0F" w:rsidRPr="00B3572A">
          <w:rPr>
            <w:rStyle w:val="Hyperlink"/>
            <w:rFonts w:cstheme="minorHAnsi"/>
            <w:i/>
            <w:noProof/>
          </w:rPr>
          <w:t xml:space="preserve">Figure 32: </w:t>
        </w:r>
        <w:r w:rsidR="000F2F0F">
          <w:rPr>
            <w:rStyle w:val="Hyperlink"/>
            <w:rFonts w:cstheme="minorHAnsi"/>
            <w:i/>
            <w:noProof/>
          </w:rPr>
          <w:tab/>
        </w:r>
        <w:r w:rsidR="000F2F0F" w:rsidRPr="00B3572A">
          <w:rPr>
            <w:rStyle w:val="Hyperlink"/>
            <w:rFonts w:cstheme="minorHAnsi"/>
            <w:i/>
            <w:noProof/>
          </w:rPr>
          <w:t xml:space="preserve">Unmet health needs due to cost, by gambling status, total population aged 15 years and over (unadjusted prevalence; N=12,587)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_Toc425427005 \h </w:instrText>
        </w:r>
        <w:r w:rsidR="000F2F0F">
          <w:rPr>
            <w:noProof/>
            <w:webHidden/>
          </w:rPr>
        </w:r>
        <w:r w:rsidR="000F2F0F">
          <w:rPr>
            <w:noProof/>
            <w:webHidden/>
          </w:rPr>
          <w:fldChar w:fldCharType="separate"/>
        </w:r>
        <w:r w:rsidR="00AA25B9">
          <w:rPr>
            <w:noProof/>
            <w:webHidden/>
          </w:rPr>
          <w:t>94</w:t>
        </w:r>
        <w:r w:rsidR="000F2F0F">
          <w:rPr>
            <w:noProof/>
            <w:webHidden/>
          </w:rPr>
          <w:fldChar w:fldCharType="end"/>
        </w:r>
      </w:hyperlink>
    </w:p>
    <w:p w14:paraId="7FFE6DC3" w14:textId="47BF2BB8"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7006" w:history="1">
        <w:r w:rsidR="000F2F0F" w:rsidRPr="00B3572A">
          <w:rPr>
            <w:rStyle w:val="Hyperlink"/>
            <w:rFonts w:cstheme="minorHAnsi"/>
            <w:i/>
            <w:noProof/>
          </w:rPr>
          <w:t xml:space="preserve">Figure 33: </w:t>
        </w:r>
        <w:r w:rsidR="000F2F0F">
          <w:rPr>
            <w:rStyle w:val="Hyperlink"/>
            <w:rFonts w:cstheme="minorHAnsi"/>
            <w:i/>
            <w:noProof/>
          </w:rPr>
          <w:tab/>
        </w:r>
        <w:r w:rsidR="000F2F0F" w:rsidRPr="00B3572A">
          <w:rPr>
            <w:rStyle w:val="Hyperlink"/>
            <w:rFonts w:cstheme="minorHAnsi"/>
            <w:i/>
            <w:noProof/>
          </w:rPr>
          <w:t xml:space="preserve">Seen a psychologist, counsellor or social worker in the past 12 months, by gambling status, total population aged 15 years and over (unadjusted prevalence; N=12,594)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_Toc425427006 \h </w:instrText>
        </w:r>
        <w:r w:rsidR="000F2F0F">
          <w:rPr>
            <w:noProof/>
            <w:webHidden/>
          </w:rPr>
        </w:r>
        <w:r w:rsidR="000F2F0F">
          <w:rPr>
            <w:noProof/>
            <w:webHidden/>
          </w:rPr>
          <w:fldChar w:fldCharType="separate"/>
        </w:r>
        <w:r w:rsidR="00AA25B9">
          <w:rPr>
            <w:noProof/>
            <w:webHidden/>
          </w:rPr>
          <w:t>95</w:t>
        </w:r>
        <w:r w:rsidR="000F2F0F">
          <w:rPr>
            <w:noProof/>
            <w:webHidden/>
          </w:rPr>
          <w:fldChar w:fldCharType="end"/>
        </w:r>
      </w:hyperlink>
    </w:p>
    <w:p w14:paraId="5EC5CFA5" w14:textId="0BFCFC40"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7007" w:history="1">
        <w:r w:rsidR="000F2F0F" w:rsidRPr="00B3572A">
          <w:rPr>
            <w:rStyle w:val="Hyperlink"/>
            <w:rFonts w:cstheme="minorHAnsi"/>
            <w:i/>
            <w:noProof/>
          </w:rPr>
          <w:t xml:space="preserve">Figure 34: </w:t>
        </w:r>
        <w:r w:rsidR="000F2F0F">
          <w:rPr>
            <w:rStyle w:val="Hyperlink"/>
            <w:rFonts w:cstheme="minorHAnsi"/>
            <w:i/>
            <w:noProof/>
          </w:rPr>
          <w:tab/>
        </w:r>
        <w:r w:rsidR="000F2F0F" w:rsidRPr="00B3572A">
          <w:rPr>
            <w:rStyle w:val="Hyperlink"/>
            <w:rFonts w:cstheme="minorHAnsi"/>
            <w:i/>
            <w:noProof/>
          </w:rPr>
          <w:t xml:space="preserve">Have been affected by someone else’s gambling in the past 12 months, by age-group, total population aged 15 years and over (unadjusted prevalence; N=12,576)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_Toc425427007 \h </w:instrText>
        </w:r>
        <w:r w:rsidR="000F2F0F">
          <w:rPr>
            <w:noProof/>
            <w:webHidden/>
          </w:rPr>
        </w:r>
        <w:r w:rsidR="000F2F0F">
          <w:rPr>
            <w:noProof/>
            <w:webHidden/>
          </w:rPr>
          <w:fldChar w:fldCharType="separate"/>
        </w:r>
        <w:r w:rsidR="00AA25B9">
          <w:rPr>
            <w:noProof/>
            <w:webHidden/>
          </w:rPr>
          <w:t>102</w:t>
        </w:r>
        <w:r w:rsidR="000F2F0F">
          <w:rPr>
            <w:noProof/>
            <w:webHidden/>
          </w:rPr>
          <w:fldChar w:fldCharType="end"/>
        </w:r>
      </w:hyperlink>
    </w:p>
    <w:p w14:paraId="65BBC5E1" w14:textId="0365E4E4"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7008" w:history="1">
        <w:r w:rsidR="000F2F0F" w:rsidRPr="00B3572A">
          <w:rPr>
            <w:rStyle w:val="Hyperlink"/>
            <w:rFonts w:cstheme="minorHAnsi"/>
            <w:i/>
            <w:noProof/>
          </w:rPr>
          <w:t xml:space="preserve">Figure 35: </w:t>
        </w:r>
        <w:r w:rsidR="000F2F0F">
          <w:rPr>
            <w:rStyle w:val="Hyperlink"/>
            <w:rFonts w:cstheme="minorHAnsi"/>
            <w:i/>
            <w:noProof/>
          </w:rPr>
          <w:tab/>
        </w:r>
        <w:r w:rsidR="000F2F0F" w:rsidRPr="00B3572A">
          <w:rPr>
            <w:rStyle w:val="Hyperlink"/>
            <w:rFonts w:cstheme="minorHAnsi"/>
            <w:i/>
            <w:noProof/>
          </w:rPr>
          <w:t xml:space="preserve">Have been affected by other’s gambling, by gambling status (PGSI categorisation), total population aged 15 years and over (unadjusted prevalence; N=12,576)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_Toc425427008 \h </w:instrText>
        </w:r>
        <w:r w:rsidR="000F2F0F">
          <w:rPr>
            <w:noProof/>
            <w:webHidden/>
          </w:rPr>
        </w:r>
        <w:r w:rsidR="000F2F0F">
          <w:rPr>
            <w:noProof/>
            <w:webHidden/>
          </w:rPr>
          <w:fldChar w:fldCharType="separate"/>
        </w:r>
        <w:r w:rsidR="00AA25B9">
          <w:rPr>
            <w:noProof/>
            <w:webHidden/>
          </w:rPr>
          <w:t>104</w:t>
        </w:r>
        <w:r w:rsidR="000F2F0F">
          <w:rPr>
            <w:noProof/>
            <w:webHidden/>
          </w:rPr>
          <w:fldChar w:fldCharType="end"/>
        </w:r>
      </w:hyperlink>
    </w:p>
    <w:p w14:paraId="6FA339E1" w14:textId="770AB6CC" w:rsidR="000F2F0F" w:rsidRDefault="00CA3637" w:rsidP="000F2F0F">
      <w:pPr>
        <w:pStyle w:val="TableofFigures"/>
        <w:tabs>
          <w:tab w:val="left" w:pos="1260"/>
          <w:tab w:val="right" w:leader="dot" w:pos="9720"/>
        </w:tabs>
        <w:ind w:left="1260" w:right="871" w:hanging="1260"/>
        <w:rPr>
          <w:rFonts w:eastAsiaTheme="minorEastAsia" w:cstheme="minorBidi"/>
          <w:noProof/>
          <w:szCs w:val="22"/>
          <w:lang w:eastAsia="en-NZ"/>
        </w:rPr>
      </w:pPr>
      <w:hyperlink w:anchor="_Toc425427009" w:history="1">
        <w:r w:rsidR="000F2F0F" w:rsidRPr="00B3572A">
          <w:rPr>
            <w:rStyle w:val="Hyperlink"/>
            <w:rFonts w:cstheme="minorHAnsi"/>
            <w:i/>
            <w:noProof/>
          </w:rPr>
          <w:t xml:space="preserve">Figure 36: </w:t>
        </w:r>
        <w:r w:rsidR="000F2F0F">
          <w:rPr>
            <w:rStyle w:val="Hyperlink"/>
            <w:rFonts w:cstheme="minorHAnsi"/>
            <w:i/>
            <w:noProof/>
          </w:rPr>
          <w:tab/>
        </w:r>
        <w:r w:rsidR="000F2F0F" w:rsidRPr="00B3572A">
          <w:rPr>
            <w:rStyle w:val="Hyperlink"/>
            <w:rFonts w:cstheme="minorHAnsi"/>
            <w:i/>
            <w:noProof/>
          </w:rPr>
          <w:t xml:space="preserve">Negative impacts from someone else’s gambling by activity that was involved, those who have been impacted (unadjusted prevalence; N=391) </w:t>
        </w:r>
        <w:r w:rsidR="000F2F0F" w:rsidRPr="00B3572A">
          <w:rPr>
            <w:rStyle w:val="Hyperlink"/>
            <w:rFonts w:cstheme="minorHAnsi"/>
            <w:i/>
            <w:noProof/>
            <w:vertAlign w:val="superscript"/>
          </w:rPr>
          <w:t>1</w:t>
        </w:r>
        <w:r w:rsidR="000F2F0F">
          <w:rPr>
            <w:noProof/>
            <w:webHidden/>
          </w:rPr>
          <w:tab/>
        </w:r>
        <w:r w:rsidR="000F2F0F">
          <w:rPr>
            <w:noProof/>
            <w:webHidden/>
          </w:rPr>
          <w:fldChar w:fldCharType="begin"/>
        </w:r>
        <w:r w:rsidR="000F2F0F">
          <w:rPr>
            <w:noProof/>
            <w:webHidden/>
          </w:rPr>
          <w:instrText xml:space="preserve"> PAGEREF _Toc425427009 \h </w:instrText>
        </w:r>
        <w:r w:rsidR="000F2F0F">
          <w:rPr>
            <w:noProof/>
            <w:webHidden/>
          </w:rPr>
        </w:r>
        <w:r w:rsidR="000F2F0F">
          <w:rPr>
            <w:noProof/>
            <w:webHidden/>
          </w:rPr>
          <w:fldChar w:fldCharType="separate"/>
        </w:r>
        <w:r w:rsidR="00AA25B9">
          <w:rPr>
            <w:noProof/>
            <w:webHidden/>
          </w:rPr>
          <w:t>105</w:t>
        </w:r>
        <w:r w:rsidR="000F2F0F">
          <w:rPr>
            <w:noProof/>
            <w:webHidden/>
          </w:rPr>
          <w:fldChar w:fldCharType="end"/>
        </w:r>
      </w:hyperlink>
    </w:p>
    <w:p w14:paraId="49F449C8" w14:textId="77777777" w:rsidR="008F0B35" w:rsidRPr="0088099F" w:rsidRDefault="008F0B35" w:rsidP="000F2F0F">
      <w:pPr>
        <w:pStyle w:val="TableofFigures"/>
        <w:tabs>
          <w:tab w:val="left" w:pos="1260"/>
          <w:tab w:val="right" w:leader="dot" w:pos="9720"/>
        </w:tabs>
        <w:ind w:left="1260" w:right="871" w:hanging="1260"/>
        <w:rPr>
          <w:rStyle w:val="Hyperlink"/>
          <w:i/>
          <w:noProof/>
        </w:rPr>
      </w:pPr>
      <w:r w:rsidRPr="0088099F">
        <w:rPr>
          <w:rStyle w:val="Hyperlink"/>
          <w:i/>
          <w:noProof/>
        </w:rPr>
        <w:fldChar w:fldCharType="end"/>
      </w:r>
    </w:p>
    <w:p w14:paraId="3BBF5F4A" w14:textId="77777777" w:rsidR="00971FD8" w:rsidRPr="00747E23" w:rsidRDefault="00971FD8" w:rsidP="00645B95">
      <w:pPr>
        <w:pStyle w:val="Heading1"/>
        <w:numPr>
          <w:ilvl w:val="0"/>
          <w:numId w:val="0"/>
        </w:numPr>
        <w:rPr>
          <w:rFonts w:asciiTheme="minorHAnsi" w:hAnsiTheme="minorHAnsi" w:cstheme="minorHAnsi"/>
        </w:rPr>
      </w:pPr>
      <w:bookmarkStart w:id="5" w:name="_Toc403833138"/>
      <w:r w:rsidRPr="00747E23">
        <w:rPr>
          <w:rFonts w:asciiTheme="minorHAnsi" w:hAnsiTheme="minorHAnsi" w:cstheme="minorHAnsi"/>
        </w:rPr>
        <w:lastRenderedPageBreak/>
        <w:t>EXECUTIVE SUMMARY</w:t>
      </w:r>
      <w:bookmarkEnd w:id="5"/>
    </w:p>
    <w:p w14:paraId="37B7675C" w14:textId="77777777" w:rsidR="0011649F" w:rsidRDefault="0011649F" w:rsidP="0011649F">
      <w:pPr>
        <w:rPr>
          <w:rFonts w:asciiTheme="minorHAnsi" w:hAnsiTheme="minorHAnsi"/>
        </w:rPr>
      </w:pPr>
      <w:r>
        <w:rPr>
          <w:rFonts w:asciiTheme="minorHAnsi" w:hAnsiTheme="minorHAnsi"/>
        </w:rPr>
        <w:t xml:space="preserve">This report presents results from an in-depth quantitative analysis of gambling and problem gambling data from the 2011/12 New Zealand Health Survey (NZHS).  The 2011/12 New Zealand Health Survey gathered data through face-to-face interviews with </w:t>
      </w:r>
      <w:r w:rsidR="00C12C40">
        <w:rPr>
          <w:rFonts w:asciiTheme="minorHAnsi" w:hAnsiTheme="minorHAnsi"/>
        </w:rPr>
        <w:t>more than 12,000</w:t>
      </w:r>
      <w:r>
        <w:rPr>
          <w:rFonts w:asciiTheme="minorHAnsi" w:hAnsiTheme="minorHAnsi"/>
        </w:rPr>
        <w:t xml:space="preserve"> randomly selected adults aged 15 years and over throughout New Zealand.  It </w:t>
      </w:r>
      <w:r w:rsidR="00623595">
        <w:rPr>
          <w:rFonts w:asciiTheme="minorHAnsi" w:hAnsiTheme="minorHAnsi"/>
        </w:rPr>
        <w:t>provides</w:t>
      </w:r>
      <w:r>
        <w:rPr>
          <w:rFonts w:asciiTheme="minorHAnsi" w:hAnsiTheme="minorHAnsi"/>
        </w:rPr>
        <w:t xml:space="preserve"> information about health behaviours, lifestyles, health status, and access to healthcare.  Questions on gambling and problem gambling have been included in the three </w:t>
      </w:r>
      <w:r w:rsidR="00B555B7">
        <w:rPr>
          <w:rFonts w:asciiTheme="minorHAnsi" w:hAnsiTheme="minorHAnsi"/>
        </w:rPr>
        <w:t xml:space="preserve">most recent </w:t>
      </w:r>
      <w:r>
        <w:rPr>
          <w:rFonts w:asciiTheme="minorHAnsi" w:hAnsiTheme="minorHAnsi"/>
        </w:rPr>
        <w:t>New Zealand Health Surveys - 2002/03, 2006/07 and 2011/12.</w:t>
      </w:r>
    </w:p>
    <w:p w14:paraId="12050739" w14:textId="77777777" w:rsidR="00B87E4B" w:rsidRPr="00F813F3" w:rsidRDefault="00B87E4B" w:rsidP="00B87E4B">
      <w:pPr>
        <w:rPr>
          <w:rFonts w:asciiTheme="minorHAnsi" w:hAnsiTheme="minorHAnsi"/>
        </w:rPr>
      </w:pPr>
      <w:r>
        <w:rPr>
          <w:rFonts w:asciiTheme="minorHAnsi" w:hAnsiTheme="minorHAnsi"/>
        </w:rPr>
        <w:t xml:space="preserve">The overall aim of this study was to </w:t>
      </w:r>
      <w:r w:rsidRPr="00F813F3">
        <w:rPr>
          <w:rFonts w:asciiTheme="minorHAnsi" w:hAnsiTheme="minorHAnsi"/>
        </w:rPr>
        <w:t>provide a comprehensive and detailed analysis of the full gambling and probl</w:t>
      </w:r>
      <w:r>
        <w:rPr>
          <w:rFonts w:asciiTheme="minorHAnsi" w:hAnsiTheme="minorHAnsi"/>
        </w:rPr>
        <w:t>em gambling data</w:t>
      </w:r>
      <w:r w:rsidR="00632626">
        <w:rPr>
          <w:rFonts w:asciiTheme="minorHAnsi" w:hAnsiTheme="minorHAnsi"/>
        </w:rPr>
        <w:t>set collected in the 2011/</w:t>
      </w:r>
      <w:r w:rsidRPr="00F813F3">
        <w:rPr>
          <w:rFonts w:asciiTheme="minorHAnsi" w:hAnsiTheme="minorHAnsi"/>
        </w:rPr>
        <w:t xml:space="preserve">12 </w:t>
      </w:r>
      <w:r>
        <w:rPr>
          <w:rFonts w:asciiTheme="minorHAnsi" w:hAnsiTheme="minorHAnsi"/>
        </w:rPr>
        <w:t>NZHS</w:t>
      </w:r>
      <w:r w:rsidRPr="00F813F3">
        <w:rPr>
          <w:rFonts w:asciiTheme="minorHAnsi" w:hAnsiTheme="minorHAnsi"/>
        </w:rPr>
        <w:t>.  Specifically, th</w:t>
      </w:r>
      <w:r>
        <w:rPr>
          <w:rFonts w:asciiTheme="minorHAnsi" w:hAnsiTheme="minorHAnsi"/>
        </w:rPr>
        <w:t>is report</w:t>
      </w:r>
      <w:r w:rsidRPr="00F813F3">
        <w:rPr>
          <w:rFonts w:asciiTheme="minorHAnsi" w:hAnsiTheme="minorHAnsi"/>
        </w:rPr>
        <w:t>:</w:t>
      </w:r>
    </w:p>
    <w:p w14:paraId="65F2BE2B" w14:textId="77777777" w:rsidR="00B87E4B" w:rsidRPr="00F813F3" w:rsidRDefault="00B87E4B" w:rsidP="004F129A">
      <w:pPr>
        <w:pStyle w:val="ListParagraph"/>
        <w:numPr>
          <w:ilvl w:val="0"/>
          <w:numId w:val="76"/>
        </w:numPr>
        <w:rPr>
          <w:rFonts w:asciiTheme="minorHAnsi" w:hAnsiTheme="minorHAnsi"/>
        </w:rPr>
      </w:pPr>
      <w:r w:rsidRPr="00F813F3">
        <w:rPr>
          <w:rFonts w:asciiTheme="minorHAnsi" w:hAnsiTheme="minorHAnsi"/>
        </w:rPr>
        <w:t>Provide</w:t>
      </w:r>
      <w:r>
        <w:rPr>
          <w:rFonts w:asciiTheme="minorHAnsi" w:hAnsiTheme="minorHAnsi"/>
        </w:rPr>
        <w:t>s</w:t>
      </w:r>
      <w:r w:rsidRPr="00F813F3">
        <w:rPr>
          <w:rFonts w:asciiTheme="minorHAnsi" w:hAnsiTheme="minorHAnsi"/>
        </w:rPr>
        <w:t xml:space="preserve"> population based estimates of gambling and problem gambling behaviours in relation to individuals’ (adults aged 15 years or older) own gambling behaviour and the gambling behaviour of others (i.e. people affected by </w:t>
      </w:r>
      <w:r>
        <w:rPr>
          <w:rFonts w:asciiTheme="minorHAnsi" w:hAnsiTheme="minorHAnsi"/>
        </w:rPr>
        <w:t>someone else’s</w:t>
      </w:r>
      <w:r w:rsidRPr="00F813F3">
        <w:rPr>
          <w:rFonts w:asciiTheme="minorHAnsi" w:hAnsiTheme="minorHAnsi"/>
        </w:rPr>
        <w:t xml:space="preserve"> gambling).</w:t>
      </w:r>
    </w:p>
    <w:p w14:paraId="2C7654C2" w14:textId="77777777" w:rsidR="00B87E4B" w:rsidRPr="00F813F3" w:rsidRDefault="00B87E4B" w:rsidP="004F129A">
      <w:pPr>
        <w:pStyle w:val="ListParagraph"/>
        <w:numPr>
          <w:ilvl w:val="0"/>
          <w:numId w:val="76"/>
        </w:numPr>
        <w:rPr>
          <w:rFonts w:asciiTheme="minorHAnsi" w:hAnsiTheme="minorHAnsi"/>
        </w:rPr>
      </w:pPr>
      <w:r w:rsidRPr="00F813F3">
        <w:rPr>
          <w:rFonts w:asciiTheme="minorHAnsi" w:hAnsiTheme="minorHAnsi"/>
        </w:rPr>
        <w:t>Examine</w:t>
      </w:r>
      <w:r>
        <w:rPr>
          <w:rFonts w:asciiTheme="minorHAnsi" w:hAnsiTheme="minorHAnsi"/>
        </w:rPr>
        <w:t>s</w:t>
      </w:r>
      <w:r w:rsidRPr="00F813F3">
        <w:rPr>
          <w:rFonts w:asciiTheme="minorHAnsi" w:hAnsiTheme="minorHAnsi"/>
        </w:rPr>
        <w:t xml:space="preserve"> similarities and disparities in gambling and problem gambling behaviours according to major socio-demographic variables: age, </w:t>
      </w:r>
      <w:r>
        <w:rPr>
          <w:rFonts w:asciiTheme="minorHAnsi" w:hAnsiTheme="minorHAnsi"/>
        </w:rPr>
        <w:t>gender</w:t>
      </w:r>
      <w:r w:rsidRPr="00F813F3">
        <w:rPr>
          <w:rFonts w:asciiTheme="minorHAnsi" w:hAnsiTheme="minorHAnsi"/>
        </w:rPr>
        <w:t xml:space="preserve">, ethnicity, socio-economic status/deprivation, education, employment status and income. </w:t>
      </w:r>
    </w:p>
    <w:p w14:paraId="529E67D9" w14:textId="77777777" w:rsidR="00B87E4B" w:rsidRPr="00F813F3" w:rsidRDefault="00B87E4B" w:rsidP="004F129A">
      <w:pPr>
        <w:pStyle w:val="ListParagraph"/>
        <w:numPr>
          <w:ilvl w:val="0"/>
          <w:numId w:val="76"/>
        </w:numPr>
        <w:rPr>
          <w:rFonts w:asciiTheme="minorHAnsi" w:hAnsiTheme="minorHAnsi"/>
        </w:rPr>
      </w:pPr>
      <w:r w:rsidRPr="00F813F3">
        <w:rPr>
          <w:rFonts w:asciiTheme="minorHAnsi" w:hAnsiTheme="minorHAnsi"/>
        </w:rPr>
        <w:t>Explore</w:t>
      </w:r>
      <w:r>
        <w:rPr>
          <w:rFonts w:asciiTheme="minorHAnsi" w:hAnsiTheme="minorHAnsi"/>
        </w:rPr>
        <w:t>s</w:t>
      </w:r>
      <w:r w:rsidRPr="00F813F3">
        <w:rPr>
          <w:rFonts w:asciiTheme="minorHAnsi" w:hAnsiTheme="minorHAnsi"/>
        </w:rPr>
        <w:t xml:space="preserve"> associations between gambling and problem gambling behaviours and potential risk/resiliency factors, including: socio-demographic factors; use of alcohol, tobacco and other drugs; level of functioning; long-term mental health conditions (depression, manic depression, anxiety)</w:t>
      </w:r>
      <w:r>
        <w:rPr>
          <w:rFonts w:asciiTheme="minorHAnsi" w:hAnsiTheme="minorHAnsi"/>
        </w:rPr>
        <w:t>,</w:t>
      </w:r>
      <w:r w:rsidRPr="00AE6730">
        <w:rPr>
          <w:rFonts w:asciiTheme="minorHAnsi" w:hAnsiTheme="minorHAnsi"/>
        </w:rPr>
        <w:t xml:space="preserve"> </w:t>
      </w:r>
      <w:r w:rsidRPr="00F813F3">
        <w:rPr>
          <w:rFonts w:asciiTheme="minorHAnsi" w:hAnsiTheme="minorHAnsi"/>
        </w:rPr>
        <w:t>and</w:t>
      </w:r>
      <w:r>
        <w:rPr>
          <w:rFonts w:asciiTheme="minorHAnsi" w:hAnsiTheme="minorHAnsi"/>
        </w:rPr>
        <w:t xml:space="preserve"> use of health services.</w:t>
      </w:r>
    </w:p>
    <w:p w14:paraId="2202D3B7" w14:textId="77777777" w:rsidR="00B87E4B" w:rsidRDefault="00B87E4B" w:rsidP="004F129A">
      <w:pPr>
        <w:pStyle w:val="ListParagraph"/>
        <w:numPr>
          <w:ilvl w:val="0"/>
          <w:numId w:val="76"/>
        </w:numPr>
        <w:rPr>
          <w:rFonts w:asciiTheme="minorHAnsi" w:hAnsiTheme="minorHAnsi"/>
        </w:rPr>
      </w:pPr>
      <w:r w:rsidRPr="00F813F3">
        <w:rPr>
          <w:rFonts w:asciiTheme="minorHAnsi" w:hAnsiTheme="minorHAnsi"/>
        </w:rPr>
        <w:t>Examine</w:t>
      </w:r>
      <w:r>
        <w:rPr>
          <w:rFonts w:asciiTheme="minorHAnsi" w:hAnsiTheme="minorHAnsi"/>
        </w:rPr>
        <w:t>s</w:t>
      </w:r>
      <w:r w:rsidRPr="00F813F3">
        <w:rPr>
          <w:rFonts w:asciiTheme="minorHAnsi" w:hAnsiTheme="minorHAnsi"/>
        </w:rPr>
        <w:t xml:space="preserve"> trends over time for gambling and problem gambling data where permissible (i.e. time series analysis of NZHS data from 2002/03, 2006/07 and 2011/12). </w:t>
      </w:r>
    </w:p>
    <w:p w14:paraId="6180CBD3" w14:textId="70DAFC2D" w:rsidR="00131878" w:rsidRDefault="00B87E4B" w:rsidP="00131878">
      <w:pPr>
        <w:spacing w:after="200"/>
        <w:rPr>
          <w:rFonts w:asciiTheme="minorHAnsi" w:hAnsiTheme="minorHAnsi"/>
        </w:rPr>
      </w:pPr>
      <w:r w:rsidRPr="00131878">
        <w:rPr>
          <w:rFonts w:asciiTheme="minorHAnsi" w:hAnsiTheme="minorHAnsi"/>
        </w:rPr>
        <w:t xml:space="preserve">This research also aimed to compare and contrast findings </w:t>
      </w:r>
      <w:r w:rsidR="00632626" w:rsidRPr="00131878">
        <w:rPr>
          <w:rFonts w:asciiTheme="minorHAnsi" w:hAnsiTheme="minorHAnsi"/>
        </w:rPr>
        <w:t xml:space="preserve">from the 2011/12 NZHS </w:t>
      </w:r>
      <w:r w:rsidRPr="00131878">
        <w:rPr>
          <w:rFonts w:asciiTheme="minorHAnsi" w:hAnsiTheme="minorHAnsi"/>
        </w:rPr>
        <w:t>with those of</w:t>
      </w:r>
      <w:r w:rsidR="00632626" w:rsidRPr="00131878">
        <w:rPr>
          <w:rFonts w:asciiTheme="minorHAnsi" w:hAnsiTheme="minorHAnsi"/>
        </w:rPr>
        <w:t xml:space="preserve"> earlier </w:t>
      </w:r>
      <w:r w:rsidRPr="00131878">
        <w:rPr>
          <w:rFonts w:asciiTheme="minorHAnsi" w:hAnsiTheme="minorHAnsi"/>
        </w:rPr>
        <w:t xml:space="preserve"> </w:t>
      </w:r>
      <w:r w:rsidR="00632626" w:rsidRPr="00131878">
        <w:rPr>
          <w:rFonts w:asciiTheme="minorHAnsi" w:hAnsiTheme="minorHAnsi"/>
        </w:rPr>
        <w:t xml:space="preserve">NZHS waves </w:t>
      </w:r>
      <w:r w:rsidR="00632626" w:rsidRPr="00131878">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 2009)&lt;/DisplayText&gt;&lt;record&gt;&lt;rec-number&gt;31&lt;/rec-number&gt;&lt;foreign-keys&gt;&lt;key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Health&lt;/publisher&gt;&lt;urls&gt;&lt;/urls&gt;&lt;/record&gt;&lt;/Cite&gt;&lt;Cite&gt;&lt;Author&gt;Ministry of Health&lt;/Author&gt;&lt;Year&gt;2009&lt;/Year&gt;&lt;RecNum&gt;33&lt;/RecNum&gt;&lt;record&gt;&lt;rec-number&gt;33&lt;/rec-number&gt;&lt;foreign-keys&gt;&lt;key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632626" w:rsidRPr="00131878">
        <w:rPr>
          <w:rFonts w:asciiTheme="minorHAnsi" w:hAnsiTheme="minorHAnsi"/>
        </w:rPr>
        <w:fldChar w:fldCharType="separate"/>
      </w:r>
      <w:r w:rsidR="00632626" w:rsidRPr="00131878">
        <w:rPr>
          <w:rFonts w:asciiTheme="minorHAnsi" w:hAnsiTheme="minorHAnsi"/>
          <w:noProof/>
        </w:rPr>
        <w:t>(</w:t>
      </w:r>
      <w:hyperlink w:anchor="_ENREF_34" w:tooltip="Ministry of Health, 2006 #31" w:history="1">
        <w:r w:rsidR="00765F46" w:rsidRPr="00131878">
          <w:rPr>
            <w:rFonts w:asciiTheme="minorHAnsi" w:hAnsiTheme="minorHAnsi"/>
            <w:noProof/>
          </w:rPr>
          <w:t>Ministry of Health, 2006</w:t>
        </w:r>
      </w:hyperlink>
      <w:r w:rsidR="00632626" w:rsidRPr="00131878">
        <w:rPr>
          <w:rFonts w:asciiTheme="minorHAnsi" w:hAnsiTheme="minorHAnsi"/>
          <w:noProof/>
        </w:rPr>
        <w:t xml:space="preserve">, </w:t>
      </w:r>
      <w:hyperlink w:anchor="_ENREF_36" w:tooltip="Ministry of Health, 2009 #33" w:history="1">
        <w:r w:rsidR="00765F46" w:rsidRPr="00131878">
          <w:rPr>
            <w:rFonts w:asciiTheme="minorHAnsi" w:hAnsiTheme="minorHAnsi"/>
            <w:noProof/>
          </w:rPr>
          <w:t>2009</w:t>
        </w:r>
      </w:hyperlink>
      <w:r w:rsidR="00632626" w:rsidRPr="00131878">
        <w:rPr>
          <w:rFonts w:asciiTheme="minorHAnsi" w:hAnsiTheme="minorHAnsi"/>
          <w:noProof/>
        </w:rPr>
        <w:t>)</w:t>
      </w:r>
      <w:r w:rsidR="00632626" w:rsidRPr="00131878">
        <w:rPr>
          <w:rFonts w:asciiTheme="minorHAnsi" w:hAnsiTheme="minorHAnsi"/>
        </w:rPr>
        <w:fldChar w:fldCharType="end"/>
      </w:r>
      <w:r w:rsidR="00632626" w:rsidRPr="00131878">
        <w:rPr>
          <w:rFonts w:asciiTheme="minorHAnsi" w:hAnsiTheme="minorHAnsi"/>
        </w:rPr>
        <w:t xml:space="preserve"> and </w:t>
      </w:r>
      <w:r w:rsidRPr="00131878">
        <w:rPr>
          <w:rFonts w:asciiTheme="minorHAnsi" w:hAnsiTheme="minorHAnsi"/>
        </w:rPr>
        <w:t xml:space="preserve">the </w:t>
      </w:r>
      <w:r w:rsidR="007954C7" w:rsidRPr="00131878">
        <w:rPr>
          <w:rFonts w:asciiTheme="minorHAnsi" w:hAnsiTheme="minorHAnsi"/>
        </w:rPr>
        <w:t>2012</w:t>
      </w:r>
      <w:r w:rsidR="00632626" w:rsidRPr="00131878">
        <w:rPr>
          <w:rFonts w:asciiTheme="minorHAnsi" w:hAnsiTheme="minorHAnsi"/>
        </w:rPr>
        <w:t xml:space="preserve"> </w:t>
      </w:r>
      <w:r w:rsidRPr="00131878">
        <w:rPr>
          <w:rFonts w:asciiTheme="minorHAnsi" w:hAnsiTheme="minorHAnsi"/>
        </w:rPr>
        <w:t xml:space="preserve">National Gambling Study </w:t>
      </w:r>
      <w:r w:rsidRPr="00131878">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Bellringer, Garrett, &amp;amp; Mundy-McPherson, 2014a,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Technology&lt;/publisher&gt;&lt;urls&gt;&lt;/urls&gt;&lt;/record&gt;&lt;/Cite&gt;&lt;Cite&gt;&lt;Author&gt;Abbott&lt;/Author&gt;&lt;Year&gt;2014&lt;/Year&gt;&lt;RecNum&gt;921&lt;/RecNum&gt;&lt;record&gt;&lt;rec-number&gt;921&lt;/rec-number&gt;&lt;foreign-keys&gt;&lt;key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Pr="00131878">
        <w:rPr>
          <w:rFonts w:asciiTheme="minorHAnsi" w:hAnsiTheme="minorHAnsi"/>
        </w:rPr>
        <w:fldChar w:fldCharType="separate"/>
      </w:r>
      <w:r w:rsidRPr="00131878">
        <w:rPr>
          <w:rFonts w:asciiTheme="minorHAnsi" w:hAnsiTheme="minorHAnsi"/>
          <w:noProof/>
        </w:rPr>
        <w:t>(</w:t>
      </w:r>
      <w:hyperlink w:anchor="_ENREF_1" w:tooltip="Abbott, 2014 #921" w:history="1">
        <w:r w:rsidR="00765F46" w:rsidRPr="00131878">
          <w:rPr>
            <w:rFonts w:asciiTheme="minorHAnsi" w:hAnsiTheme="minorHAnsi"/>
            <w:noProof/>
          </w:rPr>
          <w:t>Abbott, Bellringer, Garrett, &amp; Mundy-McPherson, 2014a</w:t>
        </w:r>
      </w:hyperlink>
      <w:r w:rsidRPr="00131878">
        <w:rPr>
          <w:rFonts w:asciiTheme="minorHAnsi" w:hAnsiTheme="minorHAnsi"/>
          <w:noProof/>
        </w:rPr>
        <w:t xml:space="preserve">, </w:t>
      </w:r>
      <w:hyperlink w:anchor="_ENREF_2" w:tooltip="Abbott, 2014 #917" w:history="1">
        <w:r w:rsidR="00765F46" w:rsidRPr="00131878">
          <w:rPr>
            <w:rFonts w:asciiTheme="minorHAnsi" w:hAnsiTheme="minorHAnsi"/>
            <w:noProof/>
          </w:rPr>
          <w:t>2014b</w:t>
        </w:r>
      </w:hyperlink>
      <w:r w:rsidRPr="00131878">
        <w:rPr>
          <w:rFonts w:asciiTheme="minorHAnsi" w:hAnsiTheme="minorHAnsi"/>
          <w:noProof/>
        </w:rPr>
        <w:t>)</w:t>
      </w:r>
      <w:r w:rsidRPr="00131878">
        <w:rPr>
          <w:rFonts w:asciiTheme="minorHAnsi" w:hAnsiTheme="minorHAnsi"/>
        </w:rPr>
        <w:fldChar w:fldCharType="end"/>
      </w:r>
      <w:r w:rsidR="00632626" w:rsidRPr="00131878">
        <w:rPr>
          <w:rFonts w:asciiTheme="minorHAnsi" w:hAnsiTheme="minorHAnsi"/>
        </w:rPr>
        <w:t xml:space="preserve">. </w:t>
      </w:r>
      <w:r w:rsidRPr="00131878">
        <w:rPr>
          <w:rFonts w:asciiTheme="minorHAnsi" w:hAnsiTheme="minorHAnsi"/>
        </w:rPr>
        <w:t xml:space="preserve"> </w:t>
      </w:r>
      <w:r w:rsidR="00B77972" w:rsidRPr="00131878">
        <w:rPr>
          <w:rFonts w:asciiTheme="minorHAnsi" w:hAnsiTheme="minorHAnsi"/>
        </w:rPr>
        <w:t xml:space="preserve">It should be noted here that while there are a number of </w:t>
      </w:r>
      <w:r w:rsidR="00B77972" w:rsidRPr="00131878">
        <w:rPr>
          <w:rFonts w:asciiTheme="minorHAnsi" w:hAnsiTheme="minorHAnsi"/>
        </w:rPr>
        <w:lastRenderedPageBreak/>
        <w:t>similarities in findings between the 2011/12 NZHS and the National Gambling Study</w:t>
      </w:r>
      <w:r w:rsidR="00131878" w:rsidRPr="00131878">
        <w:rPr>
          <w:rFonts w:asciiTheme="minorHAnsi" w:hAnsiTheme="minorHAnsi"/>
        </w:rPr>
        <w:t xml:space="preserve">, there are some important differences that should be considered when interpreting the findings from the 2011/12 NZHS.  For example, </w:t>
      </w:r>
      <w:r w:rsidR="00131878">
        <w:rPr>
          <w:rFonts w:asciiTheme="minorHAnsi" w:hAnsiTheme="minorHAnsi"/>
        </w:rPr>
        <w:t>t</w:t>
      </w:r>
      <w:r w:rsidR="00131878" w:rsidRPr="00131878">
        <w:rPr>
          <w:rFonts w:asciiTheme="minorHAnsi" w:hAnsiTheme="minorHAnsi"/>
        </w:rPr>
        <w:t>he 2011/12 wave of the NZHS found that approximately one-half of adults had participated in some form of gambling in the last 12 months</w:t>
      </w:r>
      <w:r w:rsidR="00131878">
        <w:rPr>
          <w:rFonts w:asciiTheme="minorHAnsi" w:hAnsiTheme="minorHAnsi"/>
        </w:rPr>
        <w:t xml:space="preserve"> while t</w:t>
      </w:r>
      <w:r w:rsidR="00131878" w:rsidRPr="00131878">
        <w:rPr>
          <w:rFonts w:asciiTheme="minorHAnsi" w:hAnsiTheme="minorHAnsi"/>
        </w:rPr>
        <w:t>he National Gambling Study reported a past 12-month gambling participation rate of 80%.</w:t>
      </w:r>
      <w:r w:rsidR="00131878">
        <w:rPr>
          <w:rFonts w:asciiTheme="minorHAnsi" w:hAnsiTheme="minorHAnsi"/>
        </w:rPr>
        <w:t xml:space="preserve">  The 2011/12 NZHS </w:t>
      </w:r>
      <w:r w:rsidR="00131878" w:rsidRPr="00131878">
        <w:rPr>
          <w:rFonts w:asciiTheme="minorHAnsi" w:hAnsiTheme="minorHAnsi"/>
        </w:rPr>
        <w:t>found that three percent, or an estimated 112,800 adults, were experiencing some level of harm and/or negative consequences as a result of their gambling; just over one percent satisfied the PGSI past-year crit</w:t>
      </w:r>
      <w:r w:rsidR="00131878" w:rsidRPr="007A6027">
        <w:rPr>
          <w:rFonts w:asciiTheme="minorHAnsi" w:hAnsiTheme="minorHAnsi"/>
        </w:rPr>
        <w:t xml:space="preserve">eria for moderate-risk/problem gambling </w:t>
      </w:r>
      <w:r w:rsidR="001B153E" w:rsidRPr="007A6027">
        <w:rPr>
          <w:rFonts w:asciiTheme="minorHAnsi" w:hAnsiTheme="minorHAnsi"/>
        </w:rPr>
        <w:t xml:space="preserve">(1.0% - moderate-risk and 0.2% - problem) </w:t>
      </w:r>
      <w:r w:rsidR="00131878" w:rsidRPr="007A6027">
        <w:rPr>
          <w:rFonts w:asciiTheme="minorHAnsi" w:hAnsiTheme="minorHAnsi"/>
        </w:rPr>
        <w:t xml:space="preserve">and a further two percent satisfied the criteria for low-risk gambling.  These estimates are smaller than those obtained by the National Gambling Study, which estimates that 2.5% of adults are moderate-risk/problem gamblers </w:t>
      </w:r>
      <w:r w:rsidR="007A6027" w:rsidRPr="007A6027">
        <w:rPr>
          <w:rFonts w:asciiTheme="minorHAnsi" w:hAnsiTheme="minorHAnsi"/>
        </w:rPr>
        <w:t>(1.8% - mod</w:t>
      </w:r>
      <w:r w:rsidR="007A6027" w:rsidRPr="00274311">
        <w:rPr>
          <w:rFonts w:asciiTheme="minorHAnsi" w:hAnsiTheme="minorHAnsi"/>
        </w:rPr>
        <w:t>erate-risk and 0.</w:t>
      </w:r>
      <w:r w:rsidR="007A6027">
        <w:rPr>
          <w:rFonts w:asciiTheme="minorHAnsi" w:hAnsiTheme="minorHAnsi"/>
        </w:rPr>
        <w:t>7</w:t>
      </w:r>
      <w:r w:rsidR="007A6027" w:rsidRPr="00274311">
        <w:rPr>
          <w:rFonts w:asciiTheme="minorHAnsi" w:hAnsiTheme="minorHAnsi"/>
        </w:rPr>
        <w:t>% - problem)</w:t>
      </w:r>
      <w:r w:rsidR="007A6027">
        <w:rPr>
          <w:rFonts w:asciiTheme="minorHAnsi" w:hAnsiTheme="minorHAnsi"/>
        </w:rPr>
        <w:t xml:space="preserve"> </w:t>
      </w:r>
      <w:r w:rsidR="00131878" w:rsidRPr="00131878">
        <w:rPr>
          <w:rFonts w:asciiTheme="minorHAnsi" w:hAnsiTheme="minorHAnsi"/>
        </w:rPr>
        <w:t>and a further five percent satisfy the criteria for low-risk gambling</w:t>
      </w:r>
      <w:r w:rsidR="00131878">
        <w:rPr>
          <w:rFonts w:asciiTheme="minorHAnsi" w:hAnsiTheme="minorHAnsi"/>
        </w:rPr>
        <w:t xml:space="preserve">.  These differences are discussed in more detail in </w:t>
      </w:r>
      <w:r w:rsidR="00FC2CC5">
        <w:rPr>
          <w:rFonts w:asciiTheme="minorHAnsi" w:hAnsiTheme="minorHAnsi"/>
        </w:rPr>
        <w:t>the summary sections of Chapter Four (</w:t>
      </w:r>
      <w:r w:rsidR="00FC2CC5" w:rsidRPr="00FC2CC5">
        <w:rPr>
          <w:rFonts w:asciiTheme="minorHAnsi" w:hAnsiTheme="minorHAnsi"/>
          <w:i/>
        </w:rPr>
        <w:t>Past Year Gambling Participation</w:t>
      </w:r>
      <w:r w:rsidR="00FC2CC5">
        <w:rPr>
          <w:rFonts w:asciiTheme="minorHAnsi" w:hAnsiTheme="minorHAnsi"/>
        </w:rPr>
        <w:t>), Chapter Five (</w:t>
      </w:r>
      <w:r w:rsidR="00FC2CC5" w:rsidRPr="00FC2CC5">
        <w:rPr>
          <w:rFonts w:asciiTheme="minorHAnsi" w:hAnsiTheme="minorHAnsi"/>
          <w:i/>
        </w:rPr>
        <w:t>Problematic Gambling</w:t>
      </w:r>
      <w:r w:rsidR="00FC2CC5">
        <w:rPr>
          <w:rFonts w:asciiTheme="minorHAnsi" w:hAnsiTheme="minorHAnsi"/>
        </w:rPr>
        <w:t>), Chapter Six (</w:t>
      </w:r>
      <w:r w:rsidR="00FC2CC5">
        <w:rPr>
          <w:rFonts w:asciiTheme="minorHAnsi" w:hAnsiTheme="minorHAnsi"/>
          <w:i/>
        </w:rPr>
        <w:t>Ecological Factors and Problematic Gambling)</w:t>
      </w:r>
      <w:r w:rsidR="00FC2CC5">
        <w:rPr>
          <w:rFonts w:asciiTheme="minorHAnsi" w:hAnsiTheme="minorHAnsi"/>
        </w:rPr>
        <w:t xml:space="preserve"> </w:t>
      </w:r>
      <w:r w:rsidR="008C42F0">
        <w:rPr>
          <w:rFonts w:asciiTheme="minorHAnsi" w:hAnsiTheme="minorHAnsi"/>
        </w:rPr>
        <w:t xml:space="preserve">and throughout </w:t>
      </w:r>
      <w:r w:rsidR="00131878">
        <w:rPr>
          <w:rFonts w:asciiTheme="minorHAnsi" w:hAnsiTheme="minorHAnsi"/>
        </w:rPr>
        <w:t>Chapter Eight (</w:t>
      </w:r>
      <w:r w:rsidR="00131878" w:rsidRPr="00FC2CC5">
        <w:rPr>
          <w:rFonts w:asciiTheme="minorHAnsi" w:hAnsiTheme="minorHAnsi"/>
          <w:i/>
        </w:rPr>
        <w:t>Discussion and Conclusions</w:t>
      </w:r>
      <w:r w:rsidR="00131878">
        <w:rPr>
          <w:rFonts w:asciiTheme="minorHAnsi" w:hAnsiTheme="minorHAnsi"/>
        </w:rPr>
        <w:t xml:space="preserve">). </w:t>
      </w:r>
    </w:p>
    <w:p w14:paraId="25184E46" w14:textId="77777777" w:rsidR="00697AF0" w:rsidRPr="00274311" w:rsidRDefault="002669CD" w:rsidP="00BA0A82">
      <w:pPr>
        <w:spacing w:line="360" w:lineRule="auto"/>
        <w:rPr>
          <w:rFonts w:asciiTheme="minorHAnsi" w:hAnsiTheme="minorHAnsi" w:cstheme="minorHAnsi"/>
          <w:b/>
          <w:color w:val="1F497D"/>
        </w:rPr>
      </w:pPr>
      <w:r w:rsidRPr="00274311">
        <w:rPr>
          <w:rFonts w:asciiTheme="minorHAnsi" w:hAnsiTheme="minorHAnsi" w:cstheme="minorHAnsi"/>
          <w:b/>
          <w:color w:val="1F497D"/>
        </w:rPr>
        <w:t>Past-year gambling participation</w:t>
      </w:r>
    </w:p>
    <w:p w14:paraId="307F8722" w14:textId="77777777" w:rsidR="00274311" w:rsidRDefault="00747E23" w:rsidP="004F129A">
      <w:pPr>
        <w:pStyle w:val="ListParagraph"/>
        <w:numPr>
          <w:ilvl w:val="0"/>
          <w:numId w:val="88"/>
        </w:numPr>
        <w:spacing w:after="200"/>
        <w:rPr>
          <w:rFonts w:asciiTheme="minorHAnsi" w:hAnsiTheme="minorHAnsi" w:cstheme="minorHAnsi"/>
        </w:rPr>
      </w:pPr>
      <w:r w:rsidRPr="00274311">
        <w:rPr>
          <w:rFonts w:asciiTheme="minorHAnsi" w:hAnsiTheme="minorHAnsi" w:cstheme="minorHAnsi"/>
        </w:rPr>
        <w:t xml:space="preserve">Approximately one-half </w:t>
      </w:r>
      <w:r w:rsidRPr="001B49C3">
        <w:rPr>
          <w:rFonts w:asciiTheme="minorHAnsi" w:hAnsiTheme="minorHAnsi" w:cstheme="minorHAnsi"/>
        </w:rPr>
        <w:t>(52%</w:t>
      </w:r>
      <w:r w:rsidRPr="00274311">
        <w:rPr>
          <w:rFonts w:asciiTheme="minorHAnsi" w:hAnsiTheme="minorHAnsi" w:cstheme="minorHAnsi"/>
        </w:rPr>
        <w:t xml:space="preserve">) of all adults aged 15 years and over had gambled on at least one activity in the last 12 months. </w:t>
      </w:r>
    </w:p>
    <w:p w14:paraId="276FE391" w14:textId="77777777" w:rsidR="00274311" w:rsidRDefault="00071756" w:rsidP="004F129A">
      <w:pPr>
        <w:pStyle w:val="ListParagraph"/>
        <w:numPr>
          <w:ilvl w:val="0"/>
          <w:numId w:val="88"/>
        </w:numPr>
        <w:spacing w:after="200"/>
        <w:rPr>
          <w:rFonts w:asciiTheme="minorHAnsi" w:hAnsiTheme="minorHAnsi" w:cstheme="minorHAnsi"/>
        </w:rPr>
      </w:pPr>
      <w:r w:rsidRPr="00274311">
        <w:rPr>
          <w:rFonts w:asciiTheme="minorHAnsi" w:hAnsiTheme="minorHAnsi" w:cstheme="minorHAnsi"/>
        </w:rPr>
        <w:t>The most popular gambling activities were Lotto</w:t>
      </w:r>
      <w:r w:rsidR="002669CD" w:rsidRPr="00274311">
        <w:rPr>
          <w:rFonts w:asciiTheme="minorHAnsi" w:hAnsiTheme="minorHAnsi" w:cstheme="minorHAnsi"/>
        </w:rPr>
        <w:t xml:space="preserve"> and associated lottery</w:t>
      </w:r>
      <w:r w:rsidRPr="00274311">
        <w:rPr>
          <w:rFonts w:asciiTheme="minorHAnsi" w:hAnsiTheme="minorHAnsi" w:cstheme="minorHAnsi"/>
        </w:rPr>
        <w:t xml:space="preserve"> products (45%).  Less than ten percent of adults had gambled on E</w:t>
      </w:r>
      <w:r w:rsidR="00B555B7" w:rsidRPr="00274311">
        <w:rPr>
          <w:rFonts w:asciiTheme="minorHAnsi" w:hAnsiTheme="minorHAnsi" w:cstheme="minorHAnsi"/>
        </w:rPr>
        <w:t xml:space="preserve">lectronic </w:t>
      </w:r>
      <w:r w:rsidRPr="00274311">
        <w:rPr>
          <w:rFonts w:asciiTheme="minorHAnsi" w:hAnsiTheme="minorHAnsi" w:cstheme="minorHAnsi"/>
        </w:rPr>
        <w:t>G</w:t>
      </w:r>
      <w:r w:rsidR="00B555B7" w:rsidRPr="00274311">
        <w:rPr>
          <w:rFonts w:asciiTheme="minorHAnsi" w:hAnsiTheme="minorHAnsi" w:cstheme="minorHAnsi"/>
        </w:rPr>
        <w:t xml:space="preserve">aming </w:t>
      </w:r>
      <w:r w:rsidRPr="00274311">
        <w:rPr>
          <w:rFonts w:asciiTheme="minorHAnsi" w:hAnsiTheme="minorHAnsi" w:cstheme="minorHAnsi"/>
        </w:rPr>
        <w:t>M</w:t>
      </w:r>
      <w:r w:rsidR="00B555B7" w:rsidRPr="00274311">
        <w:rPr>
          <w:rFonts w:asciiTheme="minorHAnsi" w:hAnsiTheme="minorHAnsi" w:cstheme="minorHAnsi"/>
        </w:rPr>
        <w:t>achines (EGM)</w:t>
      </w:r>
      <w:r w:rsidRPr="00274311">
        <w:rPr>
          <w:rFonts w:asciiTheme="minorHAnsi" w:hAnsiTheme="minorHAnsi" w:cstheme="minorHAnsi"/>
        </w:rPr>
        <w:t xml:space="preserve">, track or sports betting, casino </w:t>
      </w:r>
      <w:r w:rsidR="00C22E1D" w:rsidRPr="00274311">
        <w:rPr>
          <w:rFonts w:asciiTheme="minorHAnsi" w:hAnsiTheme="minorHAnsi" w:cstheme="minorHAnsi"/>
        </w:rPr>
        <w:t>gambling (EGMs and/or tables), K</w:t>
      </w:r>
      <w:r w:rsidRPr="00274311">
        <w:rPr>
          <w:rFonts w:asciiTheme="minorHAnsi" w:hAnsiTheme="minorHAnsi" w:cstheme="minorHAnsi"/>
        </w:rPr>
        <w:t>eno, housie and ‘other’ in the previous year.</w:t>
      </w:r>
      <w:r w:rsidR="00FC5F32" w:rsidRPr="00274311">
        <w:rPr>
          <w:rFonts w:asciiTheme="minorHAnsi" w:hAnsiTheme="minorHAnsi" w:cstheme="minorHAnsi"/>
        </w:rPr>
        <w:t xml:space="preserve">  </w:t>
      </w:r>
    </w:p>
    <w:p w14:paraId="0A79FEB5" w14:textId="77777777" w:rsidR="00274311" w:rsidRDefault="00FC5F32" w:rsidP="004F129A">
      <w:pPr>
        <w:pStyle w:val="ListParagraph"/>
        <w:numPr>
          <w:ilvl w:val="0"/>
          <w:numId w:val="88"/>
        </w:numPr>
        <w:spacing w:after="200"/>
        <w:rPr>
          <w:rFonts w:asciiTheme="minorHAnsi" w:hAnsiTheme="minorHAnsi" w:cstheme="minorHAnsi"/>
        </w:rPr>
      </w:pPr>
      <w:r w:rsidRPr="00274311">
        <w:rPr>
          <w:rFonts w:asciiTheme="minorHAnsi" w:hAnsiTheme="minorHAnsi" w:cstheme="minorHAnsi"/>
        </w:rPr>
        <w:t xml:space="preserve">Instant Kiwi was preferred by greater proportions of females than males, and greater proportions of males preferred track and sports betting. </w:t>
      </w:r>
      <w:r w:rsidR="00B555B7" w:rsidRPr="00274311">
        <w:rPr>
          <w:rFonts w:asciiTheme="minorHAnsi" w:hAnsiTheme="minorHAnsi" w:cstheme="minorHAnsi"/>
        </w:rPr>
        <w:t xml:space="preserve"> </w:t>
      </w:r>
    </w:p>
    <w:p w14:paraId="052D0EBE" w14:textId="77777777" w:rsidR="00274311" w:rsidRPr="00274311" w:rsidRDefault="00FC5F32" w:rsidP="004F129A">
      <w:pPr>
        <w:pStyle w:val="ListParagraph"/>
        <w:numPr>
          <w:ilvl w:val="0"/>
          <w:numId w:val="88"/>
        </w:numPr>
        <w:spacing w:after="200"/>
        <w:rPr>
          <w:rFonts w:asciiTheme="minorHAnsi" w:hAnsiTheme="minorHAnsi" w:cstheme="minorHAnsi"/>
        </w:rPr>
      </w:pPr>
      <w:r w:rsidRPr="00274311">
        <w:rPr>
          <w:rFonts w:asciiTheme="minorHAnsi" w:hAnsiTheme="minorHAnsi"/>
        </w:rPr>
        <w:t>Lotto and track betting were more popular amongst the older age-brackets while younger age-groups preferred Instant Kiwi.</w:t>
      </w:r>
    </w:p>
    <w:p w14:paraId="2C9B5036" w14:textId="77777777" w:rsidR="00425ED0" w:rsidRDefault="002669CD" w:rsidP="004F129A">
      <w:pPr>
        <w:pStyle w:val="ListParagraph"/>
        <w:numPr>
          <w:ilvl w:val="0"/>
          <w:numId w:val="88"/>
        </w:numPr>
        <w:spacing w:after="200"/>
        <w:rPr>
          <w:rFonts w:asciiTheme="minorHAnsi" w:hAnsiTheme="minorHAnsi" w:cstheme="minorHAnsi"/>
        </w:rPr>
      </w:pPr>
      <w:r w:rsidRPr="00274311">
        <w:rPr>
          <w:rFonts w:asciiTheme="minorHAnsi" w:hAnsiTheme="minorHAnsi" w:cstheme="minorHAnsi"/>
        </w:rPr>
        <w:lastRenderedPageBreak/>
        <w:t>Approximately one-third (33%) of adults had gambled on one ac</w:t>
      </w:r>
      <w:r w:rsidR="00425ED0" w:rsidRPr="00274311">
        <w:rPr>
          <w:rFonts w:asciiTheme="minorHAnsi" w:hAnsiTheme="minorHAnsi" w:cstheme="minorHAnsi"/>
        </w:rPr>
        <w:t>tivity in the last 12 months and t</w:t>
      </w:r>
      <w:r w:rsidRPr="00274311">
        <w:rPr>
          <w:rFonts w:asciiTheme="minorHAnsi" w:hAnsiTheme="minorHAnsi" w:cstheme="minorHAnsi"/>
        </w:rPr>
        <w:t xml:space="preserve">hree percent of adults had gambled on </w:t>
      </w:r>
      <w:r w:rsidR="00B555B7" w:rsidRPr="00274311">
        <w:rPr>
          <w:rFonts w:asciiTheme="minorHAnsi" w:hAnsiTheme="minorHAnsi" w:cstheme="minorHAnsi"/>
        </w:rPr>
        <w:t>‘</w:t>
      </w:r>
      <w:r w:rsidRPr="00274311">
        <w:rPr>
          <w:rFonts w:asciiTheme="minorHAnsi" w:hAnsiTheme="minorHAnsi" w:cstheme="minorHAnsi"/>
        </w:rPr>
        <w:t>four or more</w:t>
      </w:r>
      <w:r w:rsidR="00B555B7" w:rsidRPr="00274311">
        <w:rPr>
          <w:rFonts w:asciiTheme="minorHAnsi" w:hAnsiTheme="minorHAnsi" w:cstheme="minorHAnsi"/>
        </w:rPr>
        <w:t>’</w:t>
      </w:r>
      <w:r w:rsidRPr="00274311">
        <w:rPr>
          <w:rFonts w:asciiTheme="minorHAnsi" w:hAnsiTheme="minorHAnsi" w:cstheme="minorHAnsi"/>
        </w:rPr>
        <w:t xml:space="preserve"> activities. </w:t>
      </w:r>
      <w:r w:rsidR="00425ED0" w:rsidRPr="00274311">
        <w:rPr>
          <w:rFonts w:asciiTheme="minorHAnsi" w:hAnsiTheme="minorHAnsi" w:cstheme="minorHAnsi"/>
        </w:rPr>
        <w:t xml:space="preserve"> </w:t>
      </w:r>
      <w:r w:rsidR="00B555B7" w:rsidRPr="00274311">
        <w:rPr>
          <w:rFonts w:asciiTheme="minorHAnsi" w:hAnsiTheme="minorHAnsi" w:cstheme="minorHAnsi"/>
        </w:rPr>
        <w:t>Gambling on ‘four or more’ activit</w:t>
      </w:r>
      <w:r w:rsidR="00F33242" w:rsidRPr="00274311">
        <w:rPr>
          <w:rFonts w:asciiTheme="minorHAnsi" w:hAnsiTheme="minorHAnsi" w:cstheme="minorHAnsi"/>
        </w:rPr>
        <w:t>i</w:t>
      </w:r>
      <w:r w:rsidR="00B555B7" w:rsidRPr="00274311">
        <w:rPr>
          <w:rFonts w:asciiTheme="minorHAnsi" w:hAnsiTheme="minorHAnsi" w:cstheme="minorHAnsi"/>
        </w:rPr>
        <w:t>es</w:t>
      </w:r>
      <w:r w:rsidR="00425ED0" w:rsidRPr="00274311">
        <w:rPr>
          <w:rFonts w:asciiTheme="minorHAnsi" w:hAnsiTheme="minorHAnsi" w:cstheme="minorHAnsi"/>
        </w:rPr>
        <w:t xml:space="preserve"> was more prevalent amongst males, younger age groups, Māori and European/Other, those who lived in urban locations, and people who had gambled on Keno, casino tables, and </w:t>
      </w:r>
      <w:r w:rsidR="00F33242" w:rsidRPr="00274311">
        <w:rPr>
          <w:rFonts w:asciiTheme="minorHAnsi" w:hAnsiTheme="minorHAnsi" w:cstheme="minorHAnsi"/>
        </w:rPr>
        <w:t>EGMs</w:t>
      </w:r>
      <w:r w:rsidR="00425ED0" w:rsidRPr="00274311">
        <w:rPr>
          <w:rFonts w:asciiTheme="minorHAnsi" w:hAnsiTheme="minorHAnsi" w:cstheme="minorHAnsi"/>
        </w:rPr>
        <w:t xml:space="preserve"> (casino and/or non-casino). </w:t>
      </w:r>
    </w:p>
    <w:p w14:paraId="5D610281" w14:textId="77777777" w:rsidR="004358B4" w:rsidRPr="00BA0A82" w:rsidRDefault="004358B4" w:rsidP="004358B4">
      <w:pPr>
        <w:spacing w:line="360" w:lineRule="auto"/>
        <w:rPr>
          <w:rFonts w:asciiTheme="minorHAnsi" w:hAnsiTheme="minorHAnsi" w:cstheme="minorHAnsi"/>
          <w:b/>
          <w:color w:val="1F497D"/>
        </w:rPr>
      </w:pPr>
      <w:r>
        <w:rPr>
          <w:rFonts w:asciiTheme="minorHAnsi" w:hAnsiTheme="minorHAnsi" w:cstheme="minorHAnsi"/>
          <w:b/>
          <w:color w:val="1F497D"/>
        </w:rPr>
        <w:t>Problematic gambling</w:t>
      </w:r>
    </w:p>
    <w:p w14:paraId="6DA9F55D" w14:textId="77777777" w:rsidR="00623595" w:rsidRPr="00623595" w:rsidRDefault="00623595" w:rsidP="004F129A">
      <w:pPr>
        <w:pStyle w:val="ListParagraph"/>
        <w:numPr>
          <w:ilvl w:val="0"/>
          <w:numId w:val="89"/>
        </w:numPr>
        <w:spacing w:after="200"/>
        <w:rPr>
          <w:rFonts w:asciiTheme="minorHAnsi" w:hAnsiTheme="minorHAnsi" w:cstheme="minorHAnsi"/>
        </w:rPr>
      </w:pPr>
      <w:r>
        <w:rPr>
          <w:rFonts w:asciiTheme="minorHAnsi" w:hAnsiTheme="minorHAnsi" w:cstheme="minorHAnsi"/>
        </w:rPr>
        <w:t xml:space="preserve">Problem gambling was measured by the Problem Gambling Severity Index (PGSI). </w:t>
      </w:r>
    </w:p>
    <w:p w14:paraId="2C36DD35" w14:textId="77777777" w:rsidR="00274311" w:rsidRPr="00274311" w:rsidRDefault="00D63E0C" w:rsidP="004F129A">
      <w:pPr>
        <w:pStyle w:val="ListParagraph"/>
        <w:numPr>
          <w:ilvl w:val="0"/>
          <w:numId w:val="89"/>
        </w:numPr>
        <w:spacing w:after="200"/>
        <w:rPr>
          <w:rFonts w:asciiTheme="minorHAnsi" w:hAnsiTheme="minorHAnsi" w:cstheme="minorHAnsi"/>
        </w:rPr>
      </w:pPr>
      <w:r w:rsidRPr="00274311">
        <w:rPr>
          <w:rFonts w:asciiTheme="minorHAnsi" w:hAnsiTheme="minorHAnsi"/>
        </w:rPr>
        <w:t xml:space="preserve">Approximately 43,400 (95% CI 35,100 – 51,800), or </w:t>
      </w:r>
      <w:r w:rsidR="00A1137D" w:rsidRPr="00274311">
        <w:rPr>
          <w:rFonts w:asciiTheme="minorHAnsi" w:hAnsiTheme="minorHAnsi"/>
        </w:rPr>
        <w:t xml:space="preserve">1.2% of the adult population satisfied the criteria for moderate-risk/problem gambling (1.0% - moderate-risk and 0.2% - problem). A further </w:t>
      </w:r>
      <w:r w:rsidR="00F304D5">
        <w:rPr>
          <w:rFonts w:asciiTheme="minorHAnsi" w:hAnsiTheme="minorHAnsi"/>
        </w:rPr>
        <w:t>2.0%</w:t>
      </w:r>
      <w:r w:rsidR="00A1137D" w:rsidRPr="00274311">
        <w:rPr>
          <w:rFonts w:asciiTheme="minorHAnsi" w:hAnsiTheme="minorHAnsi"/>
        </w:rPr>
        <w:t xml:space="preserve"> satisfied the criteria for low-risk gambling. </w:t>
      </w:r>
    </w:p>
    <w:p w14:paraId="4FD10DCC" w14:textId="77777777" w:rsidR="00274311" w:rsidRDefault="00A1137D" w:rsidP="004F129A">
      <w:pPr>
        <w:pStyle w:val="ListParagraph"/>
        <w:numPr>
          <w:ilvl w:val="0"/>
          <w:numId w:val="89"/>
        </w:numPr>
        <w:spacing w:after="200"/>
        <w:rPr>
          <w:rFonts w:asciiTheme="minorHAnsi" w:hAnsiTheme="minorHAnsi" w:cstheme="minorHAnsi"/>
        </w:rPr>
      </w:pPr>
      <w:r w:rsidRPr="00274311">
        <w:rPr>
          <w:rFonts w:asciiTheme="minorHAnsi" w:hAnsiTheme="minorHAnsi" w:cstheme="minorHAnsi"/>
        </w:rPr>
        <w:t xml:space="preserve">Loss of control, feelings of guilt, and chasing losses were </w:t>
      </w:r>
      <w:r w:rsidR="00EE6567" w:rsidRPr="00274311">
        <w:rPr>
          <w:rFonts w:asciiTheme="minorHAnsi" w:hAnsiTheme="minorHAnsi" w:cstheme="minorHAnsi"/>
        </w:rPr>
        <w:t xml:space="preserve">the </w:t>
      </w:r>
      <w:r w:rsidRPr="00274311">
        <w:rPr>
          <w:rFonts w:asciiTheme="minorHAnsi" w:hAnsiTheme="minorHAnsi" w:cstheme="minorHAnsi"/>
        </w:rPr>
        <w:t xml:space="preserve">most frequently endorsed items on the Problem Gambling Severity Index.  </w:t>
      </w:r>
    </w:p>
    <w:p w14:paraId="220B3942" w14:textId="77777777" w:rsidR="00274311" w:rsidRDefault="00A1137D" w:rsidP="004F129A">
      <w:pPr>
        <w:pStyle w:val="ListParagraph"/>
        <w:numPr>
          <w:ilvl w:val="0"/>
          <w:numId w:val="89"/>
        </w:numPr>
        <w:spacing w:after="200"/>
        <w:rPr>
          <w:rFonts w:asciiTheme="minorHAnsi" w:hAnsiTheme="minorHAnsi" w:cstheme="minorHAnsi"/>
        </w:rPr>
      </w:pPr>
      <w:r w:rsidRPr="00274311">
        <w:rPr>
          <w:rFonts w:asciiTheme="minorHAnsi" w:hAnsiTheme="minorHAnsi" w:cstheme="minorHAnsi"/>
        </w:rPr>
        <w:t>Adults that satisfied the criteria for moderate-risk/problem gambling were more likely to be male, aged 25-34 or 45-54, identify as Māori or Pacific, and liv</w:t>
      </w:r>
      <w:r w:rsidR="00EE6567" w:rsidRPr="00274311">
        <w:rPr>
          <w:rFonts w:asciiTheme="minorHAnsi" w:hAnsiTheme="minorHAnsi" w:cstheme="minorHAnsi"/>
        </w:rPr>
        <w:t>e</w:t>
      </w:r>
      <w:r w:rsidRPr="00274311">
        <w:rPr>
          <w:rFonts w:asciiTheme="minorHAnsi" w:hAnsiTheme="minorHAnsi" w:cstheme="minorHAnsi"/>
        </w:rPr>
        <w:t xml:space="preserve"> in urban neighbourhoods with higher levels of deprivation.  </w:t>
      </w:r>
    </w:p>
    <w:p w14:paraId="23A04CE7" w14:textId="77777777" w:rsidR="00274311" w:rsidRDefault="00A1137D" w:rsidP="004F129A">
      <w:pPr>
        <w:pStyle w:val="ListParagraph"/>
        <w:numPr>
          <w:ilvl w:val="0"/>
          <w:numId w:val="89"/>
        </w:numPr>
        <w:spacing w:after="200"/>
        <w:rPr>
          <w:rFonts w:asciiTheme="minorHAnsi" w:hAnsiTheme="minorHAnsi" w:cstheme="minorHAnsi"/>
        </w:rPr>
      </w:pPr>
      <w:r w:rsidRPr="00274311">
        <w:rPr>
          <w:rFonts w:asciiTheme="minorHAnsi" w:hAnsiTheme="minorHAnsi" w:cstheme="minorHAnsi"/>
        </w:rPr>
        <w:t xml:space="preserve">Gambling on </w:t>
      </w:r>
      <w:r w:rsidR="00EE6567" w:rsidRPr="00274311">
        <w:rPr>
          <w:rFonts w:asciiTheme="minorHAnsi" w:hAnsiTheme="minorHAnsi" w:cstheme="minorHAnsi"/>
        </w:rPr>
        <w:t>‘</w:t>
      </w:r>
      <w:r w:rsidRPr="00274311">
        <w:rPr>
          <w:rFonts w:asciiTheme="minorHAnsi" w:hAnsiTheme="minorHAnsi" w:cstheme="minorHAnsi"/>
        </w:rPr>
        <w:t>four or more</w:t>
      </w:r>
      <w:r w:rsidR="00EE6567" w:rsidRPr="00274311">
        <w:rPr>
          <w:rFonts w:asciiTheme="minorHAnsi" w:hAnsiTheme="minorHAnsi" w:cstheme="minorHAnsi"/>
        </w:rPr>
        <w:t>’</w:t>
      </w:r>
      <w:r w:rsidRPr="00274311">
        <w:rPr>
          <w:rFonts w:asciiTheme="minorHAnsi" w:hAnsiTheme="minorHAnsi" w:cstheme="minorHAnsi"/>
        </w:rPr>
        <w:t xml:space="preserve"> activities was associated with an increased risk of gambling problems. </w:t>
      </w:r>
    </w:p>
    <w:p w14:paraId="57B30F09" w14:textId="77777777" w:rsidR="00A1137D" w:rsidRPr="00274311" w:rsidRDefault="00A1137D" w:rsidP="004F129A">
      <w:pPr>
        <w:pStyle w:val="ListParagraph"/>
        <w:numPr>
          <w:ilvl w:val="0"/>
          <w:numId w:val="89"/>
        </w:numPr>
        <w:spacing w:after="200"/>
        <w:rPr>
          <w:rFonts w:asciiTheme="minorHAnsi" w:hAnsiTheme="minorHAnsi" w:cstheme="minorHAnsi"/>
        </w:rPr>
      </w:pPr>
      <w:r w:rsidRPr="00274311">
        <w:rPr>
          <w:rFonts w:asciiTheme="minorHAnsi" w:hAnsiTheme="minorHAnsi" w:cstheme="minorHAnsi"/>
        </w:rPr>
        <w:t>There was an overall trend for the severity of gambling problems to increase along with rate of participation in each gambling activity</w:t>
      </w:r>
      <w:r w:rsidR="00623595">
        <w:rPr>
          <w:rFonts w:asciiTheme="minorHAnsi" w:hAnsiTheme="minorHAnsi" w:cstheme="minorHAnsi"/>
        </w:rPr>
        <w:t xml:space="preserve">, particularly for EGMs:  </w:t>
      </w:r>
      <w:r w:rsidRPr="00274311">
        <w:rPr>
          <w:rFonts w:asciiTheme="minorHAnsi" w:hAnsiTheme="minorHAnsi"/>
        </w:rPr>
        <w:t xml:space="preserve">Moderate-risk/problem gamblers were 14 times more likely to have gambled on any </w:t>
      </w:r>
      <w:r w:rsidR="00B90C35" w:rsidRPr="00274311">
        <w:rPr>
          <w:rFonts w:asciiTheme="minorHAnsi" w:hAnsiTheme="minorHAnsi"/>
        </w:rPr>
        <w:t>EGM</w:t>
      </w:r>
      <w:r w:rsidRPr="00274311">
        <w:rPr>
          <w:rFonts w:asciiTheme="minorHAnsi" w:hAnsiTheme="minorHAnsi"/>
        </w:rPr>
        <w:t xml:space="preserve"> and 13 times more likely to have gambled on non-casino </w:t>
      </w:r>
      <w:r w:rsidR="00B90C35" w:rsidRPr="00274311">
        <w:rPr>
          <w:rFonts w:asciiTheme="minorHAnsi" w:hAnsiTheme="minorHAnsi"/>
        </w:rPr>
        <w:t>EGMs</w:t>
      </w:r>
      <w:r w:rsidRPr="00274311">
        <w:rPr>
          <w:rFonts w:asciiTheme="minorHAnsi" w:hAnsiTheme="minorHAnsi"/>
        </w:rPr>
        <w:t xml:space="preserve"> than non-problem/recreational gamblers. </w:t>
      </w:r>
    </w:p>
    <w:p w14:paraId="0477A298" w14:textId="77777777" w:rsidR="00D90839" w:rsidRDefault="00D90839">
      <w:pPr>
        <w:spacing w:before="0" w:after="200" w:line="276" w:lineRule="auto"/>
        <w:jc w:val="left"/>
        <w:rPr>
          <w:rFonts w:asciiTheme="minorHAnsi" w:hAnsiTheme="minorHAnsi" w:cstheme="minorHAnsi"/>
          <w:b/>
          <w:color w:val="1F497D"/>
        </w:rPr>
      </w:pPr>
      <w:r>
        <w:rPr>
          <w:rFonts w:asciiTheme="minorHAnsi" w:hAnsiTheme="minorHAnsi" w:cstheme="minorHAnsi"/>
          <w:b/>
          <w:color w:val="1F497D"/>
        </w:rPr>
        <w:br w:type="page"/>
      </w:r>
    </w:p>
    <w:p w14:paraId="0B54B34D" w14:textId="717083A7" w:rsidR="002D0220" w:rsidRPr="00BA0A82" w:rsidRDefault="002D0220" w:rsidP="00300062">
      <w:pPr>
        <w:keepNext/>
        <w:spacing w:line="360" w:lineRule="auto"/>
        <w:rPr>
          <w:rFonts w:asciiTheme="minorHAnsi" w:hAnsiTheme="minorHAnsi" w:cstheme="minorHAnsi"/>
          <w:b/>
          <w:color w:val="1F497D"/>
        </w:rPr>
      </w:pPr>
      <w:r>
        <w:rPr>
          <w:rFonts w:asciiTheme="minorHAnsi" w:hAnsiTheme="minorHAnsi" w:cstheme="minorHAnsi"/>
          <w:b/>
          <w:color w:val="1F497D"/>
        </w:rPr>
        <w:lastRenderedPageBreak/>
        <w:t>Ecological factors and problematic gambling</w:t>
      </w:r>
    </w:p>
    <w:p w14:paraId="0A34075D" w14:textId="478AFF2E" w:rsidR="007672E9" w:rsidRPr="00D90839" w:rsidRDefault="00023396" w:rsidP="00D90839">
      <w:pPr>
        <w:pStyle w:val="ListParagraph"/>
        <w:numPr>
          <w:ilvl w:val="0"/>
          <w:numId w:val="90"/>
        </w:numPr>
        <w:spacing w:after="200"/>
        <w:rPr>
          <w:rFonts w:asciiTheme="minorHAnsi" w:hAnsiTheme="minorHAnsi"/>
        </w:rPr>
      </w:pPr>
      <w:r w:rsidRPr="00274311">
        <w:rPr>
          <w:rFonts w:asciiTheme="minorHAnsi" w:hAnsiTheme="minorHAnsi"/>
        </w:rPr>
        <w:t xml:space="preserve">Problematic gambling was significantly associated with use of alcohol, hazardous drinking behaviour, alcohol dependence, smoking, and use of drugs. </w:t>
      </w:r>
    </w:p>
    <w:p w14:paraId="053A719E" w14:textId="27EEAB72" w:rsidR="00E31A6D" w:rsidRPr="00274311" w:rsidRDefault="00F445B3" w:rsidP="004F129A">
      <w:pPr>
        <w:pStyle w:val="ListParagraph"/>
        <w:numPr>
          <w:ilvl w:val="0"/>
          <w:numId w:val="90"/>
        </w:numPr>
        <w:spacing w:after="200"/>
        <w:rPr>
          <w:rFonts w:asciiTheme="minorHAnsi" w:hAnsiTheme="minorHAnsi"/>
        </w:rPr>
      </w:pPr>
      <w:r w:rsidRPr="00274311">
        <w:rPr>
          <w:rFonts w:asciiTheme="minorHAnsi" w:hAnsiTheme="minorHAnsi"/>
        </w:rPr>
        <w:t>Compared to people with no gambling problems, moderate-risk/problem gamblers had:</w:t>
      </w:r>
    </w:p>
    <w:p w14:paraId="2E257DD6" w14:textId="77777777" w:rsidR="00F445B3" w:rsidRPr="00274311" w:rsidRDefault="00F445B3" w:rsidP="004F129A">
      <w:pPr>
        <w:pStyle w:val="ListParagraph"/>
        <w:numPr>
          <w:ilvl w:val="1"/>
          <w:numId w:val="90"/>
        </w:numPr>
        <w:spacing w:after="200"/>
        <w:rPr>
          <w:rFonts w:asciiTheme="minorHAnsi" w:hAnsiTheme="minorHAnsi"/>
        </w:rPr>
      </w:pPr>
      <w:r w:rsidRPr="00274311">
        <w:rPr>
          <w:rFonts w:asciiTheme="minorHAnsi" w:hAnsiTheme="minorHAnsi"/>
        </w:rPr>
        <w:t>1.6 times the odds of drinking alcohol;</w:t>
      </w:r>
    </w:p>
    <w:p w14:paraId="6F59407F" w14:textId="77777777" w:rsidR="00F445B3" w:rsidRPr="00274311" w:rsidRDefault="00F445B3" w:rsidP="004F129A">
      <w:pPr>
        <w:pStyle w:val="ListParagraph"/>
        <w:numPr>
          <w:ilvl w:val="1"/>
          <w:numId w:val="90"/>
        </w:numPr>
        <w:spacing w:after="200"/>
        <w:rPr>
          <w:rFonts w:asciiTheme="minorHAnsi" w:hAnsiTheme="minorHAnsi"/>
        </w:rPr>
      </w:pPr>
      <w:r w:rsidRPr="00274311">
        <w:rPr>
          <w:rFonts w:asciiTheme="minorHAnsi" w:hAnsiTheme="minorHAnsi"/>
        </w:rPr>
        <w:t>4.7 times the odds of hazardous drinking;</w:t>
      </w:r>
    </w:p>
    <w:p w14:paraId="4E0C4C76" w14:textId="77777777" w:rsidR="00F445B3" w:rsidRPr="00274311" w:rsidRDefault="00F445B3" w:rsidP="004F129A">
      <w:pPr>
        <w:pStyle w:val="ListParagraph"/>
        <w:numPr>
          <w:ilvl w:val="1"/>
          <w:numId w:val="90"/>
        </w:numPr>
        <w:spacing w:after="200"/>
        <w:rPr>
          <w:rFonts w:asciiTheme="minorHAnsi" w:hAnsiTheme="minorHAnsi"/>
        </w:rPr>
      </w:pPr>
      <w:r w:rsidRPr="00274311">
        <w:rPr>
          <w:rFonts w:asciiTheme="minorHAnsi" w:hAnsiTheme="minorHAnsi"/>
        </w:rPr>
        <w:t>6.3 times the odds of alcohol dependence;</w:t>
      </w:r>
    </w:p>
    <w:p w14:paraId="48DE1C50" w14:textId="77777777" w:rsidR="00F445B3" w:rsidRPr="00274311" w:rsidRDefault="00F445B3" w:rsidP="004F129A">
      <w:pPr>
        <w:pStyle w:val="ListParagraph"/>
        <w:numPr>
          <w:ilvl w:val="1"/>
          <w:numId w:val="90"/>
        </w:numPr>
        <w:spacing w:after="200"/>
        <w:rPr>
          <w:rFonts w:asciiTheme="minorHAnsi" w:hAnsiTheme="minorHAnsi"/>
        </w:rPr>
      </w:pPr>
      <w:r w:rsidRPr="00274311">
        <w:rPr>
          <w:rFonts w:asciiTheme="minorHAnsi" w:hAnsiTheme="minorHAnsi"/>
        </w:rPr>
        <w:t xml:space="preserve">4.2 times the odds </w:t>
      </w:r>
      <w:r w:rsidR="00412E93" w:rsidRPr="00274311">
        <w:rPr>
          <w:rFonts w:asciiTheme="minorHAnsi" w:hAnsiTheme="minorHAnsi"/>
        </w:rPr>
        <w:t xml:space="preserve">of </w:t>
      </w:r>
      <w:r w:rsidRPr="00274311">
        <w:rPr>
          <w:rFonts w:asciiTheme="minorHAnsi" w:hAnsiTheme="minorHAnsi"/>
        </w:rPr>
        <w:t>being a current smoker;</w:t>
      </w:r>
      <w:r w:rsidR="000F4465" w:rsidRPr="00274311">
        <w:rPr>
          <w:rFonts w:asciiTheme="minorHAnsi" w:hAnsiTheme="minorHAnsi"/>
        </w:rPr>
        <w:t xml:space="preserve"> and,</w:t>
      </w:r>
    </w:p>
    <w:p w14:paraId="0BF113EA" w14:textId="77777777" w:rsidR="00F445B3" w:rsidRPr="00274311" w:rsidRDefault="00F445B3" w:rsidP="004F129A">
      <w:pPr>
        <w:pStyle w:val="ListParagraph"/>
        <w:numPr>
          <w:ilvl w:val="1"/>
          <w:numId w:val="90"/>
        </w:numPr>
        <w:spacing w:after="200"/>
        <w:rPr>
          <w:rFonts w:asciiTheme="minorHAnsi" w:hAnsiTheme="minorHAnsi"/>
        </w:rPr>
      </w:pPr>
      <w:r w:rsidRPr="00274311">
        <w:rPr>
          <w:rFonts w:asciiTheme="minorHAnsi" w:hAnsiTheme="minorHAnsi"/>
        </w:rPr>
        <w:t>3.7 times the o</w:t>
      </w:r>
      <w:r w:rsidR="000F4465" w:rsidRPr="00274311">
        <w:rPr>
          <w:rFonts w:asciiTheme="minorHAnsi" w:hAnsiTheme="minorHAnsi"/>
        </w:rPr>
        <w:t>dds of using drugs:</w:t>
      </w:r>
    </w:p>
    <w:p w14:paraId="3A95AC3C" w14:textId="77777777" w:rsidR="00F445B3" w:rsidRDefault="00F445B3" w:rsidP="004F129A">
      <w:pPr>
        <w:pStyle w:val="ListParagraph"/>
        <w:numPr>
          <w:ilvl w:val="2"/>
          <w:numId w:val="79"/>
        </w:numPr>
        <w:spacing w:after="200"/>
        <w:rPr>
          <w:rFonts w:asciiTheme="minorHAnsi" w:hAnsiTheme="minorHAnsi"/>
        </w:rPr>
      </w:pPr>
      <w:r>
        <w:rPr>
          <w:rFonts w:asciiTheme="minorHAnsi" w:hAnsiTheme="minorHAnsi"/>
        </w:rPr>
        <w:t>2.7 times the odds of using cannabis</w:t>
      </w:r>
      <w:r w:rsidR="000F4465">
        <w:rPr>
          <w:rFonts w:asciiTheme="minorHAnsi" w:hAnsiTheme="minorHAnsi"/>
        </w:rPr>
        <w:t>;</w:t>
      </w:r>
    </w:p>
    <w:p w14:paraId="1AFD446E" w14:textId="77777777" w:rsidR="00F445B3" w:rsidRPr="00F445B3" w:rsidRDefault="00F445B3" w:rsidP="004F129A">
      <w:pPr>
        <w:pStyle w:val="ListParagraph"/>
        <w:numPr>
          <w:ilvl w:val="2"/>
          <w:numId w:val="79"/>
        </w:numPr>
        <w:spacing w:after="200"/>
        <w:rPr>
          <w:rFonts w:asciiTheme="minorHAnsi" w:hAnsiTheme="minorHAnsi"/>
        </w:rPr>
      </w:pPr>
      <w:r>
        <w:rPr>
          <w:rFonts w:asciiTheme="minorHAnsi" w:hAnsiTheme="minorHAnsi"/>
        </w:rPr>
        <w:t xml:space="preserve">6.9 times the odds of using other drugs.  </w:t>
      </w:r>
    </w:p>
    <w:p w14:paraId="0136E025" w14:textId="77777777" w:rsidR="00274311" w:rsidRPr="00274311" w:rsidRDefault="005B1B4D" w:rsidP="004F129A">
      <w:pPr>
        <w:pStyle w:val="ListParagraph"/>
        <w:numPr>
          <w:ilvl w:val="0"/>
          <w:numId w:val="79"/>
        </w:numPr>
        <w:spacing w:after="200"/>
        <w:rPr>
          <w:rFonts w:asciiTheme="minorHAnsi" w:hAnsiTheme="minorHAnsi" w:cstheme="minorHAnsi"/>
        </w:rPr>
      </w:pPr>
      <w:r>
        <w:rPr>
          <w:rFonts w:asciiTheme="minorHAnsi" w:hAnsiTheme="minorHAnsi"/>
        </w:rPr>
        <w:t>Problematic ga</w:t>
      </w:r>
      <w:r w:rsidR="008460E0" w:rsidRPr="00274311">
        <w:rPr>
          <w:rFonts w:asciiTheme="minorHAnsi" w:hAnsiTheme="minorHAnsi"/>
        </w:rPr>
        <w:t>mbling was significantly associated with fair or poor self-rated health and a high/very high probability of an anxiety or depressive disorder. The odds of an anxiety or depressive disorder rose with gambling symptom severity: low-risk gamblers were twice as likely (OR 2.1) and moderate-risk/problem gamblers were nearly six times as likely (OR 5.7) as a</w:t>
      </w:r>
      <w:r w:rsidR="00AD4B39">
        <w:rPr>
          <w:rFonts w:asciiTheme="minorHAnsi" w:hAnsiTheme="minorHAnsi"/>
        </w:rPr>
        <w:t>dults with no gambling problems</w:t>
      </w:r>
      <w:r w:rsidR="008460E0" w:rsidRPr="00274311">
        <w:rPr>
          <w:rFonts w:asciiTheme="minorHAnsi" w:hAnsiTheme="minorHAnsi"/>
        </w:rPr>
        <w:t xml:space="preserve"> to have an anxiety or depressive disorder.  </w:t>
      </w:r>
    </w:p>
    <w:p w14:paraId="3141970D" w14:textId="77777777" w:rsidR="00AF2FB0" w:rsidRPr="00274311" w:rsidRDefault="008460E0" w:rsidP="004F129A">
      <w:pPr>
        <w:pStyle w:val="ListParagraph"/>
        <w:numPr>
          <w:ilvl w:val="0"/>
          <w:numId w:val="79"/>
        </w:numPr>
        <w:spacing w:after="200"/>
        <w:rPr>
          <w:rFonts w:asciiTheme="minorHAnsi" w:hAnsiTheme="minorHAnsi" w:cstheme="minorHAnsi"/>
        </w:rPr>
      </w:pPr>
      <w:r w:rsidRPr="00274311">
        <w:rPr>
          <w:rFonts w:asciiTheme="minorHAnsi" w:hAnsiTheme="minorHAnsi"/>
        </w:rPr>
        <w:t xml:space="preserve">Moderate-risk/problem gamblers were significantly more likely to have been diagnosed by a doctor with a common mental disorder (i.e. depression, bipolar disorder or anxiety disorder). </w:t>
      </w:r>
    </w:p>
    <w:p w14:paraId="3C4C9CA0" w14:textId="77777777" w:rsidR="008460E0" w:rsidRPr="00274311" w:rsidRDefault="008460E0" w:rsidP="004F129A">
      <w:pPr>
        <w:pStyle w:val="ListParagraph"/>
        <w:numPr>
          <w:ilvl w:val="0"/>
          <w:numId w:val="79"/>
        </w:numPr>
        <w:spacing w:after="200"/>
        <w:rPr>
          <w:rFonts w:asciiTheme="minorHAnsi" w:hAnsiTheme="minorHAnsi"/>
        </w:rPr>
      </w:pPr>
      <w:r w:rsidRPr="00274311">
        <w:rPr>
          <w:rFonts w:asciiTheme="minorHAnsi" w:hAnsiTheme="minorHAnsi" w:cstheme="minorHAnsi"/>
        </w:rPr>
        <w:t xml:space="preserve">Adults with gambling problems exhibited greater use of health services than other adults: </w:t>
      </w:r>
      <w:r w:rsidRPr="00274311">
        <w:rPr>
          <w:rFonts w:asciiTheme="minorHAnsi" w:hAnsiTheme="minorHAnsi"/>
        </w:rPr>
        <w:t>moderate-risk/problem gamblers were twice (OR 2.0) as likely as those with no gambling problems</w:t>
      </w:r>
      <w:r w:rsidR="00FA7C0C">
        <w:rPr>
          <w:rFonts w:asciiTheme="minorHAnsi" w:hAnsiTheme="minorHAnsi"/>
        </w:rPr>
        <w:t xml:space="preserve"> </w:t>
      </w:r>
      <w:r w:rsidRPr="00274311">
        <w:rPr>
          <w:rFonts w:asciiTheme="minorHAnsi" w:hAnsiTheme="minorHAnsi"/>
        </w:rPr>
        <w:t>to have consulted a GP in the past year.  However, this group were also more likely to report having unmet health needs (not being able to see a GP when they needed to):</w:t>
      </w:r>
    </w:p>
    <w:p w14:paraId="62216F5E" w14:textId="77777777" w:rsidR="008460E0" w:rsidRPr="008460E0" w:rsidRDefault="008460E0" w:rsidP="004F129A">
      <w:pPr>
        <w:pStyle w:val="ListParagraph"/>
        <w:numPr>
          <w:ilvl w:val="1"/>
          <w:numId w:val="79"/>
        </w:numPr>
        <w:spacing w:after="200"/>
        <w:rPr>
          <w:rFonts w:asciiTheme="minorHAnsi" w:hAnsiTheme="minorHAnsi" w:cstheme="minorHAnsi"/>
        </w:rPr>
      </w:pPr>
      <w:r w:rsidRPr="008460E0">
        <w:rPr>
          <w:rFonts w:asciiTheme="minorHAnsi" w:hAnsiTheme="minorHAnsi"/>
        </w:rPr>
        <w:t xml:space="preserve">Compared to those with no gambling problems, low-risk gamblers were twice as likely (OR 2.1) and moderate-risk/problem gamblers were two and a half times as likely (OR 2.6) to report unmet health needs. </w:t>
      </w:r>
    </w:p>
    <w:p w14:paraId="37BA4503" w14:textId="77777777" w:rsidR="008460E0" w:rsidRPr="008460E0" w:rsidRDefault="008460E0" w:rsidP="004F129A">
      <w:pPr>
        <w:pStyle w:val="ListParagraph"/>
        <w:numPr>
          <w:ilvl w:val="1"/>
          <w:numId w:val="79"/>
        </w:numPr>
        <w:spacing w:after="200"/>
        <w:rPr>
          <w:rFonts w:asciiTheme="minorHAnsi" w:hAnsiTheme="minorHAnsi" w:cstheme="minorHAnsi"/>
        </w:rPr>
      </w:pPr>
      <w:r w:rsidRPr="008460E0">
        <w:rPr>
          <w:rFonts w:asciiTheme="minorHAnsi" w:hAnsiTheme="minorHAnsi"/>
        </w:rPr>
        <w:lastRenderedPageBreak/>
        <w:t xml:space="preserve">The relationship between gambling status and having unmet health needs </w:t>
      </w:r>
      <w:r w:rsidRPr="008460E0">
        <w:rPr>
          <w:rFonts w:asciiTheme="minorHAnsi" w:hAnsiTheme="minorHAnsi"/>
          <w:u w:val="single"/>
        </w:rPr>
        <w:t>due to cost</w:t>
      </w:r>
      <w:r w:rsidRPr="008460E0">
        <w:rPr>
          <w:rFonts w:asciiTheme="minorHAnsi" w:hAnsiTheme="minorHAnsi"/>
        </w:rPr>
        <w:t xml:space="preserve"> was also significant.  Low-risk and moderate-risk/problem gamblers were twice as likely (OR 2.1 and OR 1.9 respectively) as those with no gambling problems</w:t>
      </w:r>
      <w:r w:rsidR="00FA7C0C">
        <w:rPr>
          <w:rFonts w:asciiTheme="minorHAnsi" w:hAnsiTheme="minorHAnsi"/>
        </w:rPr>
        <w:t xml:space="preserve"> </w:t>
      </w:r>
      <w:r w:rsidRPr="008460E0">
        <w:rPr>
          <w:rFonts w:asciiTheme="minorHAnsi" w:hAnsiTheme="minorHAnsi"/>
        </w:rPr>
        <w:t>to report that they had not seen a GP due to the cost.</w:t>
      </w:r>
    </w:p>
    <w:p w14:paraId="7FF65216" w14:textId="77777777" w:rsidR="002D0220" w:rsidRPr="00274311" w:rsidRDefault="002D0220" w:rsidP="004F129A">
      <w:pPr>
        <w:pStyle w:val="ListParagraph"/>
        <w:numPr>
          <w:ilvl w:val="0"/>
          <w:numId w:val="79"/>
        </w:numPr>
        <w:spacing w:after="200"/>
        <w:rPr>
          <w:rFonts w:asciiTheme="minorHAnsi" w:hAnsiTheme="minorHAnsi" w:cstheme="minorHAnsi"/>
        </w:rPr>
      </w:pPr>
      <w:r w:rsidRPr="00274311">
        <w:rPr>
          <w:rFonts w:asciiTheme="minorHAnsi" w:hAnsiTheme="minorHAnsi"/>
        </w:rPr>
        <w:t>Gambling status was significantly associated with use of other health professionals</w:t>
      </w:r>
      <w:r w:rsidR="00274311">
        <w:rPr>
          <w:rFonts w:asciiTheme="minorHAnsi" w:hAnsiTheme="minorHAnsi"/>
        </w:rPr>
        <w:t xml:space="preserve"> (i.e. a psychologist, counsellor or social worker)</w:t>
      </w:r>
      <w:r w:rsidRPr="00274311">
        <w:rPr>
          <w:rFonts w:asciiTheme="minorHAnsi" w:hAnsiTheme="minorHAnsi"/>
        </w:rPr>
        <w:t xml:space="preserve">: moderate-risk/problem gamblers were three and a half times more likely (OR 3.4) than those with no gambling problems to have sought help in the past 12 months.  </w:t>
      </w:r>
    </w:p>
    <w:p w14:paraId="27B81991" w14:textId="77777777" w:rsidR="008460E0" w:rsidRPr="00F77152" w:rsidRDefault="008460E0" w:rsidP="008460E0">
      <w:pPr>
        <w:spacing w:line="360" w:lineRule="auto"/>
        <w:rPr>
          <w:rFonts w:asciiTheme="minorHAnsi" w:hAnsiTheme="minorHAnsi" w:cstheme="minorHAnsi"/>
          <w:b/>
          <w:color w:val="1F497D"/>
        </w:rPr>
      </w:pPr>
      <w:r>
        <w:rPr>
          <w:rFonts w:asciiTheme="minorHAnsi" w:hAnsiTheme="minorHAnsi" w:cstheme="minorHAnsi"/>
          <w:b/>
          <w:color w:val="1F497D"/>
        </w:rPr>
        <w:t>Experiencing problems due to someone else’s gambling</w:t>
      </w:r>
    </w:p>
    <w:p w14:paraId="5CB9A804" w14:textId="77777777" w:rsidR="00F8777B" w:rsidRPr="00F8777B" w:rsidRDefault="008460E0" w:rsidP="004F129A">
      <w:pPr>
        <w:pStyle w:val="ListParagraph"/>
        <w:numPr>
          <w:ilvl w:val="0"/>
          <w:numId w:val="91"/>
        </w:numPr>
        <w:spacing w:after="200"/>
        <w:rPr>
          <w:rFonts w:asciiTheme="minorHAnsi" w:hAnsiTheme="minorHAnsi" w:cstheme="minorHAnsi"/>
        </w:rPr>
      </w:pPr>
      <w:r w:rsidRPr="00F8777B">
        <w:rPr>
          <w:rFonts w:asciiTheme="minorHAnsi" w:hAnsiTheme="minorHAnsi"/>
        </w:rPr>
        <w:t>Approximately 89,100 (95% CI 77,000 - 101,100), or 2.5% of adults aged 15 years and over indicated that they had been negatively impacted by someone else’s gambling in the past 12 months.</w:t>
      </w:r>
      <w:r w:rsidR="00832817" w:rsidRPr="00F8777B">
        <w:rPr>
          <w:rFonts w:asciiTheme="minorHAnsi" w:hAnsiTheme="minorHAnsi"/>
        </w:rPr>
        <w:t xml:space="preserve">  </w:t>
      </w:r>
    </w:p>
    <w:p w14:paraId="596F8136" w14:textId="77777777" w:rsidR="00F8777B" w:rsidRDefault="00832817" w:rsidP="004F129A">
      <w:pPr>
        <w:pStyle w:val="ListParagraph"/>
        <w:numPr>
          <w:ilvl w:val="0"/>
          <w:numId w:val="91"/>
        </w:numPr>
        <w:spacing w:after="200"/>
        <w:rPr>
          <w:rFonts w:asciiTheme="minorHAnsi" w:hAnsiTheme="minorHAnsi" w:cstheme="minorHAnsi"/>
        </w:rPr>
      </w:pPr>
      <w:r w:rsidRPr="00F8777B">
        <w:rPr>
          <w:rFonts w:asciiTheme="minorHAnsi" w:hAnsiTheme="minorHAnsi" w:cstheme="minorHAnsi"/>
        </w:rPr>
        <w:t xml:space="preserve">Adults that had been affected by someone else’s gambling were more likely to be female, aged 25-34 years, and identify as Māori or Pacific. </w:t>
      </w:r>
    </w:p>
    <w:p w14:paraId="25BCD3B4" w14:textId="77777777" w:rsidR="00F8777B" w:rsidRDefault="00832817" w:rsidP="004F129A">
      <w:pPr>
        <w:pStyle w:val="ListParagraph"/>
        <w:numPr>
          <w:ilvl w:val="0"/>
          <w:numId w:val="91"/>
        </w:numPr>
        <w:spacing w:after="200"/>
        <w:rPr>
          <w:rFonts w:asciiTheme="minorHAnsi" w:hAnsiTheme="minorHAnsi" w:cstheme="minorHAnsi"/>
        </w:rPr>
      </w:pPr>
      <w:r w:rsidRPr="00F8777B">
        <w:rPr>
          <w:rFonts w:asciiTheme="minorHAnsi" w:hAnsiTheme="minorHAnsi"/>
        </w:rPr>
        <w:t>Being affected by someone else’s gambling was significantly associated with an individual’s own gambling status</w:t>
      </w:r>
      <w:r w:rsidR="008460E0" w:rsidRPr="00F8777B">
        <w:rPr>
          <w:rFonts w:asciiTheme="minorHAnsi" w:hAnsiTheme="minorHAnsi" w:cstheme="minorHAnsi"/>
        </w:rPr>
        <w:t xml:space="preserve">: 9.5% of people categorised as low- or moderate-risk/problem gamblers had been affected by someone else’s gambling, compared with 2.9% of non-problem/recreational gamblers and 1.6% of non-gamblers. </w:t>
      </w:r>
    </w:p>
    <w:p w14:paraId="5812671F" w14:textId="77777777" w:rsidR="008460E0" w:rsidRPr="00F8777B" w:rsidRDefault="00832817" w:rsidP="004F129A">
      <w:pPr>
        <w:pStyle w:val="ListParagraph"/>
        <w:numPr>
          <w:ilvl w:val="0"/>
          <w:numId w:val="91"/>
        </w:numPr>
        <w:spacing w:after="200"/>
        <w:rPr>
          <w:rFonts w:asciiTheme="minorHAnsi" w:hAnsiTheme="minorHAnsi" w:cstheme="minorHAnsi"/>
        </w:rPr>
      </w:pPr>
      <w:r w:rsidRPr="00F8777B">
        <w:rPr>
          <w:rFonts w:asciiTheme="minorHAnsi" w:hAnsiTheme="minorHAnsi" w:cstheme="minorHAnsi"/>
        </w:rPr>
        <w:t>Non-casino EGMs (52.9%), casino EGMs (32.0%) and track or sports betting (22.1%) were the modes most associated with harm from someone else’s gambling.</w:t>
      </w:r>
    </w:p>
    <w:p w14:paraId="550AFC15" w14:textId="77777777" w:rsidR="00D63E0C" w:rsidRPr="00ED6C3B" w:rsidRDefault="00D63E0C" w:rsidP="00ED6C3B">
      <w:pPr>
        <w:spacing w:line="360" w:lineRule="auto"/>
        <w:rPr>
          <w:rFonts w:asciiTheme="minorHAnsi" w:hAnsiTheme="minorHAnsi" w:cstheme="minorHAnsi"/>
          <w:b/>
          <w:color w:val="1F497D"/>
        </w:rPr>
      </w:pPr>
      <w:r w:rsidRPr="00ED6C3B">
        <w:rPr>
          <w:rFonts w:asciiTheme="minorHAnsi" w:hAnsiTheme="minorHAnsi" w:cstheme="minorHAnsi"/>
          <w:b/>
          <w:color w:val="1F497D"/>
        </w:rPr>
        <w:t xml:space="preserve">Changes over time </w:t>
      </w:r>
      <w:r w:rsidR="00233BB7">
        <w:rPr>
          <w:rFonts w:asciiTheme="minorHAnsi" w:hAnsiTheme="minorHAnsi" w:cstheme="minorHAnsi"/>
          <w:b/>
          <w:color w:val="1F497D"/>
        </w:rPr>
        <w:t xml:space="preserve">– comparison of </w:t>
      </w:r>
      <w:r w:rsidR="00A11C51">
        <w:rPr>
          <w:rFonts w:asciiTheme="minorHAnsi" w:hAnsiTheme="minorHAnsi" w:cstheme="minorHAnsi"/>
          <w:b/>
          <w:color w:val="1F497D"/>
        </w:rPr>
        <w:t xml:space="preserve">the </w:t>
      </w:r>
      <w:r w:rsidR="00233BB7">
        <w:rPr>
          <w:rFonts w:asciiTheme="minorHAnsi" w:hAnsiTheme="minorHAnsi" w:cstheme="minorHAnsi"/>
          <w:b/>
          <w:color w:val="1F497D"/>
        </w:rPr>
        <w:t>2002/03, 2006/07 and 2011/12 NZHS</w:t>
      </w:r>
    </w:p>
    <w:p w14:paraId="716A9DAB" w14:textId="03C30E02" w:rsidR="00533469" w:rsidRDefault="00AE38A6" w:rsidP="00495220">
      <w:pPr>
        <w:rPr>
          <w:rFonts w:asciiTheme="minorHAnsi" w:hAnsiTheme="minorHAnsi"/>
        </w:rPr>
      </w:pPr>
      <w:r w:rsidRPr="005B5851">
        <w:rPr>
          <w:rFonts w:asciiTheme="minorHAnsi" w:hAnsiTheme="minorHAnsi"/>
        </w:rPr>
        <w:t>It is important to note that w</w:t>
      </w:r>
      <w:r w:rsidR="00E12CE0" w:rsidRPr="005B5851">
        <w:rPr>
          <w:rFonts w:asciiTheme="minorHAnsi" w:hAnsiTheme="minorHAnsi"/>
        </w:rPr>
        <w:t>hen compari</w:t>
      </w:r>
      <w:r w:rsidRPr="005B5851">
        <w:rPr>
          <w:rFonts w:asciiTheme="minorHAnsi" w:hAnsiTheme="minorHAnsi"/>
        </w:rPr>
        <w:t>sons are made</w:t>
      </w:r>
      <w:r w:rsidR="00E12CE0" w:rsidRPr="005B5851">
        <w:rPr>
          <w:rFonts w:asciiTheme="minorHAnsi" w:hAnsiTheme="minorHAnsi"/>
        </w:rPr>
        <w:t xml:space="preserve"> </w:t>
      </w:r>
      <w:r w:rsidR="00D90839" w:rsidRPr="005B5851">
        <w:rPr>
          <w:rFonts w:asciiTheme="minorHAnsi" w:hAnsiTheme="minorHAnsi"/>
        </w:rPr>
        <w:t xml:space="preserve">in this report </w:t>
      </w:r>
      <w:r w:rsidR="00E12CE0" w:rsidRPr="005B5851">
        <w:rPr>
          <w:rFonts w:asciiTheme="minorHAnsi" w:hAnsiTheme="minorHAnsi"/>
        </w:rPr>
        <w:t xml:space="preserve">between </w:t>
      </w:r>
      <w:r w:rsidRPr="005B5851">
        <w:rPr>
          <w:rFonts w:asciiTheme="minorHAnsi" w:hAnsiTheme="minorHAnsi"/>
        </w:rPr>
        <w:t xml:space="preserve">recent NZHS surveys (2002/03, 2006/07 and 2011/12), results have been age-standardised in accordance with World Health Organisation (WHO) age population distributions. As such, some of the results </w:t>
      </w:r>
      <w:r w:rsidR="00533469" w:rsidRPr="005B5851">
        <w:rPr>
          <w:rFonts w:asciiTheme="minorHAnsi" w:hAnsiTheme="minorHAnsi"/>
        </w:rPr>
        <w:t xml:space="preserve">that are </w:t>
      </w:r>
      <w:r w:rsidRPr="005B5851">
        <w:rPr>
          <w:rFonts w:asciiTheme="minorHAnsi" w:hAnsiTheme="minorHAnsi"/>
        </w:rPr>
        <w:t xml:space="preserve">reported for the 2011/12 NZHS in </w:t>
      </w:r>
      <w:r w:rsidR="006A55DE" w:rsidRPr="005B5851">
        <w:rPr>
          <w:rFonts w:asciiTheme="minorHAnsi" w:hAnsiTheme="minorHAnsi"/>
        </w:rPr>
        <w:t xml:space="preserve">the </w:t>
      </w:r>
      <w:r w:rsidRPr="005B5851">
        <w:rPr>
          <w:rFonts w:asciiTheme="minorHAnsi" w:hAnsiTheme="minorHAnsi"/>
        </w:rPr>
        <w:t>‘</w:t>
      </w:r>
      <w:r w:rsidR="00495220" w:rsidRPr="005B5851">
        <w:rPr>
          <w:rFonts w:asciiTheme="minorHAnsi" w:hAnsiTheme="minorHAnsi"/>
        </w:rPr>
        <w:t>changes</w:t>
      </w:r>
      <w:r w:rsidRPr="005B5851">
        <w:rPr>
          <w:rFonts w:asciiTheme="minorHAnsi" w:hAnsiTheme="minorHAnsi"/>
        </w:rPr>
        <w:t xml:space="preserve"> over time’ sections throughout this </w:t>
      </w:r>
      <w:proofErr w:type="gramStart"/>
      <w:r w:rsidRPr="005B5851">
        <w:rPr>
          <w:rFonts w:asciiTheme="minorHAnsi" w:hAnsiTheme="minorHAnsi"/>
        </w:rPr>
        <w:t>report</w:t>
      </w:r>
      <w:r w:rsidR="00495220" w:rsidRPr="005B5851">
        <w:rPr>
          <w:rFonts w:asciiTheme="minorHAnsi" w:hAnsiTheme="minorHAnsi"/>
        </w:rPr>
        <w:t>,</w:t>
      </w:r>
      <w:proofErr w:type="gramEnd"/>
      <w:r w:rsidRPr="005B5851">
        <w:rPr>
          <w:rFonts w:asciiTheme="minorHAnsi" w:hAnsiTheme="minorHAnsi"/>
        </w:rPr>
        <w:t xml:space="preserve"> may differ slightly to those that are </w:t>
      </w:r>
      <w:r w:rsidR="00495220" w:rsidRPr="005B5851">
        <w:rPr>
          <w:rFonts w:asciiTheme="minorHAnsi" w:hAnsiTheme="minorHAnsi"/>
        </w:rPr>
        <w:lastRenderedPageBreak/>
        <w:t>specified elsewhere in this report</w:t>
      </w:r>
      <w:r w:rsidRPr="005B5851">
        <w:rPr>
          <w:rFonts w:asciiTheme="minorHAnsi" w:hAnsiTheme="minorHAnsi"/>
        </w:rPr>
        <w:t>. For example, while 52.3% of the adult population had gambled over the past-year</w:t>
      </w:r>
      <w:r w:rsidR="00533469" w:rsidRPr="005B5851">
        <w:rPr>
          <w:rFonts w:asciiTheme="minorHAnsi" w:hAnsiTheme="minorHAnsi"/>
        </w:rPr>
        <w:t xml:space="preserve"> in the 2011/12 NZHS</w:t>
      </w:r>
      <w:r w:rsidR="00495220" w:rsidRPr="005B5851">
        <w:rPr>
          <w:rFonts w:asciiTheme="minorHAnsi" w:hAnsiTheme="minorHAnsi"/>
        </w:rPr>
        <w:t xml:space="preserve"> (as detailed above)</w:t>
      </w:r>
      <w:r w:rsidRPr="005B5851">
        <w:rPr>
          <w:rFonts w:asciiTheme="minorHAnsi" w:hAnsiTheme="minorHAnsi"/>
        </w:rPr>
        <w:t xml:space="preserve">, </w:t>
      </w:r>
      <w:r w:rsidR="00533469" w:rsidRPr="005B5851">
        <w:rPr>
          <w:rFonts w:asciiTheme="minorHAnsi" w:hAnsiTheme="minorHAnsi"/>
        </w:rPr>
        <w:t xml:space="preserve">the </w:t>
      </w:r>
      <w:r w:rsidR="00533469" w:rsidRPr="005B5851">
        <w:rPr>
          <w:rFonts w:asciiTheme="minorHAnsi" w:hAnsiTheme="minorHAnsi"/>
          <w:i/>
        </w:rPr>
        <w:t>age-adjusted</w:t>
      </w:r>
      <w:r w:rsidR="00533469" w:rsidRPr="005B5851">
        <w:rPr>
          <w:rFonts w:asciiTheme="minorHAnsi" w:hAnsiTheme="minorHAnsi"/>
        </w:rPr>
        <w:t xml:space="preserve"> rate of past-year gambling </w:t>
      </w:r>
      <w:r w:rsidR="00495220" w:rsidRPr="005B5851">
        <w:rPr>
          <w:rFonts w:asciiTheme="minorHAnsi" w:hAnsiTheme="minorHAnsi"/>
        </w:rPr>
        <w:t xml:space="preserve">in 2011/12 is 45.7% </w:t>
      </w:r>
      <w:r w:rsidR="00533469" w:rsidRPr="005B5851">
        <w:rPr>
          <w:rFonts w:asciiTheme="minorHAnsi" w:hAnsiTheme="minorHAnsi"/>
        </w:rPr>
        <w:t>(</w:t>
      </w:r>
      <w:r w:rsidR="00495220" w:rsidRPr="005B5851">
        <w:rPr>
          <w:rFonts w:asciiTheme="minorHAnsi" w:hAnsiTheme="minorHAnsi"/>
        </w:rPr>
        <w:t>as reported below when</w:t>
      </w:r>
      <w:r w:rsidR="00533469" w:rsidRPr="005B5851">
        <w:rPr>
          <w:rFonts w:asciiTheme="minorHAnsi" w:hAnsiTheme="minorHAnsi"/>
        </w:rPr>
        <w:t xml:space="preserve"> comparing </w:t>
      </w:r>
      <w:r w:rsidR="00495220" w:rsidRPr="005B5851">
        <w:rPr>
          <w:rFonts w:asciiTheme="minorHAnsi" w:hAnsiTheme="minorHAnsi"/>
        </w:rPr>
        <w:t xml:space="preserve">with </w:t>
      </w:r>
      <w:r w:rsidR="00533469" w:rsidRPr="005B5851">
        <w:rPr>
          <w:rFonts w:asciiTheme="minorHAnsi" w:hAnsiTheme="minorHAnsi"/>
        </w:rPr>
        <w:t>previous waves of the NZHS).</w:t>
      </w:r>
      <w:r w:rsidR="00533469">
        <w:rPr>
          <w:rFonts w:asciiTheme="minorHAnsi" w:hAnsiTheme="minorHAnsi"/>
        </w:rPr>
        <w:t xml:space="preserve"> </w:t>
      </w:r>
    </w:p>
    <w:p w14:paraId="21759A15" w14:textId="77777777" w:rsidR="00233BB7" w:rsidRDefault="00233BB7" w:rsidP="00495220">
      <w:pPr>
        <w:keepNext/>
        <w:spacing w:line="360" w:lineRule="auto"/>
        <w:ind w:firstLine="360"/>
        <w:rPr>
          <w:rFonts w:asciiTheme="minorHAnsi" w:hAnsiTheme="minorHAnsi" w:cstheme="minorHAnsi"/>
          <w:b/>
          <w:i/>
          <w:color w:val="1F497D"/>
        </w:rPr>
      </w:pPr>
      <w:r>
        <w:rPr>
          <w:rFonts w:asciiTheme="minorHAnsi" w:hAnsiTheme="minorHAnsi" w:cstheme="minorHAnsi"/>
          <w:b/>
          <w:i/>
          <w:color w:val="1F497D"/>
        </w:rPr>
        <w:t>Involvement in gambling and activities that adults gamble on</w:t>
      </w:r>
    </w:p>
    <w:p w14:paraId="37A4D30C" w14:textId="77777777" w:rsidR="00F8777B" w:rsidRDefault="00233BB7" w:rsidP="004F129A">
      <w:pPr>
        <w:pStyle w:val="ListParagraph"/>
        <w:numPr>
          <w:ilvl w:val="0"/>
          <w:numId w:val="92"/>
        </w:numPr>
        <w:spacing w:after="200"/>
        <w:rPr>
          <w:rFonts w:asciiTheme="minorHAnsi" w:hAnsiTheme="minorHAnsi"/>
        </w:rPr>
      </w:pPr>
      <w:r w:rsidRPr="00F8777B">
        <w:rPr>
          <w:rFonts w:asciiTheme="minorHAnsi" w:hAnsiTheme="minorHAnsi"/>
        </w:rPr>
        <w:t xml:space="preserve">The overall proportion of people who had gambled on any activity has significantly (p&lt;0.0001) decreased with each NZHS wave: 65.9% in 2002/03; 60.3% in 2006/07; </w:t>
      </w:r>
      <w:r w:rsidRPr="001B49C3">
        <w:rPr>
          <w:rFonts w:asciiTheme="minorHAnsi" w:hAnsiTheme="minorHAnsi"/>
        </w:rPr>
        <w:t>45.7%</w:t>
      </w:r>
      <w:r w:rsidRPr="00F8777B">
        <w:rPr>
          <w:rFonts w:asciiTheme="minorHAnsi" w:hAnsiTheme="minorHAnsi"/>
        </w:rPr>
        <w:t xml:space="preserve"> 2011/12.   </w:t>
      </w:r>
    </w:p>
    <w:p w14:paraId="49414EC6" w14:textId="77777777" w:rsidR="00233BB7" w:rsidRPr="00F8777B" w:rsidRDefault="00233BB7" w:rsidP="004F129A">
      <w:pPr>
        <w:pStyle w:val="ListParagraph"/>
        <w:numPr>
          <w:ilvl w:val="0"/>
          <w:numId w:val="92"/>
        </w:numPr>
        <w:spacing w:after="200"/>
        <w:rPr>
          <w:rFonts w:asciiTheme="minorHAnsi" w:hAnsiTheme="minorHAnsi"/>
        </w:rPr>
      </w:pPr>
      <w:r w:rsidRPr="00F8777B">
        <w:rPr>
          <w:rFonts w:asciiTheme="minorHAnsi" w:hAnsiTheme="minorHAnsi"/>
        </w:rPr>
        <w:t xml:space="preserve">Significant decreases in participation across the three NZHS waves were observed for: Lotto, Instant Kiwi, non-casino EGMs, track betting, casino EGMs (NB: data for casino EGMs was only available for 2006/07 and 2011/12), sports betting, Keno and Housie. </w:t>
      </w:r>
    </w:p>
    <w:p w14:paraId="6977CC7B" w14:textId="77777777" w:rsidR="00233BB7" w:rsidRPr="00300062" w:rsidRDefault="00233BB7" w:rsidP="00651133">
      <w:pPr>
        <w:keepNext/>
        <w:spacing w:line="360" w:lineRule="auto"/>
        <w:ind w:firstLine="357"/>
        <w:rPr>
          <w:rFonts w:asciiTheme="minorHAnsi" w:hAnsiTheme="minorHAnsi" w:cstheme="minorHAnsi"/>
          <w:b/>
          <w:i/>
          <w:color w:val="1F497D"/>
        </w:rPr>
      </w:pPr>
      <w:r>
        <w:rPr>
          <w:rFonts w:asciiTheme="minorHAnsi" w:hAnsiTheme="minorHAnsi" w:cstheme="minorHAnsi"/>
          <w:b/>
          <w:i/>
          <w:color w:val="1F497D"/>
        </w:rPr>
        <w:t>Number of gambling activities</w:t>
      </w:r>
    </w:p>
    <w:p w14:paraId="33EC809F" w14:textId="77777777" w:rsidR="00233BB7" w:rsidRPr="00F8777B" w:rsidRDefault="00233BB7" w:rsidP="004F129A">
      <w:pPr>
        <w:pStyle w:val="ListParagraph"/>
        <w:numPr>
          <w:ilvl w:val="0"/>
          <w:numId w:val="93"/>
        </w:numPr>
        <w:spacing w:after="200"/>
        <w:rPr>
          <w:rFonts w:asciiTheme="minorHAnsi" w:hAnsiTheme="minorHAnsi"/>
        </w:rPr>
      </w:pPr>
      <w:r w:rsidRPr="00F8777B">
        <w:rPr>
          <w:rFonts w:asciiTheme="minorHAnsi" w:hAnsiTheme="minorHAnsi"/>
        </w:rPr>
        <w:t>The number of gambling activities that people engaged in had significantly decreased over time.  There was an overall decreasing trend with people participating in fewer activities with each survey wave, for example, the proportion of people who had gambled on four or more activities had decreased: 5.9% in 2002/03; 5.2% in 2006/07; 3.0% in, 2011/12.</w:t>
      </w:r>
    </w:p>
    <w:p w14:paraId="130F29DB" w14:textId="77777777" w:rsidR="00ED6C3B" w:rsidRPr="00300062" w:rsidRDefault="00ED6C3B" w:rsidP="0020409B">
      <w:pPr>
        <w:spacing w:line="360" w:lineRule="auto"/>
        <w:ind w:firstLine="360"/>
        <w:rPr>
          <w:rFonts w:asciiTheme="minorHAnsi" w:hAnsiTheme="minorHAnsi" w:cstheme="minorHAnsi"/>
          <w:b/>
          <w:i/>
          <w:color w:val="1F497D"/>
        </w:rPr>
      </w:pPr>
      <w:r>
        <w:rPr>
          <w:rFonts w:asciiTheme="minorHAnsi" w:hAnsiTheme="minorHAnsi" w:cstheme="minorHAnsi"/>
          <w:b/>
          <w:i/>
          <w:color w:val="1F497D"/>
        </w:rPr>
        <w:t>P</w:t>
      </w:r>
      <w:r w:rsidRPr="00300062">
        <w:rPr>
          <w:rFonts w:asciiTheme="minorHAnsi" w:hAnsiTheme="minorHAnsi" w:cstheme="minorHAnsi"/>
          <w:b/>
          <w:i/>
          <w:color w:val="1F497D"/>
        </w:rPr>
        <w:t>roblematic gambling</w:t>
      </w:r>
    </w:p>
    <w:p w14:paraId="2C67C58A" w14:textId="0B9E880C" w:rsidR="001201AE" w:rsidRPr="00651133" w:rsidRDefault="001201AE" w:rsidP="00651133">
      <w:pPr>
        <w:pStyle w:val="ListParagraph"/>
        <w:numPr>
          <w:ilvl w:val="0"/>
          <w:numId w:val="93"/>
        </w:numPr>
        <w:spacing w:after="200"/>
        <w:rPr>
          <w:rFonts w:asciiTheme="minorHAnsi" w:hAnsiTheme="minorHAnsi"/>
        </w:rPr>
      </w:pPr>
      <w:r w:rsidRPr="00651133">
        <w:rPr>
          <w:rFonts w:asciiTheme="minorHAnsi" w:hAnsiTheme="minorHAnsi"/>
          <w:b/>
        </w:rPr>
        <w:t>No</w:t>
      </w:r>
      <w:r w:rsidRPr="00651133">
        <w:rPr>
          <w:rFonts w:asciiTheme="minorHAnsi" w:hAnsiTheme="minorHAnsi"/>
        </w:rPr>
        <w:t xml:space="preserve"> </w:t>
      </w:r>
      <w:r w:rsidRPr="00651133">
        <w:rPr>
          <w:rFonts w:asciiTheme="minorHAnsi" w:hAnsiTheme="minorHAnsi"/>
          <w:b/>
        </w:rPr>
        <w:t>significant</w:t>
      </w:r>
      <w:r w:rsidRPr="00651133">
        <w:rPr>
          <w:rFonts w:asciiTheme="minorHAnsi" w:hAnsiTheme="minorHAnsi"/>
        </w:rPr>
        <w:t xml:space="preserve"> changes (based on overlapping 95% confidence intervals) were observed in the proportions of </w:t>
      </w:r>
      <w:r w:rsidRPr="00651133">
        <w:rPr>
          <w:rFonts w:asciiTheme="minorHAnsi" w:hAnsiTheme="minorHAnsi"/>
          <w:i/>
        </w:rPr>
        <w:t xml:space="preserve">problem </w:t>
      </w:r>
      <w:r w:rsidRPr="00651133">
        <w:rPr>
          <w:rFonts w:asciiTheme="minorHAnsi" w:hAnsiTheme="minorHAnsi"/>
        </w:rPr>
        <w:t xml:space="preserve">(0.4% in 2006/07 and 0.2% in 2011/12) or </w:t>
      </w:r>
      <w:r w:rsidRPr="00651133">
        <w:rPr>
          <w:rFonts w:asciiTheme="minorHAnsi" w:hAnsiTheme="minorHAnsi"/>
          <w:i/>
        </w:rPr>
        <w:t>moderate-risk</w:t>
      </w:r>
      <w:r w:rsidRPr="00651133">
        <w:rPr>
          <w:rFonts w:asciiTheme="minorHAnsi" w:hAnsiTheme="minorHAnsi"/>
        </w:rPr>
        <w:t xml:space="preserve"> </w:t>
      </w:r>
      <w:r w:rsidRPr="00651133">
        <w:rPr>
          <w:rFonts w:asciiTheme="minorHAnsi" w:hAnsiTheme="minorHAnsi"/>
          <w:i/>
        </w:rPr>
        <w:t xml:space="preserve">gamblers </w:t>
      </w:r>
      <w:r w:rsidRPr="00651133">
        <w:rPr>
          <w:rFonts w:asciiTheme="minorHAnsi" w:hAnsiTheme="minorHAnsi"/>
        </w:rPr>
        <w:t xml:space="preserve">(1.4% in 2006/07 and 1.0% in 2011/12). </w:t>
      </w:r>
    </w:p>
    <w:p w14:paraId="1FB75E1A" w14:textId="5BD5FE9D" w:rsidR="00087682" w:rsidRPr="00651133" w:rsidRDefault="00173BCF" w:rsidP="00651133">
      <w:pPr>
        <w:pStyle w:val="ListParagraph"/>
        <w:numPr>
          <w:ilvl w:val="0"/>
          <w:numId w:val="93"/>
        </w:numPr>
        <w:spacing w:after="200"/>
        <w:rPr>
          <w:rFonts w:asciiTheme="minorHAnsi" w:hAnsiTheme="minorHAnsi"/>
        </w:rPr>
      </w:pPr>
      <w:r w:rsidRPr="00651133">
        <w:rPr>
          <w:rFonts w:asciiTheme="minorHAnsi" w:hAnsiTheme="minorHAnsi"/>
          <w:b/>
        </w:rPr>
        <w:t>S</w:t>
      </w:r>
      <w:r w:rsidR="00087682" w:rsidRPr="00651133">
        <w:rPr>
          <w:rFonts w:asciiTheme="minorHAnsi" w:hAnsiTheme="minorHAnsi"/>
          <w:b/>
        </w:rPr>
        <w:t>ignificant</w:t>
      </w:r>
      <w:r w:rsidR="00087682" w:rsidRPr="00651133">
        <w:rPr>
          <w:rFonts w:asciiTheme="minorHAnsi" w:hAnsiTheme="minorHAnsi"/>
        </w:rPr>
        <w:t xml:space="preserve"> changes (</w:t>
      </w:r>
      <w:r w:rsidR="00651133">
        <w:rPr>
          <w:rFonts w:asciiTheme="minorHAnsi" w:hAnsiTheme="minorHAnsi"/>
        </w:rPr>
        <w:t xml:space="preserve">p&lt;0.0001; </w:t>
      </w:r>
      <w:r w:rsidR="00087682" w:rsidRPr="00651133">
        <w:rPr>
          <w:rFonts w:asciiTheme="minorHAnsi" w:hAnsiTheme="minorHAnsi"/>
        </w:rPr>
        <w:t>based on non-overlapping 95% confidence intervals)</w:t>
      </w:r>
      <w:r w:rsidR="00651133">
        <w:rPr>
          <w:rFonts w:asciiTheme="minorHAnsi" w:hAnsiTheme="minorHAnsi"/>
        </w:rPr>
        <w:t xml:space="preserve"> </w:t>
      </w:r>
      <w:r w:rsidR="00087682" w:rsidRPr="00651133">
        <w:rPr>
          <w:rFonts w:asciiTheme="minorHAnsi" w:hAnsiTheme="minorHAnsi"/>
        </w:rPr>
        <w:t>were observed</w:t>
      </w:r>
      <w:r w:rsidRPr="00651133">
        <w:rPr>
          <w:rFonts w:asciiTheme="minorHAnsi" w:hAnsiTheme="minorHAnsi"/>
        </w:rPr>
        <w:t xml:space="preserve"> in the proportions of</w:t>
      </w:r>
      <w:r w:rsidR="00087682" w:rsidRPr="00651133">
        <w:rPr>
          <w:rFonts w:asciiTheme="minorHAnsi" w:hAnsiTheme="minorHAnsi"/>
        </w:rPr>
        <w:t>:</w:t>
      </w:r>
    </w:p>
    <w:p w14:paraId="7A43F14C" w14:textId="0A051F65" w:rsidR="00087682" w:rsidRPr="00651133" w:rsidRDefault="00ED6C3B" w:rsidP="00651133">
      <w:pPr>
        <w:pStyle w:val="ListParagraph"/>
        <w:numPr>
          <w:ilvl w:val="1"/>
          <w:numId w:val="93"/>
        </w:numPr>
        <w:spacing w:after="200"/>
        <w:rPr>
          <w:rFonts w:asciiTheme="minorHAnsi" w:hAnsiTheme="minorHAnsi"/>
        </w:rPr>
      </w:pPr>
      <w:r w:rsidRPr="00651133">
        <w:rPr>
          <w:rFonts w:asciiTheme="minorHAnsi" w:hAnsiTheme="minorHAnsi"/>
          <w:i/>
        </w:rPr>
        <w:t>non-gamblers</w:t>
      </w:r>
      <w:r w:rsidR="00087682" w:rsidRPr="00651133">
        <w:rPr>
          <w:rFonts w:asciiTheme="minorHAnsi" w:hAnsiTheme="minorHAnsi"/>
        </w:rPr>
        <w:t>:</w:t>
      </w:r>
      <w:r w:rsidR="00103981" w:rsidRPr="00651133">
        <w:rPr>
          <w:rFonts w:asciiTheme="minorHAnsi" w:hAnsiTheme="minorHAnsi"/>
        </w:rPr>
        <w:t xml:space="preserve"> 39.7% in 2006/07 and 54.3% in 2011/12</w:t>
      </w:r>
      <w:r w:rsidR="00087682" w:rsidRPr="00651133">
        <w:rPr>
          <w:rFonts w:asciiTheme="minorHAnsi" w:hAnsiTheme="minorHAnsi"/>
        </w:rPr>
        <w:t>;</w:t>
      </w:r>
      <w:r w:rsidRPr="00651133">
        <w:rPr>
          <w:rFonts w:asciiTheme="minorHAnsi" w:hAnsiTheme="minorHAnsi"/>
        </w:rPr>
        <w:t xml:space="preserve"> </w:t>
      </w:r>
    </w:p>
    <w:p w14:paraId="3F9C259E" w14:textId="4731F9C6" w:rsidR="00087682" w:rsidRPr="00651133" w:rsidRDefault="00ED6C3B" w:rsidP="00651133">
      <w:pPr>
        <w:pStyle w:val="ListParagraph"/>
        <w:numPr>
          <w:ilvl w:val="1"/>
          <w:numId w:val="93"/>
        </w:numPr>
        <w:spacing w:after="200"/>
        <w:rPr>
          <w:rFonts w:asciiTheme="minorHAnsi" w:hAnsiTheme="minorHAnsi"/>
        </w:rPr>
      </w:pPr>
      <w:r w:rsidRPr="00651133">
        <w:rPr>
          <w:rFonts w:asciiTheme="minorHAnsi" w:hAnsiTheme="minorHAnsi"/>
          <w:i/>
        </w:rPr>
        <w:t>non-problem/recreational</w:t>
      </w:r>
      <w:r w:rsidR="00087682" w:rsidRPr="00651133">
        <w:rPr>
          <w:rFonts w:asciiTheme="minorHAnsi" w:hAnsiTheme="minorHAnsi"/>
        </w:rPr>
        <w:t xml:space="preserve"> </w:t>
      </w:r>
      <w:r w:rsidR="00087682" w:rsidRPr="00651133">
        <w:rPr>
          <w:rFonts w:asciiTheme="minorHAnsi" w:hAnsiTheme="minorHAnsi"/>
          <w:i/>
        </w:rPr>
        <w:t>gamblers</w:t>
      </w:r>
      <w:r w:rsidR="00087682" w:rsidRPr="00651133">
        <w:rPr>
          <w:rFonts w:asciiTheme="minorHAnsi" w:hAnsiTheme="minorHAnsi"/>
        </w:rPr>
        <w:t xml:space="preserve">: </w:t>
      </w:r>
      <w:r w:rsidR="00103981" w:rsidRPr="00651133">
        <w:rPr>
          <w:rFonts w:asciiTheme="minorHAnsi" w:hAnsiTheme="minorHAnsi"/>
        </w:rPr>
        <w:t>54.7% in 2006/07 and 42.3% in 2011/12</w:t>
      </w:r>
      <w:r w:rsidR="00087682" w:rsidRPr="00651133">
        <w:rPr>
          <w:rFonts w:asciiTheme="minorHAnsi" w:hAnsiTheme="minorHAnsi"/>
        </w:rPr>
        <w:t>;</w:t>
      </w:r>
      <w:r w:rsidR="00173BCF" w:rsidRPr="00651133">
        <w:rPr>
          <w:rFonts w:asciiTheme="minorHAnsi" w:hAnsiTheme="minorHAnsi"/>
        </w:rPr>
        <w:t xml:space="preserve"> and,</w:t>
      </w:r>
    </w:p>
    <w:p w14:paraId="002C3D03" w14:textId="2F4364EA" w:rsidR="00087682" w:rsidRPr="00651133" w:rsidRDefault="00087682" w:rsidP="00651133">
      <w:pPr>
        <w:pStyle w:val="ListParagraph"/>
        <w:numPr>
          <w:ilvl w:val="1"/>
          <w:numId w:val="93"/>
        </w:numPr>
        <w:spacing w:after="200"/>
        <w:rPr>
          <w:rFonts w:asciiTheme="minorHAnsi" w:hAnsiTheme="minorHAnsi"/>
        </w:rPr>
      </w:pPr>
      <w:proofErr w:type="gramStart"/>
      <w:r w:rsidRPr="00651133">
        <w:rPr>
          <w:rFonts w:asciiTheme="minorHAnsi" w:hAnsiTheme="minorHAnsi"/>
          <w:i/>
        </w:rPr>
        <w:t>low-risk</w:t>
      </w:r>
      <w:proofErr w:type="gramEnd"/>
      <w:r w:rsidRPr="00651133">
        <w:rPr>
          <w:rFonts w:asciiTheme="minorHAnsi" w:hAnsiTheme="minorHAnsi"/>
          <w:i/>
        </w:rPr>
        <w:t xml:space="preserve"> gamblers</w:t>
      </w:r>
      <w:r w:rsidRPr="00651133">
        <w:rPr>
          <w:rFonts w:asciiTheme="minorHAnsi" w:hAnsiTheme="minorHAnsi"/>
        </w:rPr>
        <w:t>: 3.7% in 2006/07 and 2.1% in 2011/12</w:t>
      </w:r>
      <w:r w:rsidR="00173BCF" w:rsidRPr="00651133">
        <w:rPr>
          <w:rFonts w:asciiTheme="minorHAnsi" w:hAnsiTheme="minorHAnsi"/>
        </w:rPr>
        <w:t>.</w:t>
      </w:r>
      <w:r w:rsidR="00694D78" w:rsidRPr="00651133">
        <w:rPr>
          <w:rFonts w:asciiTheme="minorHAnsi" w:hAnsiTheme="minorHAnsi"/>
        </w:rPr>
        <w:t xml:space="preserve"> </w:t>
      </w:r>
    </w:p>
    <w:p w14:paraId="0D6AACF9" w14:textId="4518234A" w:rsidR="007672E9" w:rsidRPr="00495220" w:rsidRDefault="00734806" w:rsidP="00495220">
      <w:pPr>
        <w:pStyle w:val="ListParagraph"/>
        <w:numPr>
          <w:ilvl w:val="0"/>
          <w:numId w:val="93"/>
        </w:numPr>
        <w:spacing w:after="200"/>
        <w:rPr>
          <w:rFonts w:asciiTheme="minorHAnsi" w:hAnsiTheme="minorHAnsi"/>
        </w:rPr>
      </w:pPr>
      <w:r>
        <w:rPr>
          <w:rFonts w:asciiTheme="minorHAnsi" w:hAnsiTheme="minorHAnsi"/>
        </w:rPr>
        <w:lastRenderedPageBreak/>
        <w:t xml:space="preserve">The lack of significant changes </w:t>
      </w:r>
      <w:r w:rsidRPr="00173BCF">
        <w:rPr>
          <w:rFonts w:asciiTheme="minorHAnsi" w:hAnsiTheme="minorHAnsi"/>
        </w:rPr>
        <w:t>over time in the</w:t>
      </w:r>
      <w:r>
        <w:rPr>
          <w:rFonts w:asciiTheme="minorHAnsi" w:hAnsiTheme="minorHAnsi"/>
        </w:rPr>
        <w:t xml:space="preserve"> NZHS (from </w:t>
      </w:r>
      <w:r w:rsidRPr="00103981">
        <w:rPr>
          <w:rFonts w:asciiTheme="minorHAnsi" w:hAnsiTheme="minorHAnsi"/>
        </w:rPr>
        <w:t xml:space="preserve">2006/07 to 2011/12) in the prevalence of moderate-risk or problem gambling </w:t>
      </w:r>
      <w:r>
        <w:rPr>
          <w:rFonts w:asciiTheme="minorHAnsi" w:hAnsiTheme="minorHAnsi"/>
        </w:rPr>
        <w:t>is consistent with the National Gambling Study. However, the significant reduction in the proportion of low-risk gamblers (which may have been a consequence of the increased proportion of non-problem/recreational gamblers), contrasts with the National Gambling Study, which found no difference in the proportion of low-risk gamblers over time.</w:t>
      </w:r>
    </w:p>
    <w:p w14:paraId="6FE76F1F" w14:textId="090B3130" w:rsidR="002D0220" w:rsidRPr="00E771FB" w:rsidRDefault="00E771FB" w:rsidP="00E771FB">
      <w:pPr>
        <w:spacing w:line="360" w:lineRule="auto"/>
        <w:rPr>
          <w:rFonts w:asciiTheme="minorHAnsi" w:hAnsiTheme="minorHAnsi" w:cstheme="minorHAnsi"/>
          <w:b/>
          <w:color w:val="1F497D"/>
        </w:rPr>
      </w:pPr>
      <w:r w:rsidRPr="00E771FB">
        <w:rPr>
          <w:rFonts w:asciiTheme="minorHAnsi" w:hAnsiTheme="minorHAnsi" w:cstheme="minorHAnsi"/>
          <w:b/>
          <w:color w:val="1F497D"/>
        </w:rPr>
        <w:t>Conclusions</w:t>
      </w:r>
    </w:p>
    <w:p w14:paraId="1C9EF2FF" w14:textId="4F2B069C" w:rsidR="0064605D" w:rsidRDefault="0064605D" w:rsidP="0064605D">
      <w:pPr>
        <w:rPr>
          <w:rFonts w:asciiTheme="minorHAnsi" w:hAnsiTheme="minorHAnsi" w:cstheme="minorHAnsi"/>
          <w:lang w:val="en-GB"/>
        </w:rPr>
      </w:pPr>
      <w:r>
        <w:rPr>
          <w:rFonts w:asciiTheme="minorHAnsi" w:hAnsiTheme="minorHAnsi"/>
        </w:rPr>
        <w:t>Overall, this research indicates that adult participation in gambling has decreased.  However, problem gambling continues to be a significant public health issue in New Zealand, w</w:t>
      </w:r>
      <w:r w:rsidRPr="00A71586">
        <w:rPr>
          <w:rFonts w:asciiTheme="minorHAnsi" w:hAnsiTheme="minorHAnsi"/>
        </w:rPr>
        <w:t>ith stable proportion</w:t>
      </w:r>
      <w:r w:rsidR="00A71586">
        <w:rPr>
          <w:rFonts w:asciiTheme="minorHAnsi" w:hAnsiTheme="minorHAnsi"/>
        </w:rPr>
        <w:t>s</w:t>
      </w:r>
      <w:r w:rsidRPr="00A71586">
        <w:rPr>
          <w:rFonts w:asciiTheme="minorHAnsi" w:hAnsiTheme="minorHAnsi"/>
        </w:rPr>
        <w:t xml:space="preserve"> of</w:t>
      </w:r>
      <w:r>
        <w:rPr>
          <w:rFonts w:asciiTheme="minorHAnsi" w:hAnsiTheme="minorHAnsi"/>
        </w:rPr>
        <w:t xml:space="preserve"> the population </w:t>
      </w:r>
      <w:r w:rsidR="00A71586">
        <w:rPr>
          <w:rFonts w:asciiTheme="minorHAnsi" w:hAnsiTheme="minorHAnsi"/>
        </w:rPr>
        <w:t xml:space="preserve">gambling at </w:t>
      </w:r>
      <w:r>
        <w:rPr>
          <w:rFonts w:asciiTheme="minorHAnsi" w:hAnsiTheme="minorHAnsi"/>
        </w:rPr>
        <w:t xml:space="preserve">problem </w:t>
      </w:r>
      <w:r w:rsidR="00A71586">
        <w:rPr>
          <w:rFonts w:asciiTheme="minorHAnsi" w:hAnsiTheme="minorHAnsi"/>
        </w:rPr>
        <w:t>and moderate-risk levels</w:t>
      </w:r>
      <w:r>
        <w:rPr>
          <w:rFonts w:asciiTheme="minorHAnsi" w:hAnsiTheme="minorHAnsi"/>
        </w:rPr>
        <w:t xml:space="preserve">.  In total, 1.2% satisfied the criteria for moderate-risk/problem gambling </w:t>
      </w:r>
      <w:r w:rsidR="00F304D5">
        <w:rPr>
          <w:rFonts w:asciiTheme="minorHAnsi" w:hAnsiTheme="minorHAnsi"/>
        </w:rPr>
        <w:t>(1.0% - moderate-risk and 0.2% - problem) and a further 2.0% satisfied the criteria for low-risk gambling</w:t>
      </w:r>
      <w:r>
        <w:rPr>
          <w:rFonts w:asciiTheme="minorHAnsi" w:hAnsiTheme="minorHAnsi"/>
        </w:rPr>
        <w:t xml:space="preserve">; approximately </w:t>
      </w:r>
      <w:r w:rsidR="00FE09ED">
        <w:rPr>
          <w:rFonts w:asciiTheme="minorHAnsi" w:hAnsiTheme="minorHAnsi"/>
        </w:rPr>
        <w:t>112,8</w:t>
      </w:r>
      <w:r>
        <w:rPr>
          <w:rFonts w:asciiTheme="minorHAnsi" w:hAnsiTheme="minorHAnsi"/>
        </w:rPr>
        <w:t>00 New Zealand adults are experiencing negative impacts as a r</w:t>
      </w:r>
      <w:r w:rsidR="00DB3CD5">
        <w:rPr>
          <w:rFonts w:asciiTheme="minorHAnsi" w:hAnsiTheme="minorHAnsi"/>
        </w:rPr>
        <w:t xml:space="preserve">esult of their own gambling.  An additional </w:t>
      </w:r>
      <w:r>
        <w:rPr>
          <w:rFonts w:asciiTheme="minorHAnsi" w:hAnsiTheme="minorHAnsi"/>
        </w:rPr>
        <w:t xml:space="preserve">2.5%, or </w:t>
      </w:r>
      <w:r>
        <w:rPr>
          <w:rFonts w:asciiTheme="minorHAnsi" w:hAnsiTheme="minorHAnsi" w:cstheme="minorHAnsi"/>
          <w:lang w:val="en-GB"/>
        </w:rPr>
        <w:t>approximately</w:t>
      </w:r>
      <w:r w:rsidRPr="00AF3A24">
        <w:rPr>
          <w:rFonts w:asciiTheme="minorHAnsi" w:hAnsiTheme="minorHAnsi" w:cstheme="minorHAnsi"/>
          <w:lang w:val="en-GB"/>
        </w:rPr>
        <w:t xml:space="preserve"> 89,100</w:t>
      </w:r>
      <w:r>
        <w:rPr>
          <w:rFonts w:asciiTheme="minorHAnsi" w:hAnsiTheme="minorHAnsi" w:cstheme="minorHAnsi"/>
          <w:lang w:val="en-GB"/>
        </w:rPr>
        <w:t xml:space="preserve"> adults, had experienced negative impacts due to someone else’s gambling in the past year.  </w:t>
      </w:r>
    </w:p>
    <w:p w14:paraId="18DCE87F" w14:textId="77777777" w:rsidR="0064605D" w:rsidRDefault="0064605D" w:rsidP="0064605D">
      <w:pPr>
        <w:rPr>
          <w:rFonts w:asciiTheme="minorHAnsi" w:hAnsiTheme="minorHAnsi" w:cstheme="minorHAnsi"/>
          <w:lang w:val="en-GB"/>
        </w:rPr>
      </w:pPr>
      <w:r>
        <w:rPr>
          <w:rFonts w:asciiTheme="minorHAnsi" w:hAnsiTheme="minorHAnsi" w:cstheme="minorHAnsi"/>
          <w:lang w:val="en-GB"/>
        </w:rPr>
        <w:t>Problematic gambling was associated with a number of co-existing issues, including hazardous drinking, smoking, drug use, and psychological distress/disorders.  While people experiencing problem gambling were more likely to have accessed healthcare in the past year</w:t>
      </w:r>
      <w:r w:rsidR="00F304D5">
        <w:rPr>
          <w:rFonts w:asciiTheme="minorHAnsi" w:hAnsiTheme="minorHAnsi" w:cstheme="minorHAnsi"/>
          <w:lang w:val="en-GB"/>
        </w:rPr>
        <w:t>,</w:t>
      </w:r>
      <w:r>
        <w:rPr>
          <w:rFonts w:asciiTheme="minorHAnsi" w:hAnsiTheme="minorHAnsi" w:cstheme="minorHAnsi"/>
          <w:lang w:val="en-GB"/>
        </w:rPr>
        <w:t xml:space="preserve"> they were also more likely to say that they had been unable to access such help due to financial difficulties.  These findings have important implications for the delivery of assistance to those with problem gambling issues and support the need for facilitation and strong inter-agency communication and cooperation between those working in the areas of problem gambling, alcohol and drug treatment, and primary-care health services.</w:t>
      </w:r>
    </w:p>
    <w:p w14:paraId="6DD00B07" w14:textId="77777777" w:rsidR="0064605D" w:rsidRDefault="0064605D" w:rsidP="0064605D">
      <w:pPr>
        <w:rPr>
          <w:rFonts w:asciiTheme="minorHAnsi" w:hAnsiTheme="minorHAnsi"/>
        </w:rPr>
      </w:pPr>
      <w:r>
        <w:rPr>
          <w:rFonts w:asciiTheme="minorHAnsi" w:hAnsiTheme="minorHAnsi"/>
        </w:rPr>
        <w:t>This report reiterates that</w:t>
      </w:r>
      <w:r>
        <w:rPr>
          <w:rFonts w:asciiTheme="minorHAnsi" w:hAnsiTheme="minorHAnsi" w:cstheme="minorHAnsi"/>
          <w:lang w:val="en-GB"/>
        </w:rPr>
        <w:t xml:space="preserve"> </w:t>
      </w:r>
      <w:r w:rsidR="00AF1BB1">
        <w:rPr>
          <w:rFonts w:asciiTheme="minorHAnsi" w:hAnsiTheme="minorHAnsi" w:cstheme="minorHAnsi"/>
          <w:lang w:val="en-GB"/>
        </w:rPr>
        <w:t>EGMs</w:t>
      </w:r>
      <w:r>
        <w:rPr>
          <w:rFonts w:asciiTheme="minorHAnsi" w:hAnsiTheme="minorHAnsi" w:cstheme="minorHAnsi"/>
          <w:lang w:val="en-GB"/>
        </w:rPr>
        <w:t xml:space="preserve">, both in and out of casinos, are associated with the most harm from gambling and that </w:t>
      </w:r>
      <w:r>
        <w:rPr>
          <w:rFonts w:asciiTheme="minorHAnsi" w:hAnsiTheme="minorHAnsi"/>
        </w:rPr>
        <w:t>Māori, Pacific people and those living in neighbourhoods with higher levels of deprivation are disproportionately affected by</w:t>
      </w:r>
      <w:r w:rsidRPr="00B6000F">
        <w:rPr>
          <w:rFonts w:asciiTheme="minorHAnsi" w:hAnsiTheme="minorHAnsi"/>
        </w:rPr>
        <w:t xml:space="preserve"> </w:t>
      </w:r>
      <w:r>
        <w:rPr>
          <w:rFonts w:asciiTheme="minorHAnsi" w:hAnsiTheme="minorHAnsi"/>
        </w:rPr>
        <w:t xml:space="preserve">problem gambling.  </w:t>
      </w:r>
    </w:p>
    <w:p w14:paraId="614402E7" w14:textId="77777777" w:rsidR="00697AF0" w:rsidRPr="00BA0A82" w:rsidRDefault="00697AF0" w:rsidP="00697AF0">
      <w:pPr>
        <w:rPr>
          <w:rFonts w:asciiTheme="minorHAnsi" w:hAnsiTheme="minorHAnsi"/>
        </w:rPr>
      </w:pPr>
    </w:p>
    <w:p w14:paraId="09303F66" w14:textId="77777777" w:rsidR="00697AF0" w:rsidRPr="00BA0A82" w:rsidRDefault="00697AF0" w:rsidP="00697AF0">
      <w:pPr>
        <w:rPr>
          <w:rFonts w:asciiTheme="minorHAnsi" w:hAnsiTheme="minorHAnsi"/>
        </w:rPr>
        <w:sectPr w:rsidR="00697AF0" w:rsidRPr="00BA0A82" w:rsidSect="003732B9">
          <w:headerReference w:type="even" r:id="rId11"/>
          <w:headerReference w:type="default" r:id="rId12"/>
          <w:footerReference w:type="default" r:id="rId13"/>
          <w:headerReference w:type="first" r:id="rId14"/>
          <w:pgSz w:w="12240" w:h="15840"/>
          <w:pgMar w:top="1418" w:right="1325" w:bottom="851" w:left="1134" w:header="303" w:footer="339" w:gutter="0"/>
          <w:pgNumType w:fmt="lowerRoman" w:start="1"/>
          <w:cols w:space="720"/>
          <w:docGrid w:linePitch="360"/>
        </w:sectPr>
      </w:pPr>
    </w:p>
    <w:p w14:paraId="1AFCD99D" w14:textId="77777777" w:rsidR="00971FD8" w:rsidRPr="00ED47FE" w:rsidRDefault="00971FD8" w:rsidP="0042130F">
      <w:pPr>
        <w:pStyle w:val="Heading1"/>
        <w:rPr>
          <w:rFonts w:asciiTheme="minorHAnsi" w:hAnsiTheme="minorHAnsi" w:cstheme="minorHAnsi"/>
        </w:rPr>
      </w:pPr>
      <w:bookmarkStart w:id="6" w:name="_Toc403833139"/>
      <w:r w:rsidRPr="00ED47FE">
        <w:rPr>
          <w:rFonts w:asciiTheme="minorHAnsi" w:hAnsiTheme="minorHAnsi" w:cstheme="minorHAnsi"/>
        </w:rPr>
        <w:lastRenderedPageBreak/>
        <w:t>INTRODUCTION &amp; BACKGROUND</w:t>
      </w:r>
      <w:bookmarkEnd w:id="6"/>
    </w:p>
    <w:p w14:paraId="7135204B" w14:textId="355F3641" w:rsidR="00ED47FE" w:rsidRDefault="00BA5EF3" w:rsidP="00ED47FE">
      <w:pPr>
        <w:rPr>
          <w:rFonts w:asciiTheme="minorHAnsi" w:hAnsiTheme="minorHAnsi"/>
        </w:rPr>
      </w:pPr>
      <w:r>
        <w:rPr>
          <w:rFonts w:asciiTheme="minorHAnsi" w:hAnsiTheme="minorHAnsi"/>
        </w:rPr>
        <w:t xml:space="preserve">New Zealand’s Gambling Act 2003 defines gambling as “… </w:t>
      </w:r>
      <w:r w:rsidRPr="00BA5EF3">
        <w:rPr>
          <w:rFonts w:asciiTheme="minorHAnsi" w:hAnsiTheme="minorHAnsi"/>
        </w:rPr>
        <w:t xml:space="preserve">paying or staking consideration, directly or indirectly, on the outcome of something seeking to win money when the outcome depends wholly or partly on chance” </w:t>
      </w:r>
      <w:r w:rsidRPr="00BA5EF3">
        <w:rPr>
          <w:rFonts w:asciiTheme="minorHAnsi" w:hAnsiTheme="minorHAnsi"/>
        </w:rPr>
        <w:fldChar w:fldCharType="begin"/>
      </w:r>
      <w:r w:rsidR="00A34C5E">
        <w:rPr>
          <w:rFonts w:asciiTheme="minorHAnsi" w:hAnsiTheme="minorHAnsi"/>
        </w:rPr>
        <w:instrText xml:space="preserve"> ADDIN EN.CITE &lt;EndNote&gt;&lt;Cite&gt;&lt;Author&gt;Parliamentary Council Office&lt;/Author&gt;&lt;Year&gt;2003&lt;/Year&gt;&lt;RecNum&gt;968&lt;/RecNum&gt;&lt;Suffix&gt;`, Section 4&lt;/Suffix&gt;&lt;DisplayText&gt;(Parliamentary Council Office, 2003, Section 4)&lt;/DisplayText&gt;&lt;record&gt;&lt;rec-number&gt;968&lt;/rec-number&gt;&lt;foreign-keys&gt;&lt;key app="EN" db-id="9pzse05rcvx956etremxfzdh9fzdxvd95rp2"&gt;968&lt;/key&gt;&lt;/foreign-keys&gt;&lt;ref-type name="Report"&gt;27&lt;/ref-type&gt;&lt;contributors&gt;&lt;authors&gt;&lt;author&gt;Parliamentary Council Office,&lt;/author&gt;&lt;/authors&gt;&lt;/contributors&gt;&lt;titles&gt;&lt;title&gt;Gambling Act 2003&lt;/title&gt;&lt;secondary-title&gt;2003 No 51&lt;/secondary-title&gt;&lt;/titles&gt;&lt;dates&gt;&lt;year&gt;2003&lt;/year&gt;&lt;/dates&gt;&lt;pub-location&gt;New Zealand&lt;/pub-location&gt;&lt;publisher&gt;New Zealand Government&lt;/publisher&gt;&lt;urls&gt;&lt;/urls&gt;&lt;custom5&gt;New Zealand Government&lt;/custom5&gt;&lt;/record&gt;&lt;/Cite&gt;&lt;/EndNote&gt;</w:instrText>
      </w:r>
      <w:r w:rsidRPr="00BA5EF3">
        <w:rPr>
          <w:rFonts w:asciiTheme="minorHAnsi" w:hAnsiTheme="minorHAnsi"/>
        </w:rPr>
        <w:fldChar w:fldCharType="separate"/>
      </w:r>
      <w:r w:rsidRPr="00BA5EF3">
        <w:rPr>
          <w:rFonts w:asciiTheme="minorHAnsi" w:hAnsiTheme="minorHAnsi"/>
          <w:noProof/>
        </w:rPr>
        <w:t>(</w:t>
      </w:r>
      <w:hyperlink w:anchor="_ENREF_46" w:tooltip="Parliamentary Council Office, 2003 #968" w:history="1">
        <w:r w:rsidR="00765F46" w:rsidRPr="00BA5EF3">
          <w:rPr>
            <w:rFonts w:asciiTheme="minorHAnsi" w:hAnsiTheme="minorHAnsi"/>
            <w:noProof/>
          </w:rPr>
          <w:t>Parliamentary Council Office, 2003, Section 4</w:t>
        </w:r>
      </w:hyperlink>
      <w:r w:rsidRPr="00BA5EF3">
        <w:rPr>
          <w:rFonts w:asciiTheme="minorHAnsi" w:hAnsiTheme="minorHAnsi"/>
          <w:noProof/>
        </w:rPr>
        <w:t>)</w:t>
      </w:r>
      <w:r w:rsidRPr="00BA5EF3">
        <w:rPr>
          <w:rFonts w:asciiTheme="minorHAnsi" w:hAnsiTheme="minorHAnsi"/>
        </w:rPr>
        <w:fldChar w:fldCharType="end"/>
      </w:r>
      <w:r w:rsidRPr="00BA5EF3">
        <w:rPr>
          <w:rFonts w:asciiTheme="minorHAnsi" w:hAnsiTheme="minorHAnsi"/>
        </w:rPr>
        <w:t>.</w:t>
      </w:r>
      <w:r>
        <w:rPr>
          <w:rFonts w:asciiTheme="minorHAnsi" w:hAnsiTheme="minorHAnsi"/>
        </w:rPr>
        <w:t xml:space="preserve">  </w:t>
      </w:r>
      <w:r w:rsidR="002D48C5">
        <w:rPr>
          <w:rFonts w:asciiTheme="minorHAnsi" w:hAnsiTheme="minorHAnsi"/>
        </w:rPr>
        <w:t xml:space="preserve">Research indicates that the majority of New Zealand adults participate in some form of gambling </w:t>
      </w:r>
      <w:r w:rsidR="00EF6491">
        <w:rPr>
          <w:rFonts w:asciiTheme="minorHAnsi" w:hAnsiTheme="minorHAnsi"/>
        </w:rPr>
        <w:t xml:space="preserve">and that substantial proportions of the population are negatively impacted by their own or someone else’s gambling every year </w:t>
      </w:r>
      <w:r w:rsidR="002D48C5" w:rsidRPr="00F813F3">
        <w:rPr>
          <w:rFonts w:asciiTheme="minorHAnsi" w:hAnsiTheme="minorHAnsi"/>
        </w:rPr>
        <w:fldChar w:fldCharType="begin">
          <w:fldData xml:space="preserve">PEVuZE5vdGU+PENpdGU+PEF1dGhvcj5UdTwvQXV0aG9yPjxZZWFyPjIwMTM8L1llYXI+PFJlY051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PEVuZE5vdGU+PENpdGU+PEF1dGhvcj5UdTwvQXV0aG9yPjxZZWFyPjIwMTM8L1llYXI+PFJlY051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2D48C5" w:rsidRPr="00F813F3">
        <w:rPr>
          <w:rFonts w:asciiTheme="minorHAnsi" w:hAnsiTheme="minorHAnsi"/>
        </w:rPr>
      </w:r>
      <w:r w:rsidR="002D48C5" w:rsidRPr="00F813F3">
        <w:rPr>
          <w:rFonts w:asciiTheme="minorHAnsi" w:hAnsiTheme="minorHAnsi"/>
        </w:rPr>
        <w:fldChar w:fldCharType="separate"/>
      </w:r>
      <w:r w:rsidR="00B87E4B">
        <w:rPr>
          <w:rFonts w:asciiTheme="minorHAnsi" w:hAnsiTheme="minorHAnsi"/>
          <w:noProof/>
        </w:rPr>
        <w:t>(</w:t>
      </w:r>
      <w:hyperlink w:anchor="_ENREF_2" w:tooltip="Abbott, 2014 #917" w:history="1">
        <w:r w:rsidR="00765F46">
          <w:rPr>
            <w:rFonts w:asciiTheme="minorHAnsi" w:hAnsiTheme="minorHAnsi"/>
            <w:noProof/>
          </w:rPr>
          <w:t>Abbott et al., 2014b</w:t>
        </w:r>
      </w:hyperlink>
      <w:r w:rsidR="00B87E4B">
        <w:rPr>
          <w:rFonts w:asciiTheme="minorHAnsi" w:hAnsiTheme="minorHAnsi"/>
          <w:noProof/>
        </w:rPr>
        <w:t xml:space="preserve">; </w:t>
      </w:r>
      <w:hyperlink w:anchor="_ENREF_5" w:tooltip="Abbott, 1991 #937" w:history="1">
        <w:r w:rsidR="00765F46">
          <w:rPr>
            <w:rFonts w:asciiTheme="minorHAnsi" w:hAnsiTheme="minorHAnsi"/>
            <w:noProof/>
          </w:rPr>
          <w:t>Abbott &amp; Volberg, 1991</w:t>
        </w:r>
      </w:hyperlink>
      <w:r w:rsidR="00B87E4B">
        <w:rPr>
          <w:rFonts w:asciiTheme="minorHAnsi" w:hAnsiTheme="minorHAnsi"/>
          <w:noProof/>
        </w:rPr>
        <w:t xml:space="preserve">, </w:t>
      </w:r>
      <w:hyperlink w:anchor="_ENREF_7" w:tooltip="Abbott, 2000 #810" w:history="1">
        <w:r w:rsidR="00765F46">
          <w:rPr>
            <w:rFonts w:asciiTheme="minorHAnsi" w:hAnsiTheme="minorHAnsi"/>
            <w:noProof/>
          </w:rPr>
          <w:t>2000a</w:t>
        </w:r>
      </w:hyperlink>
      <w:r w:rsidR="00B87E4B">
        <w:rPr>
          <w:rFonts w:asciiTheme="minorHAnsi" w:hAnsiTheme="minorHAnsi"/>
          <w:noProof/>
        </w:rPr>
        <w:t xml:space="preserve">; </w:t>
      </w:r>
      <w:hyperlink w:anchor="_ENREF_34" w:tooltip="Ministry of Health, 2006 #31" w:history="1">
        <w:r w:rsidR="00765F46">
          <w:rPr>
            <w:rFonts w:asciiTheme="minorHAnsi" w:hAnsiTheme="minorHAnsi"/>
            <w:noProof/>
          </w:rPr>
          <w:t>Ministry of Health, 2006</w:t>
        </w:r>
      </w:hyperlink>
      <w:r w:rsidR="00B87E4B">
        <w:rPr>
          <w:rFonts w:asciiTheme="minorHAnsi" w:hAnsiTheme="minorHAnsi"/>
          <w:noProof/>
        </w:rPr>
        <w:t xml:space="preserve">, </w:t>
      </w:r>
      <w:hyperlink w:anchor="_ENREF_36" w:tooltip="Ministry of Health, 2009 #33" w:history="1">
        <w:r w:rsidR="00765F46">
          <w:rPr>
            <w:rFonts w:asciiTheme="minorHAnsi" w:hAnsiTheme="minorHAnsi"/>
            <w:noProof/>
          </w:rPr>
          <w:t>2009</w:t>
        </w:r>
      </w:hyperlink>
      <w:r w:rsidR="00B87E4B">
        <w:rPr>
          <w:rFonts w:asciiTheme="minorHAnsi" w:hAnsiTheme="minorHAnsi"/>
          <w:noProof/>
        </w:rPr>
        <w:t xml:space="preserve">; </w:t>
      </w:r>
      <w:hyperlink w:anchor="_ENREF_60" w:tooltip="Tu, 2013 #916" w:history="1">
        <w:r w:rsidR="00765F46">
          <w:rPr>
            <w:rFonts w:asciiTheme="minorHAnsi" w:hAnsiTheme="minorHAnsi"/>
            <w:noProof/>
          </w:rPr>
          <w:t>Tu, 2013</w:t>
        </w:r>
      </w:hyperlink>
      <w:r w:rsidR="00B87E4B">
        <w:rPr>
          <w:rFonts w:asciiTheme="minorHAnsi" w:hAnsiTheme="minorHAnsi"/>
          <w:noProof/>
        </w:rPr>
        <w:t>)</w:t>
      </w:r>
      <w:r w:rsidR="002D48C5" w:rsidRPr="00F813F3">
        <w:rPr>
          <w:rFonts w:asciiTheme="minorHAnsi" w:hAnsiTheme="minorHAnsi"/>
        </w:rPr>
        <w:fldChar w:fldCharType="end"/>
      </w:r>
      <w:r w:rsidR="002D48C5">
        <w:rPr>
          <w:rFonts w:asciiTheme="minorHAnsi" w:hAnsiTheme="minorHAnsi"/>
        </w:rPr>
        <w:t xml:space="preserve">.  </w:t>
      </w:r>
      <w:r w:rsidR="00ED47FE" w:rsidRPr="00EF6491">
        <w:rPr>
          <w:rFonts w:asciiTheme="minorHAnsi" w:hAnsiTheme="minorHAnsi"/>
        </w:rPr>
        <w:t xml:space="preserve">Problem gambling </w:t>
      </w:r>
      <w:r w:rsidR="00ED47FE">
        <w:rPr>
          <w:rFonts w:asciiTheme="minorHAnsi" w:hAnsiTheme="minorHAnsi"/>
        </w:rPr>
        <w:t xml:space="preserve">results in </w:t>
      </w:r>
      <w:r w:rsidR="00ED47FE" w:rsidRPr="00EF6491">
        <w:rPr>
          <w:rFonts w:asciiTheme="minorHAnsi" w:hAnsiTheme="minorHAnsi"/>
        </w:rPr>
        <w:t xml:space="preserve">significant </w:t>
      </w:r>
      <w:r w:rsidR="00ED47FE">
        <w:rPr>
          <w:rFonts w:asciiTheme="minorHAnsi" w:hAnsiTheme="minorHAnsi"/>
        </w:rPr>
        <w:t xml:space="preserve">negative </w:t>
      </w:r>
      <w:r w:rsidR="00ED47FE" w:rsidRPr="00EF6491">
        <w:rPr>
          <w:rFonts w:asciiTheme="minorHAnsi" w:hAnsiTheme="minorHAnsi"/>
        </w:rPr>
        <w:t xml:space="preserve">social, health and economic </w:t>
      </w:r>
      <w:r w:rsidR="00ED47FE">
        <w:rPr>
          <w:rFonts w:asciiTheme="minorHAnsi" w:hAnsiTheme="minorHAnsi"/>
        </w:rPr>
        <w:t>impacts on individuals, families and communities</w:t>
      </w:r>
      <w:r w:rsidR="00DB3407">
        <w:rPr>
          <w:rFonts w:asciiTheme="minorHAnsi" w:hAnsiTheme="minorHAnsi"/>
        </w:rPr>
        <w:t>. T</w:t>
      </w:r>
      <w:r w:rsidR="00ED47FE" w:rsidRPr="00ED47FE">
        <w:rPr>
          <w:rFonts w:asciiTheme="minorHAnsi" w:hAnsiTheme="minorHAnsi"/>
        </w:rPr>
        <w:t>he Gambling Act 2003 requires a public health focus to be taken in addressing gambling harm</w:t>
      </w:r>
      <w:r w:rsidR="006442CA">
        <w:rPr>
          <w:rFonts w:asciiTheme="minorHAnsi" w:hAnsiTheme="minorHAnsi"/>
        </w:rPr>
        <w:t xml:space="preserve"> in New Zealand</w:t>
      </w:r>
      <w:r w:rsidR="00ED47FE">
        <w:rPr>
          <w:rFonts w:asciiTheme="minorHAnsi" w:hAnsiTheme="minorHAnsi"/>
        </w:rPr>
        <w:t xml:space="preserve"> </w:t>
      </w:r>
      <w:r w:rsidR="00ED47FE">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Health&lt;/Author&gt;&lt;Year&gt;2010&lt;/Year&gt;&lt;RecNum&gt;947&lt;/RecNum&gt;&lt;DisplayText&gt;(Ministry of Health, 2010a)&lt;/DisplayText&gt;&lt;record&gt;&lt;rec-number&gt;947&lt;/rec-number&gt;&lt;foreign-keys&gt;&lt;key app="EN" db-id="9pzse05rcvx956etremxfzdh9fzdxvd95rp2"&gt;947&lt;/key&gt;&lt;/foreign-keys&gt;&lt;ref-type name="Report"&gt;27&lt;/ref-type&gt;&lt;contributors&gt;&lt;authors&gt;&lt;author&gt;Ministry of Health,&lt;/author&gt;&lt;/authors&gt;&lt;/contributors&gt;&lt;titles&gt;&lt;title&gt;Preventing and Minimising Gambling Harm: Six-year strategic plan 2010/11-2015/16&lt;/title&gt;&lt;/titles&gt;&lt;dates&gt;&lt;year&gt;2010&lt;/year&gt;&lt;/dates&gt;&lt;pub-location&gt;Wellington&lt;/pub-location&gt;&lt;publisher&gt;Ministry of Health&lt;/publisher&gt;&lt;urls&gt;&lt;/urls&gt;&lt;/record&gt;&lt;/Cite&gt;&lt;/EndNote&gt;</w:instrText>
      </w:r>
      <w:r w:rsidR="00ED47FE">
        <w:rPr>
          <w:rFonts w:asciiTheme="minorHAnsi" w:hAnsiTheme="minorHAnsi"/>
        </w:rPr>
        <w:fldChar w:fldCharType="separate"/>
      </w:r>
      <w:r w:rsidR="00ED47FE">
        <w:rPr>
          <w:rFonts w:asciiTheme="minorHAnsi" w:hAnsiTheme="minorHAnsi"/>
          <w:noProof/>
        </w:rPr>
        <w:t>(</w:t>
      </w:r>
      <w:hyperlink w:anchor="_ENREF_37" w:tooltip="Ministry of Health, 2010 #947" w:history="1">
        <w:r w:rsidR="00765F46">
          <w:rPr>
            <w:rFonts w:asciiTheme="minorHAnsi" w:hAnsiTheme="minorHAnsi"/>
            <w:noProof/>
          </w:rPr>
          <w:t>Ministry of Health, 2010a</w:t>
        </w:r>
      </w:hyperlink>
      <w:r w:rsidR="00ED47FE">
        <w:rPr>
          <w:rFonts w:asciiTheme="minorHAnsi" w:hAnsiTheme="minorHAnsi"/>
          <w:noProof/>
        </w:rPr>
        <w:t>)</w:t>
      </w:r>
      <w:r w:rsidR="00ED47FE">
        <w:rPr>
          <w:rFonts w:asciiTheme="minorHAnsi" w:hAnsiTheme="minorHAnsi"/>
        </w:rPr>
        <w:fldChar w:fldCharType="end"/>
      </w:r>
      <w:r w:rsidR="00ED47FE" w:rsidRPr="00ED47FE">
        <w:rPr>
          <w:rFonts w:asciiTheme="minorHAnsi" w:hAnsiTheme="minorHAnsi"/>
        </w:rPr>
        <w:t>.</w:t>
      </w:r>
    </w:p>
    <w:p w14:paraId="1E24C94C" w14:textId="77777777" w:rsidR="00704088" w:rsidRDefault="00704088" w:rsidP="00704088">
      <w:pPr>
        <w:rPr>
          <w:rFonts w:asciiTheme="minorHAnsi" w:hAnsiTheme="minorHAnsi"/>
        </w:rPr>
      </w:pPr>
      <w:r>
        <w:rPr>
          <w:rFonts w:asciiTheme="minorHAnsi" w:hAnsiTheme="minorHAnsi"/>
        </w:rPr>
        <w:t>This report presents results from an in-depth quantitative analysis of gambling and problem gambling data from the 2011/12 New Zealand Health Survey</w:t>
      </w:r>
      <w:r w:rsidR="0011649F">
        <w:rPr>
          <w:rFonts w:asciiTheme="minorHAnsi" w:hAnsiTheme="minorHAnsi"/>
        </w:rPr>
        <w:t xml:space="preserve"> (NZHS)</w:t>
      </w:r>
      <w:r>
        <w:rPr>
          <w:rFonts w:asciiTheme="minorHAnsi" w:hAnsiTheme="minorHAnsi"/>
        </w:rPr>
        <w:t xml:space="preserve">.  The 2011/12 </w:t>
      </w:r>
      <w:r w:rsidR="0011649F">
        <w:rPr>
          <w:rFonts w:asciiTheme="minorHAnsi" w:hAnsiTheme="minorHAnsi"/>
        </w:rPr>
        <w:t>NZHS</w:t>
      </w:r>
      <w:r>
        <w:rPr>
          <w:rFonts w:asciiTheme="minorHAnsi" w:hAnsiTheme="minorHAnsi"/>
        </w:rPr>
        <w:t xml:space="preserve"> gathered data through face-to-face interviews with more than 12,000 randomly selected adults </w:t>
      </w:r>
      <w:r w:rsidR="00AE6730">
        <w:rPr>
          <w:rFonts w:asciiTheme="minorHAnsi" w:hAnsiTheme="minorHAnsi"/>
        </w:rPr>
        <w:t>(</w:t>
      </w:r>
      <w:r>
        <w:rPr>
          <w:rFonts w:asciiTheme="minorHAnsi" w:hAnsiTheme="minorHAnsi"/>
        </w:rPr>
        <w:t>aged 15 years and over</w:t>
      </w:r>
      <w:r w:rsidR="00AE6730">
        <w:rPr>
          <w:rFonts w:asciiTheme="minorHAnsi" w:hAnsiTheme="minorHAnsi"/>
        </w:rPr>
        <w:t>)</w:t>
      </w:r>
      <w:r>
        <w:rPr>
          <w:rFonts w:asciiTheme="minorHAnsi" w:hAnsiTheme="minorHAnsi"/>
        </w:rPr>
        <w:t xml:space="preserve"> throughout New Zealand.  </w:t>
      </w:r>
      <w:r w:rsidR="00AE6730">
        <w:rPr>
          <w:rFonts w:asciiTheme="minorHAnsi" w:hAnsiTheme="minorHAnsi"/>
        </w:rPr>
        <w:t xml:space="preserve">This survey </w:t>
      </w:r>
      <w:r>
        <w:rPr>
          <w:rFonts w:asciiTheme="minorHAnsi" w:hAnsiTheme="minorHAnsi"/>
        </w:rPr>
        <w:t>is a valuable source of information about health behaviours, lifestyles, health status, and access to healthcare.  Questions on gambling and problem gambling have been included in the last three New Zealand Health Surveys - 2002/03, 2006/07 and 2011/12.</w:t>
      </w:r>
    </w:p>
    <w:p w14:paraId="044B1964" w14:textId="77777777" w:rsidR="00704088" w:rsidRPr="00F813F3" w:rsidRDefault="00704088" w:rsidP="00704088">
      <w:pPr>
        <w:rPr>
          <w:rFonts w:asciiTheme="minorHAnsi" w:hAnsiTheme="minorHAnsi"/>
        </w:rPr>
      </w:pPr>
      <w:r>
        <w:rPr>
          <w:rFonts w:asciiTheme="minorHAnsi" w:hAnsiTheme="minorHAnsi"/>
        </w:rPr>
        <w:t xml:space="preserve">The overall aim of this </w:t>
      </w:r>
      <w:r w:rsidR="005079CF">
        <w:rPr>
          <w:rFonts w:asciiTheme="minorHAnsi" w:hAnsiTheme="minorHAnsi"/>
        </w:rPr>
        <w:t>study wa</w:t>
      </w:r>
      <w:r>
        <w:rPr>
          <w:rFonts w:asciiTheme="minorHAnsi" w:hAnsiTheme="minorHAnsi"/>
        </w:rPr>
        <w:t xml:space="preserve">s to </w:t>
      </w:r>
      <w:r w:rsidRPr="00F813F3">
        <w:rPr>
          <w:rFonts w:asciiTheme="minorHAnsi" w:hAnsiTheme="minorHAnsi"/>
        </w:rPr>
        <w:t>provide a comprehensive and detailed analysis of the full gambling and probl</w:t>
      </w:r>
      <w:r w:rsidR="00AE6730">
        <w:rPr>
          <w:rFonts w:asciiTheme="minorHAnsi" w:hAnsiTheme="minorHAnsi"/>
        </w:rPr>
        <w:t>em gambling data</w:t>
      </w:r>
      <w:r w:rsidRPr="00F813F3">
        <w:rPr>
          <w:rFonts w:asciiTheme="minorHAnsi" w:hAnsiTheme="minorHAnsi"/>
        </w:rPr>
        <w:t xml:space="preserve">set collected in the 2011/2012 </w:t>
      </w:r>
      <w:r w:rsidR="0011649F">
        <w:rPr>
          <w:rFonts w:asciiTheme="minorHAnsi" w:hAnsiTheme="minorHAnsi"/>
        </w:rPr>
        <w:t>NZHS</w:t>
      </w:r>
      <w:r w:rsidRPr="00F813F3">
        <w:rPr>
          <w:rFonts w:asciiTheme="minorHAnsi" w:hAnsiTheme="minorHAnsi"/>
        </w:rPr>
        <w:t>.  Specifically, th</w:t>
      </w:r>
      <w:r w:rsidR="00AE6730">
        <w:rPr>
          <w:rFonts w:asciiTheme="minorHAnsi" w:hAnsiTheme="minorHAnsi"/>
        </w:rPr>
        <w:t>is report</w:t>
      </w:r>
      <w:r w:rsidRPr="00F813F3">
        <w:rPr>
          <w:rFonts w:asciiTheme="minorHAnsi" w:hAnsiTheme="minorHAnsi"/>
        </w:rPr>
        <w:t>:</w:t>
      </w:r>
    </w:p>
    <w:p w14:paraId="5019CE52" w14:textId="77777777" w:rsidR="00704088" w:rsidRPr="00F813F3" w:rsidRDefault="00704088" w:rsidP="004F129A">
      <w:pPr>
        <w:pStyle w:val="ListParagraph"/>
        <w:numPr>
          <w:ilvl w:val="0"/>
          <w:numId w:val="94"/>
        </w:numPr>
        <w:rPr>
          <w:rFonts w:asciiTheme="minorHAnsi" w:hAnsiTheme="minorHAnsi"/>
        </w:rPr>
      </w:pPr>
      <w:r w:rsidRPr="00F813F3">
        <w:rPr>
          <w:rFonts w:asciiTheme="minorHAnsi" w:hAnsiTheme="minorHAnsi"/>
        </w:rPr>
        <w:t>Provide</w:t>
      </w:r>
      <w:r w:rsidR="006D1861">
        <w:rPr>
          <w:rFonts w:asciiTheme="minorHAnsi" w:hAnsiTheme="minorHAnsi"/>
        </w:rPr>
        <w:t>s</w:t>
      </w:r>
      <w:r w:rsidRPr="00F813F3">
        <w:rPr>
          <w:rFonts w:asciiTheme="minorHAnsi" w:hAnsiTheme="minorHAnsi"/>
        </w:rPr>
        <w:t xml:space="preserve"> population based estimates of gambling and problem gambling behaviours in relation to individuals’ (adults aged 15 years or older) own gambling behaviour and the gambling behaviour of others (i.e. people affected by </w:t>
      </w:r>
      <w:r w:rsidR="00AE6730">
        <w:rPr>
          <w:rFonts w:asciiTheme="minorHAnsi" w:hAnsiTheme="minorHAnsi"/>
        </w:rPr>
        <w:t>someone else’s</w:t>
      </w:r>
      <w:r w:rsidRPr="00F813F3">
        <w:rPr>
          <w:rFonts w:asciiTheme="minorHAnsi" w:hAnsiTheme="minorHAnsi"/>
        </w:rPr>
        <w:t xml:space="preserve"> gambling).</w:t>
      </w:r>
    </w:p>
    <w:p w14:paraId="090CF416" w14:textId="77777777" w:rsidR="00704088" w:rsidRPr="00F813F3" w:rsidRDefault="00704088" w:rsidP="004F129A">
      <w:pPr>
        <w:pStyle w:val="ListParagraph"/>
        <w:numPr>
          <w:ilvl w:val="0"/>
          <w:numId w:val="94"/>
        </w:numPr>
        <w:rPr>
          <w:rFonts w:asciiTheme="minorHAnsi" w:hAnsiTheme="minorHAnsi"/>
        </w:rPr>
      </w:pPr>
      <w:r w:rsidRPr="00F813F3">
        <w:rPr>
          <w:rFonts w:asciiTheme="minorHAnsi" w:hAnsiTheme="minorHAnsi"/>
        </w:rPr>
        <w:t>Examine</w:t>
      </w:r>
      <w:r w:rsidR="006D1861">
        <w:rPr>
          <w:rFonts w:asciiTheme="minorHAnsi" w:hAnsiTheme="minorHAnsi"/>
        </w:rPr>
        <w:t>s</w:t>
      </w:r>
      <w:r w:rsidRPr="00F813F3">
        <w:rPr>
          <w:rFonts w:asciiTheme="minorHAnsi" w:hAnsiTheme="minorHAnsi"/>
        </w:rPr>
        <w:t xml:space="preserve"> similarities and disparities in gambling and problem gambling behaviours according to major socio-demographic variables: age, </w:t>
      </w:r>
      <w:r w:rsidR="00DB3407">
        <w:rPr>
          <w:rFonts w:asciiTheme="minorHAnsi" w:hAnsiTheme="minorHAnsi"/>
        </w:rPr>
        <w:t>gender</w:t>
      </w:r>
      <w:r w:rsidRPr="00F813F3">
        <w:rPr>
          <w:rFonts w:asciiTheme="minorHAnsi" w:hAnsiTheme="minorHAnsi"/>
        </w:rPr>
        <w:t xml:space="preserve">, ethnicity, socio-economic status/deprivation, education, employment status and income. </w:t>
      </w:r>
    </w:p>
    <w:p w14:paraId="50FCB0BB" w14:textId="77777777" w:rsidR="00704088" w:rsidRPr="00F813F3" w:rsidRDefault="00704088" w:rsidP="004F129A">
      <w:pPr>
        <w:pStyle w:val="ListParagraph"/>
        <w:numPr>
          <w:ilvl w:val="0"/>
          <w:numId w:val="94"/>
        </w:numPr>
        <w:rPr>
          <w:rFonts w:asciiTheme="minorHAnsi" w:hAnsiTheme="minorHAnsi"/>
        </w:rPr>
      </w:pPr>
      <w:r w:rsidRPr="00F813F3">
        <w:rPr>
          <w:rFonts w:asciiTheme="minorHAnsi" w:hAnsiTheme="minorHAnsi"/>
        </w:rPr>
        <w:lastRenderedPageBreak/>
        <w:t>Explore</w:t>
      </w:r>
      <w:r w:rsidR="006D1861">
        <w:rPr>
          <w:rFonts w:asciiTheme="minorHAnsi" w:hAnsiTheme="minorHAnsi"/>
        </w:rPr>
        <w:t>s</w:t>
      </w:r>
      <w:r w:rsidRPr="00F813F3">
        <w:rPr>
          <w:rFonts w:asciiTheme="minorHAnsi" w:hAnsiTheme="minorHAnsi"/>
        </w:rPr>
        <w:t xml:space="preserve"> associations between gambling and problem gambling behaviours and potential risk/resiliency factors, including: socio-demographic factors; use of alcohol, tobacco and other drugs; level of functioning; long-term mental health conditions (depression, manic depression, anxiety)</w:t>
      </w:r>
      <w:r w:rsidR="00DB3407">
        <w:rPr>
          <w:rFonts w:asciiTheme="minorHAnsi" w:hAnsiTheme="minorHAnsi"/>
        </w:rPr>
        <w:t>,</w:t>
      </w:r>
      <w:r w:rsidR="00AE6730" w:rsidRPr="00AE6730">
        <w:rPr>
          <w:rFonts w:asciiTheme="minorHAnsi" w:hAnsiTheme="minorHAnsi"/>
        </w:rPr>
        <w:t xml:space="preserve"> </w:t>
      </w:r>
      <w:r w:rsidR="00AE6730" w:rsidRPr="00F813F3">
        <w:rPr>
          <w:rFonts w:asciiTheme="minorHAnsi" w:hAnsiTheme="minorHAnsi"/>
        </w:rPr>
        <w:t>and</w:t>
      </w:r>
      <w:r w:rsidR="00AE6730">
        <w:rPr>
          <w:rFonts w:asciiTheme="minorHAnsi" w:hAnsiTheme="minorHAnsi"/>
        </w:rPr>
        <w:t xml:space="preserve"> use of health services</w:t>
      </w:r>
      <w:r>
        <w:rPr>
          <w:rFonts w:asciiTheme="minorHAnsi" w:hAnsiTheme="minorHAnsi"/>
        </w:rPr>
        <w:t>.</w:t>
      </w:r>
    </w:p>
    <w:p w14:paraId="0914CD61" w14:textId="77777777" w:rsidR="00704088" w:rsidRDefault="00704088" w:rsidP="004F129A">
      <w:pPr>
        <w:pStyle w:val="ListParagraph"/>
        <w:numPr>
          <w:ilvl w:val="0"/>
          <w:numId w:val="94"/>
        </w:numPr>
        <w:rPr>
          <w:rFonts w:asciiTheme="minorHAnsi" w:hAnsiTheme="minorHAnsi"/>
        </w:rPr>
      </w:pPr>
      <w:r w:rsidRPr="00F813F3">
        <w:rPr>
          <w:rFonts w:asciiTheme="minorHAnsi" w:hAnsiTheme="minorHAnsi"/>
        </w:rPr>
        <w:t>Examine</w:t>
      </w:r>
      <w:r w:rsidR="006D1861">
        <w:rPr>
          <w:rFonts w:asciiTheme="minorHAnsi" w:hAnsiTheme="minorHAnsi"/>
        </w:rPr>
        <w:t>s</w:t>
      </w:r>
      <w:r w:rsidRPr="00F813F3">
        <w:rPr>
          <w:rFonts w:asciiTheme="minorHAnsi" w:hAnsiTheme="minorHAnsi"/>
        </w:rPr>
        <w:t xml:space="preserve"> trends over time for gambling and problem gambling data where permissible (i.e. time series analysis of NZHS data from 2002/03, 2006/07 and 2011/12). </w:t>
      </w:r>
    </w:p>
    <w:p w14:paraId="7E17B4BD" w14:textId="0FD1654B" w:rsidR="00B87E4B" w:rsidRDefault="00B87E4B" w:rsidP="00B87E4B">
      <w:pPr>
        <w:rPr>
          <w:rFonts w:asciiTheme="minorHAnsi" w:hAnsiTheme="minorHAnsi"/>
        </w:rPr>
      </w:pPr>
      <w:r>
        <w:rPr>
          <w:rFonts w:asciiTheme="minorHAnsi" w:hAnsiTheme="minorHAnsi"/>
        </w:rPr>
        <w:t xml:space="preserve">This research also aimed to compare and contrast findings with those of the National Gambling Study </w:t>
      </w:r>
      <w:r>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2014a,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Technology&lt;/publisher&gt;&lt;urls&gt;&lt;/urls&gt;&lt;/record&gt;&lt;/Cite&gt;&lt;Cite&gt;&lt;Author&gt;Abbott&lt;/Author&gt;&lt;Year&gt;2014&lt;/Year&gt;&lt;RecNum&gt;921&lt;/RecNum&gt;&lt;record&gt;&lt;rec-number&gt;921&lt;/rec-number&gt;&lt;foreign-keys&gt;&lt;key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Pr>
          <w:rFonts w:asciiTheme="minorHAnsi" w:hAnsiTheme="minorHAnsi"/>
        </w:rPr>
        <w:fldChar w:fldCharType="separate"/>
      </w:r>
      <w:r>
        <w:rPr>
          <w:rFonts w:asciiTheme="minorHAnsi" w:hAnsiTheme="minorHAnsi"/>
          <w:noProof/>
        </w:rPr>
        <w:t>(</w:t>
      </w:r>
      <w:hyperlink w:anchor="_ENREF_1" w:tooltip="Abbott, 2014 #921" w:history="1">
        <w:r w:rsidR="00765F46">
          <w:rPr>
            <w:rFonts w:asciiTheme="minorHAnsi" w:hAnsiTheme="minorHAnsi"/>
            <w:noProof/>
          </w:rPr>
          <w:t>Abbott et al., 2014a</w:t>
        </w:r>
      </w:hyperlink>
      <w:r>
        <w:rPr>
          <w:rFonts w:asciiTheme="minorHAnsi" w:hAnsiTheme="minorHAnsi"/>
          <w:noProof/>
        </w:rPr>
        <w:t xml:space="preserve">, </w:t>
      </w:r>
      <w:hyperlink w:anchor="_ENREF_2" w:tooltip="Abbott, 2014 #917" w:history="1">
        <w:r w:rsidR="00765F46">
          <w:rPr>
            <w:rFonts w:asciiTheme="minorHAnsi" w:hAnsiTheme="minorHAnsi"/>
            <w:noProof/>
          </w:rPr>
          <w:t>2014b</w:t>
        </w:r>
      </w:hyperlink>
      <w:r>
        <w:rPr>
          <w:rFonts w:asciiTheme="minorHAnsi" w:hAnsiTheme="minorHAnsi"/>
          <w:noProof/>
        </w:rPr>
        <w:t>)</w:t>
      </w:r>
      <w:r>
        <w:rPr>
          <w:rFonts w:asciiTheme="minorHAnsi" w:hAnsiTheme="minorHAnsi"/>
        </w:rPr>
        <w:fldChar w:fldCharType="end"/>
      </w:r>
      <w:r>
        <w:rPr>
          <w:rFonts w:asciiTheme="minorHAnsi" w:hAnsiTheme="minorHAnsi"/>
        </w:rPr>
        <w:t xml:space="preserve"> and earlier waves of the New Zealand Health Survey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 2009)&lt;/DisplayText&gt;&lt;record&gt;&lt;rec-number&gt;31&lt;/rec-number&gt;&lt;foreign-keys&gt;&lt;key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Health&lt;/publisher&gt;&lt;urls&gt;&lt;/urls&gt;&lt;/record&gt;&lt;/Cite&gt;&lt;Cite&gt;&lt;Author&gt;Ministry of Health&lt;/Author&gt;&lt;Year&gt;2009&lt;/Year&gt;&lt;RecNum&gt;33&lt;/RecNum&gt;&lt;record&gt;&lt;rec-number&gt;33&lt;/rec-number&gt;&lt;foreign-keys&gt;&lt;key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34" w:tooltip="Ministry of Health, 2006 #31" w:history="1">
        <w:r w:rsidR="00765F46">
          <w:rPr>
            <w:rFonts w:asciiTheme="minorHAnsi" w:hAnsiTheme="minorHAnsi"/>
            <w:noProof/>
          </w:rPr>
          <w:t>Ministry of Health, 2006</w:t>
        </w:r>
      </w:hyperlink>
      <w:r>
        <w:rPr>
          <w:rFonts w:asciiTheme="minorHAnsi" w:hAnsiTheme="minorHAnsi"/>
          <w:noProof/>
        </w:rPr>
        <w:t xml:space="preserve">, </w:t>
      </w:r>
      <w:hyperlink w:anchor="_ENREF_36" w:tooltip="Ministry of Health, 2009 #33" w:history="1">
        <w:r w:rsidR="00765F46">
          <w:rPr>
            <w:rFonts w:asciiTheme="minorHAnsi" w:hAnsiTheme="minorHAnsi"/>
            <w:noProof/>
          </w:rPr>
          <w:t>2009</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p>
    <w:p w14:paraId="6E7DA0D5" w14:textId="77777777" w:rsidR="00AF2FB0" w:rsidRDefault="00775B62" w:rsidP="001B3BDB">
      <w:pPr>
        <w:rPr>
          <w:rFonts w:asciiTheme="minorHAnsi" w:hAnsiTheme="minorHAnsi"/>
        </w:rPr>
      </w:pPr>
      <w:r>
        <w:rPr>
          <w:rFonts w:asciiTheme="minorHAnsi" w:hAnsiTheme="minorHAnsi"/>
        </w:rPr>
        <w:t>The following section provides an overview of gambling in New Zealand, including the availability of gambling activities, adult participation in gambling, estimates of problem gambling and help-seeking for gambling related issues.</w:t>
      </w:r>
      <w:r w:rsidR="00217387">
        <w:rPr>
          <w:rFonts w:asciiTheme="minorHAnsi" w:hAnsiTheme="minorHAnsi"/>
        </w:rPr>
        <w:t xml:space="preserve">  </w:t>
      </w:r>
    </w:p>
    <w:p w14:paraId="01928D7D" w14:textId="77777777" w:rsidR="00161C13" w:rsidRPr="001B3BDB" w:rsidRDefault="00161C13" w:rsidP="004F129A">
      <w:pPr>
        <w:pStyle w:val="Heading2"/>
        <w:numPr>
          <w:ilvl w:val="1"/>
          <w:numId w:val="77"/>
        </w:numPr>
      </w:pPr>
      <w:bookmarkStart w:id="7" w:name="_Toc403833140"/>
      <w:r w:rsidRPr="001B3BDB">
        <w:t>Availability of gambling in New Zealand</w:t>
      </w:r>
      <w:bookmarkEnd w:id="7"/>
    </w:p>
    <w:p w14:paraId="6E4AA410" w14:textId="21686249" w:rsidR="00F54C8C" w:rsidRDefault="002F593D" w:rsidP="002D7F26">
      <w:pPr>
        <w:pStyle w:val="BodyText"/>
        <w:spacing w:line="480" w:lineRule="auto"/>
      </w:pPr>
      <w:r>
        <w:t xml:space="preserve">As in most westernised countries, New Zealand has seen a rapid expansion of gambling in the past few decades.  Gambling is now widely available, with popular </w:t>
      </w:r>
      <w:r w:rsidR="00607CB4">
        <w:t xml:space="preserve">legalised </w:t>
      </w:r>
      <w:r>
        <w:t xml:space="preserve">activities including state-run lotteries (Lotto, Instant Kiwi, Daily Keno, Big Wednesday, Play3, </w:t>
      </w:r>
      <w:proofErr w:type="spellStart"/>
      <w:r>
        <w:t>Bullseye</w:t>
      </w:r>
      <w:proofErr w:type="spellEnd"/>
      <w:r>
        <w:t xml:space="preserve">), track and sports betting (through the </w:t>
      </w:r>
      <w:proofErr w:type="spellStart"/>
      <w:r>
        <w:t>Totalisator</w:t>
      </w:r>
      <w:proofErr w:type="spellEnd"/>
      <w:r>
        <w:t xml:space="preserve"> Agency Board - TAB), and housie (bingo).  New Zealand also has six casinos, the maximum number permitted under the Gambling Act 2003, which are located in Auckland, Hamilton, Dunedin, Christchurch and Queenstown.  </w:t>
      </w:r>
      <w:r w:rsidR="00F73B7D">
        <w:t>However, electronic gaming machines (EGMs) are t</w:t>
      </w:r>
      <w:r>
        <w:t xml:space="preserve">he </w:t>
      </w:r>
      <w:r w:rsidR="00F73B7D">
        <w:t>mode of gambling</w:t>
      </w:r>
      <w:r>
        <w:t xml:space="preserve"> that under</w:t>
      </w:r>
      <w:r w:rsidR="00412E93">
        <w:t>went significant</w:t>
      </w:r>
      <w:r>
        <w:t xml:space="preserve"> growth in the </w:t>
      </w:r>
      <w:r w:rsidR="00412E93">
        <w:t>ten years prior to the Gambling Act 2003 being enacted</w:t>
      </w:r>
      <w:r w:rsidR="00F73B7D">
        <w:t xml:space="preserve">.  Chartered clubs, Returned Service Associations, sports clubs, and hotels were legally allowed to operate EGMs from 1988 onwards </w:t>
      </w:r>
      <w:r w:rsidR="00F73B7D">
        <w:fldChar w:fldCharType="begin"/>
      </w:r>
      <w:r w:rsidR="00A34C5E">
        <w:instrText xml:space="preserve"> ADDIN EN.CITE &lt;EndNote&gt;&lt;Cite&gt;&lt;Author&gt;Phillips&lt;/Author&gt;&lt;Year&gt;2006&lt;/Year&gt;&lt;RecNum&gt;942&lt;/RecNum&gt;&lt;DisplayText&gt;(Phillips, 2006)&lt;/DisplayText&gt;&lt;record&gt;&lt;rec-number&gt;942&lt;/rec-number&gt;&lt;foreign-keys&gt;&lt;key app="EN" db-id="9pzse05rcvx956etremxfzdh9fzdxvd95rp2"&gt;942&lt;/key&gt;&lt;/foreign-keys&gt;&lt;ref-type name="Web Page"&gt;12&lt;/ref-type&gt;&lt;contributors&gt;&lt;authors&gt;&lt;author&gt;Phillips, J.&lt;/author&gt;&lt;/authors&gt;&lt;/contributors&gt;&lt;titles&gt;&lt;title&gt;Sports and leisure&lt;/title&gt;&lt;/titles&gt;&lt;volume&gt;2006&lt;/volume&gt;&lt;number&gt;26 October&lt;/number&gt;&lt;dates&gt;&lt;year&gt;2006&lt;/year&gt;&lt;/dates&gt;&lt;urls&gt;&lt;related-urls&gt;&lt;url&gt;http://www.TeAra.govt.nz/NewZealandInBrief/SportsAndLeisure/2/en&lt;/url&gt;&lt;/related-urls&gt;&lt;/urls&gt;&lt;/record&gt;&lt;/Cite&gt;&lt;/EndNote&gt;</w:instrText>
      </w:r>
      <w:r w:rsidR="00F73B7D">
        <w:fldChar w:fldCharType="separate"/>
      </w:r>
      <w:r w:rsidR="00F73B7D">
        <w:rPr>
          <w:noProof/>
        </w:rPr>
        <w:t>(</w:t>
      </w:r>
      <w:hyperlink w:anchor="_ENREF_48" w:tooltip="Phillips, 2006 #942" w:history="1">
        <w:r w:rsidR="00765F46">
          <w:rPr>
            <w:noProof/>
          </w:rPr>
          <w:t>Phillips, 2006</w:t>
        </w:r>
      </w:hyperlink>
      <w:r w:rsidR="00F73B7D">
        <w:rPr>
          <w:noProof/>
        </w:rPr>
        <w:t>)</w:t>
      </w:r>
      <w:r w:rsidR="00F73B7D">
        <w:fldChar w:fldCharType="end"/>
      </w:r>
      <w:r w:rsidR="00F73B7D">
        <w:t xml:space="preserve"> and in 1990 the Casino Control Act allowed for the introduction of casinos with EGMs and table games. </w:t>
      </w:r>
      <w:r w:rsidR="00915B75">
        <w:t xml:space="preserve"> </w:t>
      </w:r>
      <w:r w:rsidR="000D571D">
        <w:t>Figure 1</w:t>
      </w:r>
      <w:r w:rsidR="00C355CD">
        <w:t xml:space="preserve"> </w:t>
      </w:r>
      <w:r w:rsidR="00266B3D">
        <w:t xml:space="preserve">illustrates the numbers of EGMs in New Zealand from June 1994 to </w:t>
      </w:r>
      <w:r w:rsidR="002846E2">
        <w:t>September 2014 and shows that</w:t>
      </w:r>
      <w:r w:rsidR="00266B3D">
        <w:t xml:space="preserve"> </w:t>
      </w:r>
      <w:r w:rsidR="002846E2">
        <w:t>EGM numbers peaked in 2003</w:t>
      </w:r>
      <w:r w:rsidR="00915B75">
        <w:t>,</w:t>
      </w:r>
      <w:r w:rsidR="002846E2">
        <w:t xml:space="preserve"> with 25,221 EGMs operating throughout New Zealand </w:t>
      </w:r>
      <w:r w:rsidR="00915B75">
        <w:t xml:space="preserve">at that time </w:t>
      </w:r>
      <w:r w:rsidR="002846E2">
        <w:lastRenderedPageBreak/>
        <w:fldChar w:fldCharType="begin"/>
      </w:r>
      <w:r w:rsidR="00A34C5E">
        <w:instrText xml:space="preserve"> ADDIN EN.CITE &lt;EndNote&gt;&lt;Cite&gt;&lt;Author&gt;Department of Internal Affairs&lt;/Author&gt;&lt;Year&gt;2014&lt;/Year&gt;&lt;RecNum&gt;941&lt;/RecNum&gt;&lt;DisplayText&gt;(Department of Internal Affairs, 2014b)&lt;/DisplayText&gt;&lt;record&gt;&lt;rec-number&gt;941&lt;/rec-number&gt;&lt;foreign-keys&gt;&lt;key app="EN" db-id="9pzse05rcvx956etremxfzdh9fzdxvd95rp2"&gt;941&lt;/key&gt;&lt;/foreign-keys&gt;&lt;ref-type name="Web Page"&gt;12&lt;/ref-type&gt;&lt;contributors&gt;&lt;authors&gt;&lt;author&gt;Department of Internal Affairs,&lt;/author&gt;&lt;/authors&gt;&lt;/contributors&gt;&lt;titles&gt;&lt;title&gt;Gaming machines numbers: June 1994 to September 2014 at 3-monthly intervals&lt;/title&gt;&lt;/titles&gt;&lt;volume&gt;2014&lt;/volume&gt;&lt;number&gt;9 October&lt;/number&gt;&lt;dates&gt;&lt;year&gt;2014&lt;/year&gt;&lt;/dates&gt;&lt;urls&gt;&lt;related-urls&gt;&lt;url&gt;http://www.dia.govt.nz/Pubforms.nsf/URL/LineGraph_30%20September%202014.pdf/$file/LineGraph_30%20September%202014.pdf&lt;/url&gt;&lt;/related-urls&gt;&lt;/urls&gt;&lt;/record&gt;&lt;/Cite&gt;&lt;/EndNote&gt;</w:instrText>
      </w:r>
      <w:r w:rsidR="002846E2">
        <w:fldChar w:fldCharType="separate"/>
      </w:r>
      <w:r w:rsidR="002846E2">
        <w:rPr>
          <w:noProof/>
        </w:rPr>
        <w:t>(</w:t>
      </w:r>
      <w:hyperlink w:anchor="_ENREF_18" w:tooltip="Department of Internal Affairs, 2014 #941" w:history="1">
        <w:r w:rsidR="00765F46">
          <w:rPr>
            <w:noProof/>
          </w:rPr>
          <w:t>Department of Internal Affairs, 2014b</w:t>
        </w:r>
      </w:hyperlink>
      <w:r w:rsidR="002846E2">
        <w:rPr>
          <w:noProof/>
        </w:rPr>
        <w:t>)</w:t>
      </w:r>
      <w:r w:rsidR="002846E2">
        <w:fldChar w:fldCharType="end"/>
      </w:r>
      <w:r w:rsidR="002846E2">
        <w:t xml:space="preserve">. </w:t>
      </w:r>
      <w:r w:rsidR="004F477F">
        <w:t xml:space="preserve"> The most recent </w:t>
      </w:r>
      <w:r w:rsidR="001B7D3C">
        <w:t xml:space="preserve">data </w:t>
      </w:r>
      <w:r w:rsidR="004C4655">
        <w:t xml:space="preserve">point, </w:t>
      </w:r>
      <w:r w:rsidR="00412E93">
        <w:t>September</w:t>
      </w:r>
      <w:r w:rsidR="001B7D3C">
        <w:t xml:space="preserve"> 2014, </w:t>
      </w:r>
      <w:r w:rsidR="004C4655">
        <w:t xml:space="preserve">reveals that </w:t>
      </w:r>
      <w:r w:rsidR="001B7D3C">
        <w:t>the</w:t>
      </w:r>
      <w:r w:rsidR="0011649F">
        <w:t xml:space="preserve"> number of EGMs in New Zealand had dropped to</w:t>
      </w:r>
      <w:r w:rsidR="001B7D3C">
        <w:t xml:space="preserve"> 16,814</w:t>
      </w:r>
      <w:r w:rsidR="00915B75">
        <w:t xml:space="preserve"> </w:t>
      </w:r>
      <w:r w:rsidR="00915B75">
        <w:fldChar w:fldCharType="begin"/>
      </w:r>
      <w:r w:rsidR="00A34C5E">
        <w:instrText xml:space="preserve"> ADDIN EN.CITE &lt;EndNote&gt;&lt;Cite&gt;&lt;Author&gt;Department of Internal Affairs&lt;/Author&gt;&lt;Year&gt;2014&lt;/Year&gt;&lt;RecNum&gt;941&lt;/RecNum&gt;&lt;DisplayText&gt;(Department of Internal Affairs, 2014b)&lt;/DisplayText&gt;&lt;record&gt;&lt;rec-number&gt;941&lt;/rec-number&gt;&lt;foreign-keys&gt;&lt;key app="EN" db-id="9pzse05rcvx956etremxfzdh9fzdxvd95rp2"&gt;941&lt;/key&gt;&lt;/foreign-keys&gt;&lt;ref-type name="Web Page"&gt;12&lt;/ref-type&gt;&lt;contributors&gt;&lt;authors&gt;&lt;author&gt;Department of Internal Affairs,&lt;/author&gt;&lt;/authors&gt;&lt;/contributors&gt;&lt;titles&gt;&lt;title&gt;Gaming machines numbers: June 1994 to September 2014 at 3-monthly intervals&lt;/title&gt;&lt;/titles&gt;&lt;volume&gt;2014&lt;/volume&gt;&lt;number&gt;9 October&lt;/number&gt;&lt;dates&gt;&lt;year&gt;2014&lt;/year&gt;&lt;/dates&gt;&lt;urls&gt;&lt;related-urls&gt;&lt;url&gt;http://www.dia.govt.nz/Pubforms.nsf/URL/LineGraph_30%20September%202014.pdf/$file/LineGraph_30%20September%202014.pdf&lt;/url&gt;&lt;/related-urls&gt;&lt;/urls&gt;&lt;/record&gt;&lt;/Cite&gt;&lt;/EndNote&gt;</w:instrText>
      </w:r>
      <w:r w:rsidR="00915B75">
        <w:fldChar w:fldCharType="separate"/>
      </w:r>
      <w:r w:rsidR="00915B75">
        <w:rPr>
          <w:noProof/>
        </w:rPr>
        <w:t>(</w:t>
      </w:r>
      <w:hyperlink w:anchor="_ENREF_18" w:tooltip="Department of Internal Affairs, 2014 #941" w:history="1">
        <w:r w:rsidR="00765F46">
          <w:rPr>
            <w:noProof/>
          </w:rPr>
          <w:t>Department of Internal Affairs, 2014b</w:t>
        </w:r>
      </w:hyperlink>
      <w:r w:rsidR="00915B75">
        <w:rPr>
          <w:noProof/>
        </w:rPr>
        <w:t>)</w:t>
      </w:r>
      <w:r w:rsidR="00915B75">
        <w:fldChar w:fldCharType="end"/>
      </w:r>
      <w:r w:rsidR="001B7D3C">
        <w:t xml:space="preserve">. </w:t>
      </w:r>
    </w:p>
    <w:p w14:paraId="4084E7BC" w14:textId="77777777" w:rsidR="00F54C8C" w:rsidRDefault="00F54C8C" w:rsidP="006B0547">
      <w:pPr>
        <w:pStyle w:val="Caption"/>
        <w:keepNext/>
        <w:ind w:left="993" w:hanging="993"/>
        <w:rPr>
          <w:rFonts w:asciiTheme="minorHAnsi" w:hAnsiTheme="minorHAnsi" w:cstheme="minorHAnsi"/>
          <w:i/>
          <w:vertAlign w:val="superscript"/>
        </w:rPr>
      </w:pPr>
      <w:bookmarkStart w:id="8" w:name="_Ref400717709"/>
      <w:bookmarkStart w:id="9" w:name="_Toc425426974"/>
      <w:r w:rsidRPr="00FC7F9D">
        <w:rPr>
          <w:rFonts w:asciiTheme="minorHAnsi" w:hAnsiTheme="minorHAnsi" w:cstheme="minorHAnsi"/>
          <w:i/>
        </w:rPr>
        <w:t xml:space="preserve">Figure </w:t>
      </w:r>
      <w:r w:rsidRPr="00FC7F9D">
        <w:rPr>
          <w:rFonts w:asciiTheme="minorHAnsi" w:hAnsiTheme="minorHAnsi" w:cstheme="minorHAnsi"/>
          <w:i/>
        </w:rPr>
        <w:fldChar w:fldCharType="begin"/>
      </w:r>
      <w:r w:rsidRPr="00FC7F9D">
        <w:rPr>
          <w:rFonts w:asciiTheme="minorHAnsi" w:hAnsiTheme="minorHAnsi" w:cstheme="minorHAnsi"/>
          <w:i/>
        </w:rPr>
        <w:instrText xml:space="preserve"> SEQ Figure \* ARABIC </w:instrText>
      </w:r>
      <w:r w:rsidRPr="00FC7F9D">
        <w:rPr>
          <w:rFonts w:asciiTheme="minorHAnsi" w:hAnsiTheme="minorHAnsi" w:cstheme="minorHAnsi"/>
          <w:i/>
        </w:rPr>
        <w:fldChar w:fldCharType="separate"/>
      </w:r>
      <w:r w:rsidR="00D71107">
        <w:rPr>
          <w:rFonts w:asciiTheme="minorHAnsi" w:hAnsiTheme="minorHAnsi" w:cstheme="minorHAnsi"/>
          <w:i/>
          <w:noProof/>
        </w:rPr>
        <w:t>1</w:t>
      </w:r>
      <w:r w:rsidRPr="00FC7F9D">
        <w:rPr>
          <w:rFonts w:asciiTheme="minorHAnsi" w:hAnsiTheme="minorHAnsi" w:cstheme="minorHAnsi"/>
          <w:i/>
        </w:rPr>
        <w:fldChar w:fldCharType="end"/>
      </w:r>
      <w:bookmarkEnd w:id="8"/>
      <w:r>
        <w:rPr>
          <w:rFonts w:asciiTheme="minorHAnsi" w:hAnsiTheme="minorHAnsi" w:cstheme="minorHAnsi"/>
          <w:i/>
        </w:rPr>
        <w:t xml:space="preserve">: </w:t>
      </w:r>
      <w:r w:rsidR="00FB0414">
        <w:rPr>
          <w:rFonts w:asciiTheme="minorHAnsi" w:hAnsiTheme="minorHAnsi" w:cstheme="minorHAnsi"/>
          <w:i/>
        </w:rPr>
        <w:tab/>
      </w:r>
      <w:r w:rsidR="003835D3">
        <w:rPr>
          <w:rFonts w:asciiTheme="minorHAnsi" w:hAnsiTheme="minorHAnsi" w:cstheme="minorHAnsi"/>
          <w:i/>
        </w:rPr>
        <w:t xml:space="preserve">Gaming machine numbers, June 1994 to September 2014 at 3-monthly intervals </w:t>
      </w:r>
      <w:r w:rsidRPr="00FC7F9D">
        <w:rPr>
          <w:rFonts w:asciiTheme="minorHAnsi" w:hAnsiTheme="minorHAnsi" w:cstheme="minorHAnsi"/>
          <w:i/>
          <w:vertAlign w:val="superscript"/>
        </w:rPr>
        <w:t>1</w:t>
      </w:r>
      <w:bookmarkEnd w:id="9"/>
    </w:p>
    <w:p w14:paraId="45BAE84B" w14:textId="77777777" w:rsidR="00F54C8C" w:rsidRDefault="00F54C8C" w:rsidP="00E23834">
      <w:pPr>
        <w:spacing w:line="240" w:lineRule="auto"/>
        <w:ind w:left="-709"/>
        <w:jc w:val="center"/>
      </w:pPr>
      <w:r w:rsidRPr="00F54C8C">
        <w:rPr>
          <w:noProof/>
          <w:lang w:eastAsia="en-NZ"/>
        </w:rPr>
        <w:drawing>
          <wp:inline distT="0" distB="0" distL="0" distR="0" wp14:anchorId="02C31ECB" wp14:editId="12810BE5">
            <wp:extent cx="6559661" cy="383835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757" t="13514" r="7537" b="16385"/>
                    <a:stretch/>
                  </pic:blipFill>
                  <pic:spPr bwMode="auto">
                    <a:xfrm>
                      <a:off x="0" y="0"/>
                      <a:ext cx="6553928" cy="3834998"/>
                    </a:xfrm>
                    <a:prstGeom prst="rect">
                      <a:avLst/>
                    </a:prstGeom>
                    <a:ln>
                      <a:noFill/>
                    </a:ln>
                    <a:extLst>
                      <a:ext uri="{53640926-AAD7-44D8-BBD7-CCE9431645EC}">
                        <a14:shadowObscured xmlns:a14="http://schemas.microsoft.com/office/drawing/2010/main"/>
                      </a:ext>
                    </a:extLst>
                  </pic:spPr>
                </pic:pic>
              </a:graphicData>
            </a:graphic>
          </wp:inline>
        </w:drawing>
      </w:r>
    </w:p>
    <w:p w14:paraId="2E6E6CA6" w14:textId="77777777" w:rsidR="0025536E" w:rsidRPr="00AF3A24" w:rsidRDefault="0025536E" w:rsidP="001B3BDB">
      <w:pPr>
        <w:spacing w:before="0" w:line="240" w:lineRule="auto"/>
        <w:ind w:left="1134" w:hanging="425"/>
        <w:rPr>
          <w:rFonts w:asciiTheme="minorHAnsi" w:hAnsiTheme="minorHAnsi" w:cstheme="minorHAnsi"/>
          <w:sz w:val="16"/>
        </w:rPr>
      </w:pPr>
      <w:r w:rsidRPr="00AF3A24">
        <w:rPr>
          <w:rFonts w:asciiTheme="minorHAnsi" w:hAnsiTheme="minorHAnsi" w:cstheme="minorHAnsi"/>
          <w:sz w:val="16"/>
        </w:rPr>
        <w:t>Notes:</w:t>
      </w:r>
    </w:p>
    <w:p w14:paraId="5D4AE941" w14:textId="0D1B5F61" w:rsidR="00B6511D" w:rsidRPr="00B6511D" w:rsidRDefault="0025536E" w:rsidP="004F129A">
      <w:pPr>
        <w:pStyle w:val="ListParagraph"/>
        <w:numPr>
          <w:ilvl w:val="0"/>
          <w:numId w:val="69"/>
        </w:numPr>
        <w:ind w:left="993" w:hanging="284"/>
      </w:pPr>
      <w:r w:rsidRPr="0025536E">
        <w:rPr>
          <w:rFonts w:asciiTheme="minorHAnsi" w:hAnsiTheme="minorHAnsi" w:cstheme="minorHAnsi"/>
          <w:sz w:val="16"/>
        </w:rPr>
        <w:t>Source: Department of Internal Affairs</w:t>
      </w:r>
      <w:r>
        <w:rPr>
          <w:rFonts w:asciiTheme="minorHAnsi" w:hAnsiTheme="minorHAnsi" w:cstheme="minorHAnsi"/>
          <w:sz w:val="16"/>
        </w:rPr>
        <w:t xml:space="preserve"> </w:t>
      </w:r>
      <w:r>
        <w:rPr>
          <w:rFonts w:asciiTheme="minorHAnsi" w:hAnsiTheme="minorHAnsi" w:cstheme="minorHAnsi"/>
          <w:sz w:val="16"/>
        </w:rPr>
        <w:fldChar w:fldCharType="begin"/>
      </w:r>
      <w:r w:rsidR="00A34C5E">
        <w:rPr>
          <w:rFonts w:asciiTheme="minorHAnsi" w:hAnsiTheme="minorHAnsi" w:cstheme="minorHAnsi"/>
          <w:sz w:val="16"/>
        </w:rPr>
        <w:instrText xml:space="preserve"> ADDIN EN.CITE &lt;EndNote&gt;&lt;Cite ExcludeAuth="1"&gt;&lt;Author&gt;Department of Internal Affairs&lt;/Author&gt;&lt;Year&gt;2014&lt;/Year&gt;&lt;RecNum&gt;941&lt;/RecNum&gt;&lt;DisplayText&gt;(2014b)&lt;/DisplayText&gt;&lt;record&gt;&lt;rec-number&gt;941&lt;/rec-number&gt;&lt;foreign-keys&gt;&lt;key app="EN" db-id="9pzse05rcvx956etremxfzdh9fzdxvd95rp2"&gt;941&lt;/key&gt;&lt;/foreign-keys&gt;&lt;ref-type name="Web Page"&gt;12&lt;/ref-type&gt;&lt;contributors&gt;&lt;authors&gt;&lt;author&gt;Department of Internal Affairs,&lt;/author&gt;&lt;/authors&gt;&lt;/contributors&gt;&lt;titles&gt;&lt;title&gt;Gaming machines numbers: June 1994 to September 2014 at 3-monthly intervals&lt;/title&gt;&lt;/titles&gt;&lt;volume&gt;2014&lt;/volume&gt;&lt;number&gt;9 October&lt;/number&gt;&lt;dates&gt;&lt;year&gt;2014&lt;/year&gt;&lt;/dates&gt;&lt;urls&gt;&lt;related-urls&gt;&lt;url&gt;http://www.dia.govt.nz/Pubforms.nsf/URL/LineGraph_30%20September%202014.pdf/$file/LineGraph_30%20September%202014.pdf&lt;/url&gt;&lt;/related-urls&gt;&lt;/urls&gt;&lt;/record&gt;&lt;/Cite&gt;&lt;/EndNote&gt;</w:instrText>
      </w:r>
      <w:r>
        <w:rPr>
          <w:rFonts w:asciiTheme="minorHAnsi" w:hAnsiTheme="minorHAnsi" w:cstheme="minorHAnsi"/>
          <w:sz w:val="16"/>
        </w:rPr>
        <w:fldChar w:fldCharType="separate"/>
      </w:r>
      <w:r>
        <w:rPr>
          <w:rFonts w:asciiTheme="minorHAnsi" w:hAnsiTheme="minorHAnsi" w:cstheme="minorHAnsi"/>
          <w:noProof/>
          <w:sz w:val="16"/>
        </w:rPr>
        <w:t>(</w:t>
      </w:r>
      <w:hyperlink w:anchor="_ENREF_18" w:tooltip="Department of Internal Affairs, 2014 #941" w:history="1">
        <w:r w:rsidR="00765F46">
          <w:rPr>
            <w:rFonts w:asciiTheme="minorHAnsi" w:hAnsiTheme="minorHAnsi" w:cstheme="minorHAnsi"/>
            <w:noProof/>
            <w:sz w:val="16"/>
          </w:rPr>
          <w:t>2014b</w:t>
        </w:r>
      </w:hyperlink>
      <w:r>
        <w:rPr>
          <w:rFonts w:asciiTheme="minorHAnsi" w:hAnsiTheme="minorHAnsi" w:cstheme="minorHAnsi"/>
          <w:noProof/>
          <w:sz w:val="16"/>
        </w:rPr>
        <w:t>)</w:t>
      </w:r>
      <w:r>
        <w:rPr>
          <w:rFonts w:asciiTheme="minorHAnsi" w:hAnsiTheme="minorHAnsi" w:cstheme="minorHAnsi"/>
          <w:sz w:val="16"/>
        </w:rPr>
        <w:fldChar w:fldCharType="end"/>
      </w:r>
      <w:r>
        <w:rPr>
          <w:rFonts w:asciiTheme="minorHAnsi" w:hAnsiTheme="minorHAnsi" w:cstheme="minorHAnsi"/>
          <w:sz w:val="16"/>
        </w:rPr>
        <w:t xml:space="preserve">. </w:t>
      </w:r>
      <w:r w:rsidRPr="0025536E">
        <w:rPr>
          <w:rFonts w:asciiTheme="minorHAnsi" w:hAnsiTheme="minorHAnsi" w:cstheme="minorHAnsi"/>
          <w:sz w:val="16"/>
        </w:rPr>
        <w:t>Report generated on 2 October 2014</w:t>
      </w:r>
      <w:r>
        <w:rPr>
          <w:rFonts w:asciiTheme="minorHAnsi" w:hAnsiTheme="minorHAnsi" w:cstheme="minorHAnsi"/>
          <w:sz w:val="16"/>
        </w:rPr>
        <w:t xml:space="preserve">. </w:t>
      </w:r>
    </w:p>
    <w:p w14:paraId="1DE3515C" w14:textId="77777777" w:rsidR="00217387" w:rsidRDefault="00217387" w:rsidP="009E1E12">
      <w:pPr>
        <w:pStyle w:val="BodyText"/>
        <w:spacing w:line="480" w:lineRule="auto"/>
      </w:pPr>
    </w:p>
    <w:p w14:paraId="34B4FBBB" w14:textId="5C2297E7" w:rsidR="009E1E12" w:rsidRDefault="00B6511D" w:rsidP="009E1E12">
      <w:pPr>
        <w:pStyle w:val="BodyText"/>
        <w:spacing w:line="480" w:lineRule="auto"/>
      </w:pPr>
      <w:r>
        <w:t>At present, g</w:t>
      </w:r>
      <w:r w:rsidR="009E1E12" w:rsidRPr="009E1E12">
        <w:t xml:space="preserve">ambling in New Zealand is </w:t>
      </w:r>
      <w:r w:rsidR="00574E6A">
        <w:t>regulated</w:t>
      </w:r>
      <w:r w:rsidR="009E1E12" w:rsidRPr="009E1E12">
        <w:t xml:space="preserve"> by the Gambling Act 2003</w:t>
      </w:r>
      <w:r w:rsidR="00412E93">
        <w:t xml:space="preserve"> and the Racing Act 2003</w:t>
      </w:r>
      <w:r w:rsidR="002A37D3">
        <w:t>, which</w:t>
      </w:r>
      <w:r w:rsidR="009E1E12">
        <w:t xml:space="preserve"> replaced the Gaming and Lotteries Act 19</w:t>
      </w:r>
      <w:r w:rsidR="00412E93">
        <w:t>7</w:t>
      </w:r>
      <w:r w:rsidR="009E1E12">
        <w:t>7</w:t>
      </w:r>
      <w:r w:rsidR="00412E93">
        <w:t>,</w:t>
      </w:r>
      <w:r w:rsidR="009E1E12">
        <w:t xml:space="preserve"> the Casino Control Act 1990</w:t>
      </w:r>
      <w:r w:rsidR="00412E93">
        <w:t>, and the Racing Act 1971</w:t>
      </w:r>
      <w:r w:rsidR="009E1E12">
        <w:t xml:space="preserve"> </w:t>
      </w:r>
      <w:r w:rsidR="009E1E12">
        <w:fldChar w:fldCharType="begin"/>
      </w:r>
      <w:r w:rsidR="00A34C5E">
        <w:instrText xml:space="preserve"> ADDIN EN.CITE &lt;EndNote&gt;&lt;Cite&gt;&lt;Author&gt;Department of Internal Affairs&lt;/Author&gt;&lt;Year&gt;2013&lt;/Year&gt;&lt;RecNum&gt;943&lt;/RecNum&gt;&lt;DisplayText&gt;(Department of Internal Affairs, 2013)&lt;/DisplayText&gt;&lt;record&gt;&lt;rec-number&gt;943&lt;/rec-number&gt;&lt;foreign-keys&gt;&lt;key app="EN" db-id="9pzse05rcvx956etremxfzdh9fzdxvd95rp2"&gt;943&lt;/key&gt;&lt;/foreign-keys&gt;&lt;ref-type name="Web Page"&gt;12&lt;/ref-type&gt;&lt;contributors&gt;&lt;authors&gt;&lt;author&gt;Department of Internal Affairs,&lt;/author&gt;&lt;/authors&gt;&lt;/contributors&gt;&lt;titles&gt;&lt;title&gt;Gambling regulation in New Zealand: Fact Sheet #1&lt;/title&gt;&lt;/titles&gt;&lt;volume&gt;2014&lt;/volume&gt;&lt;number&gt;9 October&lt;/number&gt;&lt;dates&gt;&lt;year&gt;2013&lt;/year&gt;&lt;/dates&gt;&lt;publisher&gt;Department of Internal Affairs&lt;/publisher&gt;&lt;urls&gt;&lt;related-urls&gt;&lt;url&gt;http://www.dia.govt.nz/diawebsite.nsf/Files/GamblingFactSheets-Feb2013/$file/FactSheet1-Feb2013.pdf&lt;/url&gt;&lt;/related-urls&gt;&lt;/urls&gt;&lt;/record&gt;&lt;/Cite&gt;&lt;/EndNote&gt;</w:instrText>
      </w:r>
      <w:r w:rsidR="009E1E12">
        <w:fldChar w:fldCharType="separate"/>
      </w:r>
      <w:r w:rsidR="009E1E12">
        <w:rPr>
          <w:noProof/>
        </w:rPr>
        <w:t>(</w:t>
      </w:r>
      <w:hyperlink w:anchor="_ENREF_16" w:tooltip="Department of Internal Affairs, 2013 #943" w:history="1">
        <w:r w:rsidR="00765F46">
          <w:rPr>
            <w:noProof/>
          </w:rPr>
          <w:t>Department of Internal Affairs, 2013</w:t>
        </w:r>
      </w:hyperlink>
      <w:r w:rsidR="009E1E12">
        <w:rPr>
          <w:noProof/>
        </w:rPr>
        <w:t>)</w:t>
      </w:r>
      <w:r w:rsidR="009E1E12">
        <w:fldChar w:fldCharType="end"/>
      </w:r>
      <w:r w:rsidR="009E1E12">
        <w:t>.  The Gambling Act 2003 was introduced with a focus on the prevention and minimisation of the harm caused by gambling, including problem gambling</w:t>
      </w:r>
      <w:r w:rsidR="002A37D3">
        <w:t>,</w:t>
      </w:r>
      <w:r w:rsidR="009E1E12">
        <w:t xml:space="preserve"> while also aiming to control the growth of gambling (through provisions such as limitations on the number of EGMs per venue).  The Act also had the purpose of ensuring that profits from gambling benefit the community and that communities are </w:t>
      </w:r>
      <w:r w:rsidR="009E1E12">
        <w:lastRenderedPageBreak/>
        <w:t xml:space="preserve">involved in decisions around the availability of </w:t>
      </w:r>
      <w:r w:rsidR="00412E93">
        <w:t xml:space="preserve">specific </w:t>
      </w:r>
      <w:r w:rsidR="009E1E12">
        <w:t>gambling activities within their district</w:t>
      </w:r>
      <w:r w:rsidR="00574E6A">
        <w:t xml:space="preserve">.  </w:t>
      </w:r>
      <w:r w:rsidR="002A37D3">
        <w:t xml:space="preserve">The “purpose of the </w:t>
      </w:r>
      <w:r w:rsidR="009E1E12">
        <w:t xml:space="preserve">Gambling Act </w:t>
      </w:r>
      <w:r w:rsidR="002A37D3">
        <w:t>is to</w:t>
      </w:r>
      <w:r w:rsidR="009E1E12">
        <w:t xml:space="preserve">: </w:t>
      </w:r>
    </w:p>
    <w:p w14:paraId="1E2A0F73" w14:textId="77777777" w:rsidR="00574E6A" w:rsidRDefault="00574E6A" w:rsidP="004F129A">
      <w:pPr>
        <w:pStyle w:val="BodyText"/>
        <w:numPr>
          <w:ilvl w:val="0"/>
          <w:numId w:val="70"/>
        </w:numPr>
      </w:pPr>
      <w:r>
        <w:t>Control the growth of gambling</w:t>
      </w:r>
    </w:p>
    <w:p w14:paraId="4E9F7270" w14:textId="77777777" w:rsidR="00574E6A" w:rsidRDefault="00574E6A" w:rsidP="004F129A">
      <w:pPr>
        <w:pStyle w:val="BodyText"/>
        <w:numPr>
          <w:ilvl w:val="0"/>
          <w:numId w:val="70"/>
        </w:numPr>
      </w:pPr>
      <w:r>
        <w:t>Prevent and minimise the harm caused by gambling, including problem gambling</w:t>
      </w:r>
    </w:p>
    <w:p w14:paraId="55F60D5A" w14:textId="77777777" w:rsidR="00574E6A" w:rsidRDefault="00574E6A" w:rsidP="004F129A">
      <w:pPr>
        <w:pStyle w:val="BodyText"/>
        <w:numPr>
          <w:ilvl w:val="0"/>
          <w:numId w:val="70"/>
        </w:numPr>
      </w:pPr>
      <w:r>
        <w:t>Authorise some gambling and prohibit the rest</w:t>
      </w:r>
    </w:p>
    <w:p w14:paraId="5B6B074A" w14:textId="77777777" w:rsidR="00574E6A" w:rsidRDefault="00574E6A" w:rsidP="004F129A">
      <w:pPr>
        <w:pStyle w:val="BodyText"/>
        <w:numPr>
          <w:ilvl w:val="0"/>
          <w:numId w:val="70"/>
        </w:numPr>
      </w:pPr>
      <w:r>
        <w:t>Facilitate responsible gambling</w:t>
      </w:r>
    </w:p>
    <w:p w14:paraId="34039AAB" w14:textId="77777777" w:rsidR="00574E6A" w:rsidRDefault="00574E6A" w:rsidP="004F129A">
      <w:pPr>
        <w:pStyle w:val="BodyText"/>
        <w:numPr>
          <w:ilvl w:val="0"/>
          <w:numId w:val="70"/>
        </w:numPr>
      </w:pPr>
      <w:r>
        <w:t>Ensure the integrity and fairness of games</w:t>
      </w:r>
    </w:p>
    <w:p w14:paraId="09516479" w14:textId="77777777" w:rsidR="00574E6A" w:rsidRDefault="00574E6A" w:rsidP="004F129A">
      <w:pPr>
        <w:pStyle w:val="BodyText"/>
        <w:numPr>
          <w:ilvl w:val="0"/>
          <w:numId w:val="70"/>
        </w:numPr>
      </w:pPr>
      <w:r>
        <w:t>Limit opportunities for crime or dishonesty associated with gambling</w:t>
      </w:r>
    </w:p>
    <w:p w14:paraId="12881AFA" w14:textId="77777777" w:rsidR="00574E6A" w:rsidRDefault="00574E6A" w:rsidP="004F129A">
      <w:pPr>
        <w:pStyle w:val="BodyText"/>
        <w:numPr>
          <w:ilvl w:val="0"/>
          <w:numId w:val="70"/>
        </w:numPr>
      </w:pPr>
      <w:r>
        <w:t>Ensure that money from gambling benefits the community</w:t>
      </w:r>
    </w:p>
    <w:p w14:paraId="0A7F91F6" w14:textId="77777777" w:rsidR="00574E6A" w:rsidRDefault="00574E6A" w:rsidP="004F129A">
      <w:pPr>
        <w:pStyle w:val="BodyText"/>
        <w:numPr>
          <w:ilvl w:val="0"/>
          <w:numId w:val="70"/>
        </w:numPr>
        <w:spacing w:after="0" w:line="480" w:lineRule="auto"/>
      </w:pPr>
      <w:r>
        <w:t>Facilitate community involvement in decisions about the provision of gambling.”</w:t>
      </w:r>
    </w:p>
    <w:p w14:paraId="5B0F3320" w14:textId="1941EA1E" w:rsidR="00574E6A" w:rsidRDefault="000A4809" w:rsidP="000A4809">
      <w:pPr>
        <w:pStyle w:val="BodyText"/>
        <w:spacing w:before="0" w:line="480" w:lineRule="auto"/>
        <w:ind w:left="5040"/>
      </w:pPr>
      <w:r>
        <w:fldChar w:fldCharType="begin"/>
      </w:r>
      <w:r w:rsidR="00A34C5E">
        <w:instrText xml:space="preserve"> ADDIN EN.CITE &lt;EndNote&gt;&lt;Cite&gt;&lt;Author&gt;Parliamentary Council Office&lt;/Author&gt;&lt;Year&gt;2003&lt;/Year&gt;&lt;RecNum&gt;968&lt;/RecNum&gt;&lt;Suffix&gt;`, Section 3&lt;/Suffix&gt;&lt;DisplayText&gt;(Parliamentary Council Office, 2003, Section 3)&lt;/DisplayText&gt;&lt;record&gt;&lt;rec-number&gt;968&lt;/rec-number&gt;&lt;foreign-keys&gt;&lt;key app="EN" db-id="9pzse05rcvx956etremxfzdh9fzdxvd95rp2"&gt;968&lt;/key&gt;&lt;/foreign-keys&gt;&lt;ref-type name="Report"&gt;27&lt;/ref-type&gt;&lt;contributors&gt;&lt;authors&gt;&lt;author&gt;Parliamentary Council Office,&lt;/author&gt;&lt;/authors&gt;&lt;/contributors&gt;&lt;titles&gt;&lt;title&gt;Gambling Act 2003&lt;/title&gt;&lt;secondary-title&gt;2003 No 51&lt;/secondary-title&gt;&lt;/titles&gt;&lt;dates&gt;&lt;year&gt;2003&lt;/year&gt;&lt;/dates&gt;&lt;pub-location&gt;New Zealand&lt;/pub-location&gt;&lt;publisher&gt;New Zealand Government&lt;/publisher&gt;&lt;urls&gt;&lt;/urls&gt;&lt;custom5&gt;New Zealand Government&lt;/custom5&gt;&lt;/record&gt;&lt;/Cite&gt;&lt;/EndNote&gt;</w:instrText>
      </w:r>
      <w:r>
        <w:fldChar w:fldCharType="separate"/>
      </w:r>
      <w:r>
        <w:rPr>
          <w:noProof/>
        </w:rPr>
        <w:t>(</w:t>
      </w:r>
      <w:hyperlink w:anchor="_ENREF_46" w:tooltip="Parliamentary Council Office, 2003 #968" w:history="1">
        <w:r w:rsidR="00765F46">
          <w:rPr>
            <w:noProof/>
          </w:rPr>
          <w:t>Parliamentary Council Office, 2003, Section 3</w:t>
        </w:r>
      </w:hyperlink>
      <w:r>
        <w:rPr>
          <w:noProof/>
        </w:rPr>
        <w:t>)</w:t>
      </w:r>
      <w:r>
        <w:fldChar w:fldCharType="end"/>
      </w:r>
      <w:r w:rsidR="00574E6A">
        <w:t>.</w:t>
      </w:r>
    </w:p>
    <w:p w14:paraId="71294BA2" w14:textId="77777777" w:rsidR="002A37D3" w:rsidRDefault="002A37D3" w:rsidP="009E1E12">
      <w:pPr>
        <w:pStyle w:val="BodyText"/>
        <w:spacing w:line="480" w:lineRule="auto"/>
      </w:pPr>
      <w:r w:rsidRPr="002A37D3">
        <w:t xml:space="preserve">The Gambling Act 2003 also bought some consistency to the legislation around age limits for gambling activities in New Zealand. </w:t>
      </w:r>
      <w:r>
        <w:t xml:space="preserve"> Following the introduction of the Act, the age limits for Instant Kiwi, non-casino EGMs and sports and track betting were </w:t>
      </w:r>
      <w:r w:rsidR="00B6511D">
        <w:t xml:space="preserve">all </w:t>
      </w:r>
      <w:r>
        <w:t xml:space="preserve">set at 18 years of age.  An age limit of 20 years of age was set for casino gambling, including tables and EGMs.  </w:t>
      </w:r>
    </w:p>
    <w:p w14:paraId="473163F9" w14:textId="77777777" w:rsidR="00502764" w:rsidRPr="00704088" w:rsidRDefault="00014488" w:rsidP="004F129A">
      <w:pPr>
        <w:pStyle w:val="Heading2"/>
        <w:numPr>
          <w:ilvl w:val="1"/>
          <w:numId w:val="77"/>
        </w:numPr>
      </w:pPr>
      <w:bookmarkStart w:id="10" w:name="_Ref403642299"/>
      <w:bookmarkStart w:id="11" w:name="_Toc403833141"/>
      <w:r w:rsidRPr="00704088">
        <w:t>Participation in g</w:t>
      </w:r>
      <w:r w:rsidR="00502764" w:rsidRPr="00704088">
        <w:t xml:space="preserve">ambling </w:t>
      </w:r>
      <w:r w:rsidRPr="00704088">
        <w:t>-</w:t>
      </w:r>
      <w:r w:rsidR="00502764" w:rsidRPr="00704088">
        <w:t xml:space="preserve"> New Zealand</w:t>
      </w:r>
      <w:bookmarkEnd w:id="10"/>
      <w:bookmarkEnd w:id="11"/>
    </w:p>
    <w:p w14:paraId="4CD52604" w14:textId="2BF4C1D1" w:rsidR="0064669B" w:rsidRDefault="00E0056C" w:rsidP="00EF1808">
      <w:pPr>
        <w:pStyle w:val="BodyText"/>
        <w:spacing w:line="480" w:lineRule="auto"/>
      </w:pPr>
      <w:r>
        <w:t>A</w:t>
      </w:r>
      <w:r w:rsidR="00502764">
        <w:t xml:space="preserve">dult </w:t>
      </w:r>
      <w:r>
        <w:t xml:space="preserve">participation in </w:t>
      </w:r>
      <w:r w:rsidR="00502764">
        <w:t xml:space="preserve">gambling and </w:t>
      </w:r>
      <w:r>
        <w:t xml:space="preserve">rates of </w:t>
      </w:r>
      <w:r w:rsidR="00502764">
        <w:t>problem gambling in New Zealand</w:t>
      </w:r>
      <w:r>
        <w:t xml:space="preserve"> can be assessed through a number of sources</w:t>
      </w:r>
      <w:r w:rsidR="00502764">
        <w:t>.</w:t>
      </w:r>
      <w:r w:rsidR="002A0F95">
        <w:t xml:space="preserve">  One source is t</w:t>
      </w:r>
      <w:r w:rsidR="0064669B">
        <w:t xml:space="preserve">he gambling expenditure statistics </w:t>
      </w:r>
      <w:r w:rsidR="00B6511D">
        <w:t xml:space="preserve">that are collected by the Department of Internal Affairs (DIA).  These statistics provide data on </w:t>
      </w:r>
      <w:r w:rsidR="0064669B">
        <w:t xml:space="preserve">the amount of money spent each financial year on the four main types of gambling activity in New Zealand: Casino </w:t>
      </w:r>
      <w:r w:rsidR="0064669B" w:rsidRPr="00C32547">
        <w:t xml:space="preserve">gambling; Non-casino </w:t>
      </w:r>
      <w:r w:rsidR="00B6511D">
        <w:t>EGMs</w:t>
      </w:r>
      <w:r w:rsidR="0064669B" w:rsidRPr="00C32547">
        <w:t>; New Ze</w:t>
      </w:r>
      <w:r w:rsidR="00DB3407">
        <w:t>aland Lotteries Commission; and</w:t>
      </w:r>
      <w:r w:rsidR="0064669B" w:rsidRPr="00C32547">
        <w:t xml:space="preserve"> </w:t>
      </w:r>
      <w:proofErr w:type="gramStart"/>
      <w:r w:rsidR="0064669B" w:rsidRPr="00C32547">
        <w:t>TAB racing</w:t>
      </w:r>
      <w:proofErr w:type="gramEnd"/>
      <w:r w:rsidR="0064669B" w:rsidRPr="00C32547">
        <w:t xml:space="preserve"> and sports betting. </w:t>
      </w:r>
      <w:r w:rsidR="00C32547" w:rsidRPr="00C32547">
        <w:t xml:space="preserve"> </w:t>
      </w:r>
      <w:r w:rsidR="000D571D">
        <w:t>Figure 2</w:t>
      </w:r>
      <w:r w:rsidR="00C32547" w:rsidRPr="00C32547">
        <w:t xml:space="preserve"> illustrates </w:t>
      </w:r>
      <w:r w:rsidR="00B6511D">
        <w:t>annual gambling expenditure</w:t>
      </w:r>
      <w:r w:rsidR="00C32547" w:rsidRPr="00C32547">
        <w:t xml:space="preserve"> from 1989 </w:t>
      </w:r>
      <w:r w:rsidR="00667C97">
        <w:t xml:space="preserve">through </w:t>
      </w:r>
      <w:r w:rsidR="00C32547" w:rsidRPr="00C32547">
        <w:t xml:space="preserve">to 2013, and shows that </w:t>
      </w:r>
      <w:r w:rsidR="00C32547">
        <w:t xml:space="preserve">the </w:t>
      </w:r>
      <w:r w:rsidR="00C32547" w:rsidRPr="00C32547">
        <w:t>total</w:t>
      </w:r>
      <w:r w:rsidR="00C32547">
        <w:t xml:space="preserve"> combined</w:t>
      </w:r>
      <w:r w:rsidR="00C32547" w:rsidRPr="00C32547">
        <w:t xml:space="preserve"> expenditure for</w:t>
      </w:r>
      <w:r w:rsidR="00667C97">
        <w:t xml:space="preserve"> the four modes</w:t>
      </w:r>
      <w:r w:rsidR="00C32547" w:rsidRPr="00C32547">
        <w:t xml:space="preserve"> </w:t>
      </w:r>
      <w:r w:rsidR="00667C97" w:rsidRPr="00C32547">
        <w:t xml:space="preserve">was </w:t>
      </w:r>
      <w:r w:rsidR="00667C97">
        <w:t>almost $2.1 billion dollars ($2,072 million)</w:t>
      </w:r>
      <w:r w:rsidR="00667C97" w:rsidRPr="00667C97">
        <w:t xml:space="preserve"> </w:t>
      </w:r>
      <w:r w:rsidR="00667C97">
        <w:t xml:space="preserve">in </w:t>
      </w:r>
      <w:r w:rsidR="00DC05EB">
        <w:t>the 2012/</w:t>
      </w:r>
      <w:r w:rsidR="00667C97" w:rsidRPr="00C32547">
        <w:t>13</w:t>
      </w:r>
      <w:r w:rsidR="00DC05EB">
        <w:t xml:space="preserve"> financial year</w:t>
      </w:r>
      <w:r w:rsidR="00667C97">
        <w:t xml:space="preserve">.  Non-casino </w:t>
      </w:r>
      <w:r w:rsidR="00B6511D">
        <w:t>EGMs</w:t>
      </w:r>
      <w:r w:rsidR="00667C97">
        <w:t xml:space="preserve"> were the biggest earner ($826 million), followed by casinos ($520 million), NZ Lotteries ($432 million) and </w:t>
      </w:r>
      <w:r w:rsidR="00DC05EB">
        <w:t xml:space="preserve">the </w:t>
      </w:r>
      <w:r w:rsidR="00667C97">
        <w:t xml:space="preserve">NZ Racing Board ($294 </w:t>
      </w:r>
      <w:r w:rsidR="00667C97">
        <w:lastRenderedPageBreak/>
        <w:t xml:space="preserve">million).  </w:t>
      </w:r>
      <w:r w:rsidR="00F8431A">
        <w:t xml:space="preserve">The Department of Internal Affairs state that while </w:t>
      </w:r>
      <w:r w:rsidR="00B6511D">
        <w:t xml:space="preserve">the 2013 expenditure </w:t>
      </w:r>
      <w:r w:rsidR="00F8431A">
        <w:t>was 0.3% more than the previous year, it actually represents a decline of almost 19% from the previous high of $2.6 billion dollars (</w:t>
      </w:r>
      <w:r w:rsidR="00F8431A" w:rsidRPr="00B6511D">
        <w:rPr>
          <w:i/>
        </w:rPr>
        <w:t>inflation-adjusted</w:t>
      </w:r>
      <w:r w:rsidR="00F8431A">
        <w:t xml:space="preserve">) </w:t>
      </w:r>
      <w:r w:rsidR="00B6511D">
        <w:t xml:space="preserve">recorded </w:t>
      </w:r>
      <w:r w:rsidR="00F8431A">
        <w:t xml:space="preserve">in 2004.  They also indicate that NZ Lotteries products are the only activities to have not seen a drop in inflation-adjusted expenditure, in fact expenditure on their products have increased 22% since 2004 </w:t>
      </w:r>
      <w:r w:rsidR="00F8431A">
        <w:fldChar w:fldCharType="begin"/>
      </w:r>
      <w:r w:rsidR="00A34C5E">
        <w:instrText xml:space="preserve"> ADDIN EN.CITE &lt;EndNote&gt;&lt;Cite&gt;&lt;Author&gt;Department of Internal Affairs&lt;/Author&gt;&lt;Year&gt;2014&lt;/Year&gt;&lt;RecNum&gt;938&lt;/RecNum&gt;&lt;DisplayText&gt;(Department of Internal Affairs, 2014a)&lt;/DisplayText&gt;&lt;record&gt;&lt;rec-number&gt;938&lt;/rec-number&gt;&lt;foreign-keys&gt;&lt;key app="EN" db-id="9pzse05rcvx956etremxfzdh9fzdxvd95rp2"&gt;938&lt;/key&gt;&lt;/foreign-keys&gt;&lt;ref-type name="Web Page"&gt;12&lt;/ref-type&gt;&lt;contributors&gt;&lt;authors&gt;&lt;author&gt;Department of Internal Affairs,&lt;/author&gt;&lt;/authors&gt;&lt;/contributors&gt;&lt;titles&gt;&lt;title&gt;Gambling Expenditure Statistics&lt;/title&gt;&lt;/titles&gt;&lt;volume&gt;2014&lt;/volume&gt;&lt;number&gt;9 October&lt;/number&gt;&lt;dates&gt;&lt;year&gt;2014&lt;/year&gt;&lt;/dates&gt;&lt;urls&gt;&lt;related-urls&gt;&lt;url&gt;http://www.dia.govt.nz/diawebsite.nsf/wpg_URL/Resource-material-Information-We-Provide-Gambling-Expenditure-Statistics&lt;/url&gt;&lt;/related-urls&gt;&lt;/urls&gt;&lt;/record&gt;&lt;/Cite&gt;&lt;/EndNote&gt;</w:instrText>
      </w:r>
      <w:r w:rsidR="00F8431A">
        <w:fldChar w:fldCharType="separate"/>
      </w:r>
      <w:r w:rsidR="0025536E">
        <w:rPr>
          <w:noProof/>
        </w:rPr>
        <w:t>(</w:t>
      </w:r>
      <w:hyperlink w:anchor="_ENREF_17" w:tooltip="Department of Internal Affairs, 2014 #938" w:history="1">
        <w:r w:rsidR="00765F46">
          <w:rPr>
            <w:noProof/>
          </w:rPr>
          <w:t>Department of Internal Affairs, 2014a</w:t>
        </w:r>
      </w:hyperlink>
      <w:r w:rsidR="0025536E">
        <w:rPr>
          <w:noProof/>
        </w:rPr>
        <w:t>)</w:t>
      </w:r>
      <w:r w:rsidR="00F8431A">
        <w:fldChar w:fldCharType="end"/>
      </w:r>
      <w:r w:rsidR="00F8431A">
        <w:t>.</w:t>
      </w:r>
    </w:p>
    <w:p w14:paraId="28204A23" w14:textId="77777777" w:rsidR="00B11EA5" w:rsidRPr="00FC7F9D" w:rsidRDefault="00FC7F9D" w:rsidP="00FC7F9D">
      <w:pPr>
        <w:pStyle w:val="Caption"/>
        <w:keepNext/>
        <w:spacing w:after="0" w:line="276" w:lineRule="auto"/>
        <w:ind w:left="993" w:hanging="993"/>
        <w:rPr>
          <w:rFonts w:asciiTheme="minorHAnsi" w:hAnsiTheme="minorHAnsi" w:cstheme="minorHAnsi"/>
          <w:i/>
        </w:rPr>
      </w:pPr>
      <w:bookmarkStart w:id="12" w:name="_Ref400627096"/>
      <w:bookmarkStart w:id="13" w:name="_Toc425426975"/>
      <w:r w:rsidRPr="00FC7F9D">
        <w:rPr>
          <w:rFonts w:asciiTheme="minorHAnsi" w:hAnsiTheme="minorHAnsi" w:cstheme="minorHAnsi"/>
          <w:i/>
        </w:rPr>
        <w:t xml:space="preserve">Figure </w:t>
      </w:r>
      <w:r w:rsidRPr="00FC7F9D">
        <w:rPr>
          <w:rFonts w:asciiTheme="minorHAnsi" w:hAnsiTheme="minorHAnsi" w:cstheme="minorHAnsi"/>
          <w:i/>
        </w:rPr>
        <w:fldChar w:fldCharType="begin"/>
      </w:r>
      <w:r w:rsidRPr="00FC7F9D">
        <w:rPr>
          <w:rFonts w:asciiTheme="minorHAnsi" w:hAnsiTheme="minorHAnsi" w:cstheme="minorHAnsi"/>
          <w:i/>
        </w:rPr>
        <w:instrText xml:space="preserve"> SEQ Figure \* ARABIC </w:instrText>
      </w:r>
      <w:r w:rsidRPr="00FC7F9D">
        <w:rPr>
          <w:rFonts w:asciiTheme="minorHAnsi" w:hAnsiTheme="minorHAnsi" w:cstheme="minorHAnsi"/>
          <w:i/>
        </w:rPr>
        <w:fldChar w:fldCharType="separate"/>
      </w:r>
      <w:r w:rsidR="00D71107">
        <w:rPr>
          <w:rFonts w:asciiTheme="minorHAnsi" w:hAnsiTheme="minorHAnsi" w:cstheme="minorHAnsi"/>
          <w:i/>
          <w:noProof/>
        </w:rPr>
        <w:t>2</w:t>
      </w:r>
      <w:r w:rsidRPr="00FC7F9D">
        <w:rPr>
          <w:rFonts w:asciiTheme="minorHAnsi" w:hAnsiTheme="minorHAnsi" w:cstheme="minorHAnsi"/>
          <w:i/>
        </w:rPr>
        <w:fldChar w:fldCharType="end"/>
      </w:r>
      <w:bookmarkEnd w:id="12"/>
      <w:r>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Annual gambling expenditure in New Zealand, by gambling activity type (1989</w:t>
      </w:r>
      <w:r w:rsidR="005A7421">
        <w:rPr>
          <w:rFonts w:asciiTheme="minorHAnsi" w:hAnsiTheme="minorHAnsi" w:cstheme="minorHAnsi"/>
          <w:i/>
        </w:rPr>
        <w:t>/90</w:t>
      </w:r>
      <w:r>
        <w:rPr>
          <w:rFonts w:asciiTheme="minorHAnsi" w:hAnsiTheme="minorHAnsi" w:cstheme="minorHAnsi"/>
          <w:i/>
        </w:rPr>
        <w:t xml:space="preserve"> – 2013</w:t>
      </w:r>
      <w:r w:rsidR="005A7421">
        <w:rPr>
          <w:rFonts w:asciiTheme="minorHAnsi" w:hAnsiTheme="minorHAnsi" w:cstheme="minorHAnsi"/>
          <w:i/>
        </w:rPr>
        <w:t>/14</w:t>
      </w:r>
      <w:r>
        <w:rPr>
          <w:rFonts w:asciiTheme="minorHAnsi" w:hAnsiTheme="minorHAnsi" w:cstheme="minorHAnsi"/>
          <w:i/>
        </w:rPr>
        <w:t xml:space="preserve"> financial years) </w:t>
      </w:r>
      <w:r w:rsidRPr="00FC7F9D">
        <w:rPr>
          <w:rFonts w:asciiTheme="minorHAnsi" w:hAnsiTheme="minorHAnsi" w:cstheme="minorHAnsi"/>
          <w:i/>
          <w:vertAlign w:val="superscript"/>
        </w:rPr>
        <w:t>1</w:t>
      </w:r>
      <w:bookmarkEnd w:id="13"/>
    </w:p>
    <w:p w14:paraId="79C8DCA7" w14:textId="77777777" w:rsidR="00B11EA5" w:rsidRDefault="00FC7F9D" w:rsidP="007671FC">
      <w:pPr>
        <w:pStyle w:val="BodyText"/>
        <w:spacing w:line="240" w:lineRule="auto"/>
        <w:jc w:val="center"/>
      </w:pPr>
      <w:r>
        <w:rPr>
          <w:noProof/>
          <w:lang w:val="en-NZ" w:eastAsia="en-NZ"/>
        </w:rPr>
        <w:drawing>
          <wp:inline distT="0" distB="0" distL="0" distR="0" wp14:anchorId="7BB201DE" wp14:editId="76FEA2E6">
            <wp:extent cx="5943600" cy="3274828"/>
            <wp:effectExtent l="0" t="0" r="19050" b="2095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9C5FEDC" w14:textId="77777777" w:rsidR="00FC7F9D" w:rsidRPr="00AF3A24" w:rsidRDefault="00FC7F9D" w:rsidP="00FC7F9D">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2BCF1211" w14:textId="41F12896" w:rsidR="00FC7F9D" w:rsidRDefault="00FC7F9D" w:rsidP="00E625DB">
      <w:pPr>
        <w:pStyle w:val="ListParagraph"/>
        <w:numPr>
          <w:ilvl w:val="0"/>
          <w:numId w:val="14"/>
        </w:numPr>
        <w:spacing w:line="240" w:lineRule="auto"/>
        <w:jc w:val="left"/>
        <w:rPr>
          <w:rFonts w:asciiTheme="minorHAnsi" w:hAnsiTheme="minorHAnsi" w:cstheme="minorHAnsi"/>
          <w:sz w:val="16"/>
        </w:rPr>
      </w:pPr>
      <w:r>
        <w:rPr>
          <w:rFonts w:asciiTheme="minorHAnsi" w:hAnsiTheme="minorHAnsi" w:cstheme="minorHAnsi"/>
          <w:sz w:val="16"/>
        </w:rPr>
        <w:t xml:space="preserve">Source: Department of Internal Affairs </w:t>
      </w:r>
      <w:r>
        <w:rPr>
          <w:rFonts w:asciiTheme="minorHAnsi" w:hAnsiTheme="minorHAnsi" w:cstheme="minorHAnsi"/>
          <w:sz w:val="16"/>
        </w:rPr>
        <w:fldChar w:fldCharType="begin"/>
      </w:r>
      <w:r w:rsidR="00A34C5E">
        <w:rPr>
          <w:rFonts w:asciiTheme="minorHAnsi" w:hAnsiTheme="minorHAnsi" w:cstheme="minorHAnsi"/>
          <w:sz w:val="16"/>
        </w:rPr>
        <w:instrText xml:space="preserve"> ADDIN EN.CITE &lt;EndNote&gt;&lt;Cite ExcludeAuth="1"&gt;&lt;Author&gt;Department of Internal Affairs&lt;/Author&gt;&lt;Year&gt;2014&lt;/Year&gt;&lt;RecNum&gt;938&lt;/RecNum&gt;&lt;DisplayText&gt;(2014a)&lt;/DisplayText&gt;&lt;record&gt;&lt;rec-number&gt;938&lt;/rec-number&gt;&lt;foreign-keys&gt;&lt;key app="EN" db-id="9pzse05rcvx956etremxfzdh9fzdxvd95rp2"&gt;938&lt;/key&gt;&lt;/foreign-keys&gt;&lt;ref-type name="Web Page"&gt;12&lt;/ref-type&gt;&lt;contributors&gt;&lt;authors&gt;&lt;author&gt;Department of Internal Affairs,&lt;/author&gt;&lt;/authors&gt;&lt;/contributors&gt;&lt;titles&gt;&lt;title&gt;Gambling Expenditure Statistics&lt;/title&gt;&lt;/titles&gt;&lt;volume&gt;2014&lt;/volume&gt;&lt;number&gt;9 October&lt;/number&gt;&lt;dates&gt;&lt;year&gt;2014&lt;/year&gt;&lt;/dates&gt;&lt;urls&gt;&lt;related-urls&gt;&lt;url&gt;http://www.dia.govt.nz/diawebsite.nsf/wpg_URL/Resource-material-Information-We-Provide-Gambling-Expenditure-Statistics&lt;/url&gt;&lt;/related-urls&gt;&lt;/urls&gt;&lt;/record&gt;&lt;/Cite&gt;&lt;/EndNote&gt;</w:instrText>
      </w:r>
      <w:r>
        <w:rPr>
          <w:rFonts w:asciiTheme="minorHAnsi" w:hAnsiTheme="minorHAnsi" w:cstheme="minorHAnsi"/>
          <w:sz w:val="16"/>
        </w:rPr>
        <w:fldChar w:fldCharType="separate"/>
      </w:r>
      <w:r w:rsidR="0025536E">
        <w:rPr>
          <w:rFonts w:asciiTheme="minorHAnsi" w:hAnsiTheme="minorHAnsi" w:cstheme="minorHAnsi"/>
          <w:noProof/>
          <w:sz w:val="16"/>
        </w:rPr>
        <w:t>(</w:t>
      </w:r>
      <w:hyperlink w:anchor="_ENREF_17" w:tooltip="Department of Internal Affairs, 2014 #938" w:history="1">
        <w:r w:rsidR="00765F46">
          <w:rPr>
            <w:rFonts w:asciiTheme="minorHAnsi" w:hAnsiTheme="minorHAnsi" w:cstheme="minorHAnsi"/>
            <w:noProof/>
            <w:sz w:val="16"/>
          </w:rPr>
          <w:t>2014a</w:t>
        </w:r>
      </w:hyperlink>
      <w:r w:rsidR="0025536E">
        <w:rPr>
          <w:rFonts w:asciiTheme="minorHAnsi" w:hAnsiTheme="minorHAnsi" w:cstheme="minorHAnsi"/>
          <w:noProof/>
          <w:sz w:val="16"/>
        </w:rPr>
        <w:t>)</w:t>
      </w:r>
      <w:r>
        <w:rPr>
          <w:rFonts w:asciiTheme="minorHAnsi" w:hAnsiTheme="minorHAnsi" w:cstheme="minorHAnsi"/>
          <w:sz w:val="16"/>
        </w:rPr>
        <w:fldChar w:fldCharType="end"/>
      </w:r>
      <w:r w:rsidRPr="00AF3A24">
        <w:rPr>
          <w:rFonts w:asciiTheme="minorHAnsi" w:hAnsiTheme="minorHAnsi" w:cstheme="minorHAnsi"/>
          <w:sz w:val="16"/>
        </w:rPr>
        <w:t xml:space="preserve">. </w:t>
      </w:r>
    </w:p>
    <w:p w14:paraId="41F4EF57" w14:textId="77777777" w:rsidR="00B11EA5" w:rsidRPr="00872202" w:rsidRDefault="00335C03" w:rsidP="00E625DB">
      <w:pPr>
        <w:pStyle w:val="ListParagraph"/>
        <w:numPr>
          <w:ilvl w:val="0"/>
          <w:numId w:val="14"/>
        </w:numPr>
        <w:spacing w:line="240" w:lineRule="auto"/>
        <w:jc w:val="left"/>
        <w:rPr>
          <w:rFonts w:asciiTheme="minorHAnsi" w:hAnsiTheme="minorHAnsi" w:cstheme="minorHAnsi"/>
          <w:sz w:val="16"/>
        </w:rPr>
      </w:pPr>
      <w:r w:rsidRPr="00A27716">
        <w:rPr>
          <w:rFonts w:asciiTheme="minorHAnsi" w:hAnsiTheme="minorHAnsi" w:cstheme="minorHAnsi"/>
          <w:sz w:val="16"/>
        </w:rPr>
        <w:t xml:space="preserve">Expenditure is the amount lost or spent by players or the gross profit of the gaming operator. </w:t>
      </w:r>
      <w:r w:rsidR="0064669B">
        <w:rPr>
          <w:rFonts w:asciiTheme="minorHAnsi" w:hAnsiTheme="minorHAnsi" w:cstheme="minorHAnsi"/>
          <w:sz w:val="16"/>
        </w:rPr>
        <w:t xml:space="preserve"> </w:t>
      </w:r>
      <w:r w:rsidR="002D5625">
        <w:rPr>
          <w:rFonts w:asciiTheme="minorHAnsi" w:hAnsiTheme="minorHAnsi" w:cstheme="minorHAnsi"/>
          <w:sz w:val="16"/>
        </w:rPr>
        <w:t>Expenditure has not been adjusted for inflation.</w:t>
      </w:r>
    </w:p>
    <w:p w14:paraId="6C8EBC49" w14:textId="77777777" w:rsidR="00B11EA5" w:rsidRDefault="00B11EA5" w:rsidP="00EF1808">
      <w:pPr>
        <w:pStyle w:val="BodyText"/>
        <w:spacing w:line="480" w:lineRule="auto"/>
      </w:pPr>
    </w:p>
    <w:p w14:paraId="3ADA3B00" w14:textId="3EEB0BFD" w:rsidR="00265743" w:rsidRDefault="00C62C68" w:rsidP="00EF1808">
      <w:pPr>
        <w:pStyle w:val="BodyText"/>
        <w:spacing w:line="480" w:lineRule="auto"/>
      </w:pPr>
      <w:r>
        <w:t xml:space="preserve">From 1985 through to 2005, the DIA </w:t>
      </w:r>
      <w:r w:rsidR="00701399">
        <w:t xml:space="preserve">also </w:t>
      </w:r>
      <w:r>
        <w:t xml:space="preserve">carried out five-yearly surveys on gambling participation in New Zealand </w:t>
      </w:r>
      <w:r>
        <w:fldChar w:fldCharType="begin"/>
      </w:r>
      <w:r w:rsidR="00A34C5E">
        <w:instrText xml:space="preserve"> ADDIN EN.CITE &lt;EndNote&gt;&lt;Cite&gt;&lt;Author&gt;Department of Internal Affairs&lt;/Author&gt;&lt;Year&gt;2007&lt;/Year&gt;&lt;RecNum&gt;936&lt;/RecNum&gt;&lt;DisplayText&gt;(Department of Internal Affairs, 2007)&lt;/DisplayText&gt;&lt;record&gt;&lt;rec-number&gt;936&lt;/rec-number&gt;&lt;foreign-keys&gt;&lt;key app="EN" db-id="9pzse05rcvx956etremxfzdh9fzdxvd95rp2"&gt;936&lt;/key&gt;&lt;/foreign-keys&gt;&lt;ref-type name="Report"&gt;27&lt;/ref-type&gt;&lt;contributors&gt;&lt;authors&gt;&lt;author&gt;Department of Internal Affairs,&lt;/author&gt;&lt;/authors&gt;&lt;/contributors&gt;&lt;titles&gt;&lt;title&gt;People&amp;apos;s participation in, and attitudes to, gambling, 1985-2005: Results of the 2005 survey&lt;/title&gt;&lt;/titles&gt;&lt;dates&gt;&lt;year&gt;2007&lt;/year&gt;&lt;/dates&gt;&lt;pub-location&gt;Wellington&lt;/pub-location&gt;&lt;publisher&gt;Department of Internal Affairs&lt;/publisher&gt;&lt;urls&gt;&lt;/urls&gt;&lt;/record&gt;&lt;/Cite&gt;&lt;/EndNote&gt;</w:instrText>
      </w:r>
      <w:r>
        <w:fldChar w:fldCharType="separate"/>
      </w:r>
      <w:r>
        <w:rPr>
          <w:noProof/>
        </w:rPr>
        <w:t>(</w:t>
      </w:r>
      <w:hyperlink w:anchor="_ENREF_15" w:tooltip="Department of Internal Affairs, 2007 #936" w:history="1">
        <w:r w:rsidR="00765F46">
          <w:rPr>
            <w:noProof/>
          </w:rPr>
          <w:t>Department of Internal Affairs, 2007</w:t>
        </w:r>
      </w:hyperlink>
      <w:r>
        <w:rPr>
          <w:noProof/>
        </w:rPr>
        <w:t>)</w:t>
      </w:r>
      <w:r>
        <w:fldChar w:fldCharType="end"/>
      </w:r>
      <w:r>
        <w:t xml:space="preserve">.  These were complemented by two National Prevalence Surveys that were conducted in 1991 and 1999 </w:t>
      </w:r>
      <w:r>
        <w:fldChar w:fldCharType="begin"/>
      </w:r>
      <w:r w:rsidR="00A34C5E">
        <w:instrText xml:space="preserve"> ADDIN EN.CITE &lt;EndNote&gt;&lt;Cite&gt;&lt;Author&gt;Abbott&lt;/Author&gt;&lt;Year&gt;2000&lt;/Year&gt;&lt;RecNum&gt;810&lt;/RecNum&gt;&lt;DisplayText&gt;(Abbott &amp;amp; Volberg, 1991, 2000a)&lt;/DisplayText&gt;&lt;record&gt;&lt;rec-number&gt;810&lt;/rec-number&gt;&lt;foreign-keys&gt;&lt;key app="EN" db-id="9pzse05rcvx956etremxfzdh9fzdxvd95rp2"&gt;810&lt;/key&gt;&lt;/foreign-keys&gt;&lt;ref-type name="Report"&gt;27&lt;/ref-type&gt;&lt;contributors&gt;&lt;authors&gt;&lt;author&gt;Abbott, M.&lt;/author&gt;&lt;author&gt;Volberg, R. A.&lt;/author&gt;&lt;/authors&gt;&lt;/contributors&gt;&lt;titles&gt;&lt;title&gt;Taking the pulse on gambling and problem gambling in New Zealand: A report on phase one of the 1999 national prevalence survey (Report number three of the New Zealand Gaming Survey)&lt;/title&gt;&lt;/titles&gt;&lt;dates&gt;&lt;year&gt;2000&lt;/year&gt;&lt;/dates&gt;&lt;pub-location&gt;Wellington&lt;/pub-location&gt;&lt;publisher&gt;The Department of Internal Affairs&lt;/publisher&gt;&lt;urls&gt;&lt;/urls&gt;&lt;/record&gt;&lt;/Cite&gt;&lt;Cite&gt;&lt;Author&gt;Abbott&lt;/Author&gt;&lt;Year&gt;1991&lt;/Year&gt;&lt;RecNum&gt;937&lt;/RecNum&gt;&lt;record&gt;&lt;rec-number&gt;937&lt;/rec-number&gt;&lt;foreign-keys&gt;&lt;key app="EN" db-id="9pzse05rcvx956etremxfzdh9fzdxvd95rp2"&gt;937&lt;/key&gt;&lt;/foreign-keys&gt;&lt;ref-type name="Report"&gt;27&lt;/ref-type&gt;&lt;contributors&gt;&lt;authors&gt;&lt;author&gt;Abbott, M.&lt;/author&gt;&lt;author&gt;Volberg, R. A.&lt;/author&gt;&lt;/authors&gt;&lt;/contributors&gt;&lt;titles&gt;&lt;title&gt;Gambling and problem gambling in New Zealand. Research Series No.12&lt;/title&gt;&lt;/titles&gt;&lt;dates&gt;&lt;year&gt;1991&lt;/year&gt;&lt;/dates&gt;&lt;pub-location&gt;Wellington&lt;/pub-location&gt;&lt;publisher&gt;Department of Internal Affairs&lt;/publisher&gt;&lt;urls&gt;&lt;/urls&gt;&lt;/record&gt;&lt;/Cite&gt;&lt;/EndNote&gt;</w:instrText>
      </w:r>
      <w:r>
        <w:fldChar w:fldCharType="separate"/>
      </w:r>
      <w:r>
        <w:rPr>
          <w:noProof/>
        </w:rPr>
        <w:t>(</w:t>
      </w:r>
      <w:hyperlink w:anchor="_ENREF_5" w:tooltip="Abbott, 1991 #937" w:history="1">
        <w:r w:rsidR="00765F46">
          <w:rPr>
            <w:noProof/>
          </w:rPr>
          <w:t>Abbott &amp; Volberg, 1991</w:t>
        </w:r>
      </w:hyperlink>
      <w:r>
        <w:rPr>
          <w:noProof/>
        </w:rPr>
        <w:t xml:space="preserve">, </w:t>
      </w:r>
      <w:hyperlink w:anchor="_ENREF_7" w:tooltip="Abbott, 2000 #810" w:history="1">
        <w:r w:rsidR="00765F46">
          <w:rPr>
            <w:noProof/>
          </w:rPr>
          <w:t>2000a</w:t>
        </w:r>
      </w:hyperlink>
      <w:r>
        <w:rPr>
          <w:noProof/>
        </w:rPr>
        <w:t>)</w:t>
      </w:r>
      <w:r>
        <w:fldChar w:fldCharType="end"/>
      </w:r>
      <w:r>
        <w:t>.  The National Prevalence Surveys</w:t>
      </w:r>
      <w:r w:rsidR="004A33F1">
        <w:t xml:space="preserve"> </w:t>
      </w:r>
      <w:r w:rsidR="00F1406F">
        <w:t>carried out</w:t>
      </w:r>
      <w:r w:rsidR="004A33F1">
        <w:t xml:space="preserve"> comprehensive assessments of participation in gambling and problem gambling</w:t>
      </w:r>
      <w:r w:rsidR="00F1406F">
        <w:t>, including</w:t>
      </w:r>
      <w:r w:rsidR="00105DD2">
        <w:t xml:space="preserve"> a standardised measure of problem gambling </w:t>
      </w:r>
      <w:r w:rsidR="004A33F1">
        <w:t xml:space="preserve">over two timeframes: lifetime and previous-six months.  </w:t>
      </w:r>
      <w:r w:rsidR="00BD2CC9">
        <w:t xml:space="preserve">Amongst </w:t>
      </w:r>
      <w:r w:rsidR="00BD2CC9">
        <w:lastRenderedPageBreak/>
        <w:t xml:space="preserve">other things, </w:t>
      </w:r>
      <w:r w:rsidR="00B85D54">
        <w:t>these studies found that the majority of New Zealanders participate in some form of gambling</w:t>
      </w:r>
      <w:r w:rsidR="00F94CC0">
        <w:t xml:space="preserve">.  The 1991 National Prevalence Study found that 89% of adults had gambled in the past six-months, compared with 86% in the 1999 study </w:t>
      </w:r>
      <w:r w:rsidR="00F94CC0">
        <w:fldChar w:fldCharType="begin"/>
      </w:r>
      <w:r w:rsidR="00A34C5E">
        <w:instrText xml:space="preserve"> ADDIN EN.CITE &lt;EndNote&gt;&lt;Cite&gt;&lt;Author&gt;Abbott&lt;/Author&gt;&lt;Year&gt;1991&lt;/Year&gt;&lt;RecNum&gt;937&lt;/RecNum&gt;&lt;DisplayText&gt;(Abbott &amp;amp; Volberg, 1991, 2000a)&lt;/DisplayText&gt;&lt;record&gt;&lt;rec-number&gt;937&lt;/rec-number&gt;&lt;foreign-keys&gt;&lt;key app="EN" db-id="9pzse05rcvx956etremxfzdh9fzdxvd95rp2"&gt;937&lt;/key&gt;&lt;/foreign-keys&gt;&lt;ref-type name="Report"&gt;27&lt;/ref-type&gt;&lt;contributors&gt;&lt;authors&gt;&lt;author&gt;Abbott, M.&lt;/author&gt;&lt;author&gt;Volberg, R. A.&lt;/author&gt;&lt;/authors&gt;&lt;/contributors&gt;&lt;titles&gt;&lt;title&gt;Gambling and problem gambling in New Zealand. Research Series No.12&lt;/title&gt;&lt;/titles&gt;&lt;dates&gt;&lt;year&gt;1991&lt;/year&gt;&lt;/dates&gt;&lt;pub-location&gt;Wellington&lt;/pub-location&gt;&lt;publisher&gt;Department of Internal Affairs&lt;/publisher&gt;&lt;urls&gt;&lt;/urls&gt;&lt;/record&gt;&lt;/Cite&gt;&lt;Cite&gt;&lt;Author&gt;Abbott&lt;/Author&gt;&lt;Year&gt;2000&lt;/Year&gt;&lt;RecNum&gt;810&lt;/RecNum&gt;&lt;record&gt;&lt;rec-number&gt;810&lt;/rec-number&gt;&lt;foreign-keys&gt;&lt;key app="EN" db-id="9pzse05rcvx956etremxfzdh9fzdxvd95rp2"&gt;810&lt;/key&gt;&lt;/foreign-keys&gt;&lt;ref-type name="Report"&gt;27&lt;/ref-type&gt;&lt;contributors&gt;&lt;authors&gt;&lt;author&gt;Abbott, M.&lt;/author&gt;&lt;author&gt;Volberg, R. A.&lt;/author&gt;&lt;/authors&gt;&lt;/contributors&gt;&lt;titles&gt;&lt;title&gt;Taking the pulse on gambling and problem gambling in New Zealand: A report on phase one of the 1999 national prevalence survey (Report number three of the New Zealand Gaming Survey)&lt;/title&gt;&lt;/titles&gt;&lt;dates&gt;&lt;year&gt;2000&lt;/year&gt;&lt;/dates&gt;&lt;pub-location&gt;Wellington&lt;/pub-location&gt;&lt;publisher&gt;The Department of Internal Affairs&lt;/publisher&gt;&lt;urls&gt;&lt;/urls&gt;&lt;/record&gt;&lt;/Cite&gt;&lt;/EndNote&gt;</w:instrText>
      </w:r>
      <w:r w:rsidR="00F94CC0">
        <w:fldChar w:fldCharType="separate"/>
      </w:r>
      <w:r w:rsidR="00F94CC0">
        <w:rPr>
          <w:noProof/>
        </w:rPr>
        <w:t>(</w:t>
      </w:r>
      <w:hyperlink w:anchor="_ENREF_5" w:tooltip="Abbott, 1991 #937" w:history="1">
        <w:r w:rsidR="00765F46">
          <w:rPr>
            <w:noProof/>
          </w:rPr>
          <w:t>Abbott &amp; Volberg, 1991</w:t>
        </w:r>
      </w:hyperlink>
      <w:r w:rsidR="00F94CC0">
        <w:rPr>
          <w:noProof/>
        </w:rPr>
        <w:t xml:space="preserve">, </w:t>
      </w:r>
      <w:hyperlink w:anchor="_ENREF_7" w:tooltip="Abbott, 2000 #810" w:history="1">
        <w:r w:rsidR="00765F46">
          <w:rPr>
            <w:noProof/>
          </w:rPr>
          <w:t>2000a</w:t>
        </w:r>
      </w:hyperlink>
      <w:r w:rsidR="00F94CC0">
        <w:rPr>
          <w:noProof/>
        </w:rPr>
        <w:t>)</w:t>
      </w:r>
      <w:r w:rsidR="00F94CC0">
        <w:fldChar w:fldCharType="end"/>
      </w:r>
      <w:r w:rsidR="00B6511D">
        <w:t>.  These</w:t>
      </w:r>
      <w:r w:rsidR="00F30AC3">
        <w:t xml:space="preserve"> </w:t>
      </w:r>
      <w:r w:rsidR="00F94CC0">
        <w:t>rates</w:t>
      </w:r>
      <w:r w:rsidR="00F30AC3">
        <w:t xml:space="preserve"> </w:t>
      </w:r>
      <w:r w:rsidR="00B6511D">
        <w:t>a</w:t>
      </w:r>
      <w:r w:rsidR="00F94CC0">
        <w:t xml:space="preserve">re consistent with those observed in the 1990 and 2000 DIA surveys </w:t>
      </w:r>
      <w:r w:rsidR="00F94CC0">
        <w:fldChar w:fldCharType="begin"/>
      </w:r>
      <w:r w:rsidR="00A34C5E">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F94CC0">
        <w:fldChar w:fldCharType="separate"/>
      </w:r>
      <w:r w:rsidR="002D48C5">
        <w:rPr>
          <w:noProof/>
        </w:rPr>
        <w:t>(</w:t>
      </w:r>
      <w:hyperlink w:anchor="_ENREF_2" w:tooltip="Abbott, 2014 #917" w:history="1">
        <w:r w:rsidR="00765F46">
          <w:rPr>
            <w:noProof/>
          </w:rPr>
          <w:t>Abbott et al., 2014b</w:t>
        </w:r>
      </w:hyperlink>
      <w:r w:rsidR="002D48C5">
        <w:rPr>
          <w:noProof/>
        </w:rPr>
        <w:t>)</w:t>
      </w:r>
      <w:r w:rsidR="00F94CC0">
        <w:fldChar w:fldCharType="end"/>
      </w:r>
      <w:r w:rsidR="00F94CC0">
        <w:t xml:space="preserve">. </w:t>
      </w:r>
      <w:r w:rsidR="00F30AC3">
        <w:t xml:space="preserve"> The 1999 </w:t>
      </w:r>
      <w:r w:rsidR="00B6511D">
        <w:t xml:space="preserve">National prevalence </w:t>
      </w:r>
      <w:r w:rsidR="00F30AC3">
        <w:t xml:space="preserve">survey found that approximately 40% of adults gambled on a weekly basis, mostly on lottery products, </w:t>
      </w:r>
      <w:r w:rsidR="004F2962">
        <w:t>although</w:t>
      </w:r>
      <w:r w:rsidR="00F30AC3">
        <w:t xml:space="preserve"> a</w:t>
      </w:r>
      <w:r w:rsidR="004F2962">
        <w:t>pproximately</w:t>
      </w:r>
      <w:r w:rsidR="00F30AC3">
        <w:t xml:space="preserve"> ten percent gambled </w:t>
      </w:r>
      <w:r w:rsidR="004F2962">
        <w:t xml:space="preserve">weekly </w:t>
      </w:r>
      <w:r w:rsidR="00F30AC3" w:rsidRPr="003A323C">
        <w:t xml:space="preserve">on </w:t>
      </w:r>
      <w:r w:rsidR="003A323C">
        <w:t>EGMs and track betting</w:t>
      </w:r>
      <w:r w:rsidR="003A323C" w:rsidRPr="003A323C">
        <w:t xml:space="preserve"> </w:t>
      </w:r>
      <w:r w:rsidR="003A323C">
        <w:t xml:space="preserve">(both of which are </w:t>
      </w:r>
      <w:r w:rsidR="00F30AC3" w:rsidRPr="003A323C">
        <w:t>continuous</w:t>
      </w:r>
      <w:r w:rsidR="00A7737C" w:rsidRPr="003A323C">
        <w:rPr>
          <w:rStyle w:val="FootnoteReference"/>
        </w:rPr>
        <w:footnoteReference w:id="1"/>
      </w:r>
      <w:r w:rsidR="00F30AC3" w:rsidRPr="003A323C">
        <w:t xml:space="preserve"> m</w:t>
      </w:r>
      <w:r w:rsidR="00F30AC3">
        <w:t xml:space="preserve">odes of gambling). </w:t>
      </w:r>
      <w:r w:rsidR="009030B4">
        <w:t xml:space="preserve"> Socio-demographic characteristics were found to vary according to the type of gambling, with males,</w:t>
      </w:r>
      <w:r w:rsidR="00D33BEA">
        <w:t xml:space="preserve"> Māori, and </w:t>
      </w:r>
      <w:r w:rsidR="009030B4">
        <w:t xml:space="preserve">those aged </w:t>
      </w:r>
      <w:r w:rsidR="00D33BEA">
        <w:t>5</w:t>
      </w:r>
      <w:r w:rsidR="009030B4">
        <w:t xml:space="preserve">5-64, without formal educational </w:t>
      </w:r>
      <w:r w:rsidR="00D33BEA">
        <w:t>qualifications</w:t>
      </w:r>
      <w:r w:rsidR="009030B4">
        <w:t xml:space="preserve">, and with lower status occupations being more likely to regularly participate in continuous modes of gambling. </w:t>
      </w:r>
    </w:p>
    <w:p w14:paraId="611639DA" w14:textId="08D45773" w:rsidR="002353F2" w:rsidRDefault="002353F2" w:rsidP="00EF1808">
      <w:pPr>
        <w:pStyle w:val="BodyText"/>
        <w:spacing w:line="480" w:lineRule="auto"/>
      </w:pPr>
      <w:r>
        <w:t>The most recent Na</w:t>
      </w:r>
      <w:r w:rsidR="00D44BBF">
        <w:t>tional Gambling Study</w:t>
      </w:r>
      <w:r w:rsidR="00265743">
        <w:t>, carried out in 2012,</w:t>
      </w:r>
      <w:r w:rsidR="00D44BBF">
        <w:t xml:space="preserve"> found a lifetime gambling rate of</w:t>
      </w:r>
      <w:r>
        <w:t xml:space="preserve"> </w:t>
      </w:r>
      <w:r w:rsidR="00D44BBF">
        <w:t xml:space="preserve">86% for adults (aged 18 and over) and a past-year rate of </w:t>
      </w:r>
      <w:r>
        <w:t>80%</w:t>
      </w:r>
      <w:r w:rsidR="00D44BBF">
        <w:t xml:space="preserve">. </w:t>
      </w:r>
      <w:r w:rsidR="00265743">
        <w:t xml:space="preserve"> </w:t>
      </w:r>
      <w:r w:rsidR="00D44BBF">
        <w:t>The</w:t>
      </w:r>
      <w:r>
        <w:t xml:space="preserve"> </w:t>
      </w:r>
      <w:r w:rsidR="00265743">
        <w:t xml:space="preserve">authors of this study note that the </w:t>
      </w:r>
      <w:r w:rsidR="00D44BBF">
        <w:t xml:space="preserve">past-year </w:t>
      </w:r>
      <w:r w:rsidR="00265743">
        <w:t xml:space="preserve">gambling </w:t>
      </w:r>
      <w:r>
        <w:t>rate is consistent with the 2005 and 2010 studies</w:t>
      </w:r>
      <w:r w:rsidR="00265743">
        <w:t>,</w:t>
      </w:r>
      <w:r>
        <w:t xml:space="preserve"> but lower than the rate observed in the 1990s </w:t>
      </w:r>
      <w:r>
        <w:fldChar w:fldCharType="begin"/>
      </w:r>
      <w:r w:rsidR="00A34C5E">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fldChar w:fldCharType="separate"/>
      </w:r>
      <w:r>
        <w:rPr>
          <w:noProof/>
        </w:rPr>
        <w:t>(</w:t>
      </w:r>
      <w:hyperlink w:anchor="_ENREF_2" w:tooltip="Abbott, 2014 #917" w:history="1">
        <w:r w:rsidR="00765F46">
          <w:rPr>
            <w:noProof/>
          </w:rPr>
          <w:t>Abbott et al., 2014b</w:t>
        </w:r>
      </w:hyperlink>
      <w:r>
        <w:rPr>
          <w:noProof/>
        </w:rPr>
        <w:t>)</w:t>
      </w:r>
      <w:r>
        <w:fldChar w:fldCharType="end"/>
      </w:r>
      <w:r w:rsidR="004265A1">
        <w:t>.  Th</w:t>
      </w:r>
      <w:r w:rsidR="004A0251">
        <w:t>is study also found that th</w:t>
      </w:r>
      <w:r w:rsidR="004265A1">
        <w:t xml:space="preserve">e proportion of adults who gambled on a weekly basis (22%) had decreased substantially </w:t>
      </w:r>
      <w:r w:rsidR="00D062D8">
        <w:t>from the rate</w:t>
      </w:r>
      <w:r w:rsidR="00C336CC">
        <w:t>s</w:t>
      </w:r>
      <w:r w:rsidR="00D062D8">
        <w:t xml:space="preserve"> observed in</w:t>
      </w:r>
      <w:r w:rsidR="004265A1">
        <w:t xml:space="preserve"> the 1991 (48%) and 1999 (40%) surveys.  Decreases in weekly participation were particularly noticeable amongst those who gambled </w:t>
      </w:r>
      <w:r w:rsidR="00BD2CC9">
        <w:t>on continuous forms of gambling</w:t>
      </w:r>
      <w:r w:rsidR="004265A1">
        <w:t xml:space="preserve">.  Lotto continued to be the most popular activity (62%), followed by raffles (47%), Instant Kiwi (33%), bets with friends and workmates (15%), </w:t>
      </w:r>
      <w:r w:rsidR="0040349E">
        <w:t xml:space="preserve">non-casino EGMs (14%) and track betting (12%). </w:t>
      </w:r>
    </w:p>
    <w:p w14:paraId="2CB64BA5" w14:textId="7817EA33" w:rsidR="00EF2995" w:rsidRDefault="00EF2995" w:rsidP="00EF1808">
      <w:pPr>
        <w:pStyle w:val="BodyText"/>
        <w:spacing w:line="480" w:lineRule="auto"/>
      </w:pPr>
      <w:r>
        <w:t>T</w:t>
      </w:r>
      <w:r w:rsidRPr="00EF2995">
        <w:t xml:space="preserve">he </w:t>
      </w:r>
      <w:r w:rsidR="003B309F">
        <w:t xml:space="preserve">Ministry of Health’s </w:t>
      </w:r>
      <w:r>
        <w:t>New Zealand Health Surveys (NZHS)</w:t>
      </w:r>
      <w:r w:rsidRPr="00EF2995">
        <w:t xml:space="preserve"> </w:t>
      </w:r>
      <w:r>
        <w:t>provide a</w:t>
      </w:r>
      <w:r w:rsidRPr="00EF2995">
        <w:t xml:space="preserve">nother source of information on </w:t>
      </w:r>
      <w:r>
        <w:t xml:space="preserve">the </w:t>
      </w:r>
      <w:r w:rsidRPr="00EF2995">
        <w:t xml:space="preserve">gambling </w:t>
      </w:r>
      <w:r>
        <w:t xml:space="preserve">behaviour of New Zealand adults.  </w:t>
      </w:r>
      <w:r w:rsidR="00105DD2">
        <w:t xml:space="preserve">These nationally representative surveys aim to provide accurate information “about people’s health behaviours and lifestyles, their health status and their access to healthcare.” </w:t>
      </w:r>
      <w:r w:rsidR="00105DD2">
        <w:fldChar w:fldCharType="begin"/>
      </w:r>
      <w:r w:rsidR="00A34C5E">
        <w:instrText xml:space="preserve"> ADDIN EN.CITE &lt;EndNote&gt;&lt;Cite&gt;&lt;Author&gt;Ministry of Health&lt;/Author&gt;&lt;Year&gt;2012&lt;/Year&gt;&lt;RecNum&gt;919&lt;/RecNum&gt;&lt;Suffix&gt;`, p.vii&lt;/Suffix&gt;&lt;DisplayText&gt;(Ministry of Health, 2012a, p.vii)&lt;/DisplayText&gt;&lt;record&gt;&lt;rec-number&gt;919&lt;/rec-number&gt;&lt;foreign-keys&gt;&lt;key app="EN" db-id="9pzse05rcvx956etremxfzdh9fzdxvd95rp2"&gt;919&lt;/key&gt;&lt;/foreign-keys&gt;&lt;ref-type name="Report"&gt;27&lt;/ref-type&gt;&lt;contributors&gt;&lt;authors&gt;&lt;author&gt;Ministry of Health,&lt;/author&gt;&lt;/authors&gt;&lt;/contributors&gt;&lt;titles&gt;&lt;title&gt;The Health of New Zealand Adults 2011/12: Key Findings of the New Zealand Health Survey&lt;/title&gt;&lt;/titles&gt;&lt;dates&gt;&lt;year&gt;2012&lt;/year&gt;&lt;/dates&gt;&lt;pub-location&gt;Wellington&lt;/pub-location&gt;&lt;publisher&gt;Ministry of Health&lt;/publisher&gt;&lt;urls&gt;&lt;/urls&gt;&lt;/record&gt;&lt;/Cite&gt;&lt;/EndNote&gt;</w:instrText>
      </w:r>
      <w:r w:rsidR="00105DD2">
        <w:fldChar w:fldCharType="separate"/>
      </w:r>
      <w:r w:rsidR="00105DD2">
        <w:rPr>
          <w:noProof/>
        </w:rPr>
        <w:t>(</w:t>
      </w:r>
      <w:hyperlink w:anchor="_ENREF_40" w:tooltip="Ministry of Health, 2012 #919" w:history="1">
        <w:r w:rsidR="00765F46">
          <w:rPr>
            <w:noProof/>
          </w:rPr>
          <w:t>Ministry of Health, 2012a, p.vii</w:t>
        </w:r>
      </w:hyperlink>
      <w:r w:rsidR="00105DD2">
        <w:rPr>
          <w:noProof/>
        </w:rPr>
        <w:t>)</w:t>
      </w:r>
      <w:r w:rsidR="00105DD2">
        <w:fldChar w:fldCharType="end"/>
      </w:r>
      <w:r w:rsidR="00105DD2">
        <w:t xml:space="preserve">.  </w:t>
      </w:r>
      <w:r>
        <w:t xml:space="preserve">Items on gambling </w:t>
      </w:r>
      <w:r w:rsidR="00105DD2">
        <w:t xml:space="preserve">and problem gambling </w:t>
      </w:r>
      <w:r>
        <w:t xml:space="preserve">have been included in the three most recent surveys: 2002/03, 2006/07 and 2011/12. </w:t>
      </w:r>
      <w:r w:rsidR="004E019D">
        <w:t xml:space="preserve"> </w:t>
      </w:r>
      <w:r w:rsidR="003B309F">
        <w:t xml:space="preserve">The two earlier studies found </w:t>
      </w:r>
      <w:r w:rsidR="004E019D">
        <w:t xml:space="preserve">a small but </w:t>
      </w:r>
      <w:r w:rsidR="004E019D">
        <w:lastRenderedPageBreak/>
        <w:t>significant decrease in past-year gambling rates</w:t>
      </w:r>
      <w:r w:rsidR="00AE6DE5">
        <w:t>,</w:t>
      </w:r>
      <w:r w:rsidR="004E019D">
        <w:t xml:space="preserve"> from 69.4%</w:t>
      </w:r>
      <w:r w:rsidR="00AE6DE5">
        <w:t xml:space="preserve"> in</w:t>
      </w:r>
      <w:r w:rsidR="004E019D">
        <w:t xml:space="preserve"> </w:t>
      </w:r>
      <w:r w:rsidR="00AE6DE5">
        <w:t xml:space="preserve">2002/03, to 65.3% in 2006/07 </w:t>
      </w:r>
      <w:r w:rsidR="00AE6DE5">
        <w:fldChar w:fldCharType="begin"/>
      </w:r>
      <w:r w:rsidR="00A34C5E">
        <w:instrText xml:space="preserve"> ADDIN EN.CITE &lt;EndNote&gt;&lt;Cite&gt;&lt;Author&gt;Ministry of Health&lt;/Author&gt;&lt;Year&gt;2006&lt;/Year&gt;&lt;RecNum&gt;31&lt;/RecNum&gt;&lt;DisplayText&gt;(Ministry of Health, 2006, 2009)&lt;/DisplayText&gt;&lt;record&gt;&lt;rec-number&gt;31&lt;/rec-number&gt;&lt;foreign-keys&gt;&lt;key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Health&lt;/publisher&gt;&lt;urls&gt;&lt;/urls&gt;&lt;/record&gt;&lt;/Cite&gt;&lt;Cite&gt;&lt;Author&gt;Ministry of Health&lt;/Author&gt;&lt;Year&gt;2009&lt;/Year&gt;&lt;RecNum&gt;33&lt;/RecNum&gt;&lt;record&gt;&lt;rec-number&gt;33&lt;/rec-number&gt;&lt;foreign-keys&gt;&lt;key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AE6DE5">
        <w:fldChar w:fldCharType="separate"/>
      </w:r>
      <w:r w:rsidR="00AE6DE5">
        <w:rPr>
          <w:noProof/>
        </w:rPr>
        <w:t>(</w:t>
      </w:r>
      <w:hyperlink w:anchor="_ENREF_34" w:tooltip="Ministry of Health, 2006 #31" w:history="1">
        <w:r w:rsidR="00765F46">
          <w:rPr>
            <w:noProof/>
          </w:rPr>
          <w:t>Ministry of Health, 2006</w:t>
        </w:r>
      </w:hyperlink>
      <w:r w:rsidR="00AE6DE5">
        <w:rPr>
          <w:noProof/>
        </w:rPr>
        <w:t xml:space="preserve">, </w:t>
      </w:r>
      <w:hyperlink w:anchor="_ENREF_36" w:tooltip="Ministry of Health, 2009 #33" w:history="1">
        <w:r w:rsidR="00765F46">
          <w:rPr>
            <w:noProof/>
          </w:rPr>
          <w:t>2009</w:t>
        </w:r>
      </w:hyperlink>
      <w:r w:rsidR="00AE6DE5">
        <w:rPr>
          <w:noProof/>
        </w:rPr>
        <w:t>)</w:t>
      </w:r>
      <w:r w:rsidR="00AE6DE5">
        <w:fldChar w:fldCharType="end"/>
      </w:r>
      <w:r w:rsidR="00AE6DE5">
        <w:t xml:space="preserve">.  </w:t>
      </w:r>
      <w:r w:rsidR="00F1406F">
        <w:t xml:space="preserve">Both surveys found that gambling participation was highest for Lotto, followed by Instant Kiwi and non-casino gaming machines. </w:t>
      </w:r>
      <w:r w:rsidR="004509A9">
        <w:t xml:space="preserve"> There were also significant decreases in the proportions of adults who had gambled on each of these </w:t>
      </w:r>
      <w:r w:rsidR="00AE6DE5">
        <w:t xml:space="preserve">individual </w:t>
      </w:r>
      <w:r w:rsidR="004509A9">
        <w:t xml:space="preserve">activities from 2002/03 to 2006/07 </w:t>
      </w:r>
      <w:r w:rsidR="004509A9">
        <w:fldChar w:fldCharType="begin"/>
      </w:r>
      <w:r w:rsidR="00A34C5E">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4509A9">
        <w:fldChar w:fldCharType="separate"/>
      </w:r>
      <w:r w:rsidR="004509A9">
        <w:rPr>
          <w:noProof/>
        </w:rPr>
        <w:t>(</w:t>
      </w:r>
      <w:hyperlink w:anchor="_ENREF_36" w:tooltip="Ministry of Health, 2009 #33" w:history="1">
        <w:r w:rsidR="00765F46">
          <w:rPr>
            <w:noProof/>
          </w:rPr>
          <w:t>Ministry of Health, 2009</w:t>
        </w:r>
      </w:hyperlink>
      <w:r w:rsidR="004509A9">
        <w:rPr>
          <w:noProof/>
        </w:rPr>
        <w:t>)</w:t>
      </w:r>
      <w:r w:rsidR="004509A9">
        <w:fldChar w:fldCharType="end"/>
      </w:r>
      <w:r w:rsidR="004509A9">
        <w:t xml:space="preserve">. </w:t>
      </w:r>
      <w:r w:rsidR="004E019D">
        <w:t xml:space="preserve"> </w:t>
      </w:r>
    </w:p>
    <w:p w14:paraId="6880BE8C" w14:textId="0ED55FEB" w:rsidR="004E019D" w:rsidRDefault="0069714A" w:rsidP="00EF1808">
      <w:pPr>
        <w:pStyle w:val="BodyText"/>
        <w:spacing w:line="480" w:lineRule="auto"/>
      </w:pPr>
      <w:r>
        <w:t xml:space="preserve">A third </w:t>
      </w:r>
      <w:r w:rsidR="00641E22">
        <w:t xml:space="preserve">national </w:t>
      </w:r>
      <w:r>
        <w:t xml:space="preserve">survey series has contributed to knowledge on adult gambling behaviour in New Zealand.  The Health Promotion Agency </w:t>
      </w:r>
      <w:r w:rsidR="00E76D6C">
        <w:t xml:space="preserve">(HPA) </w:t>
      </w:r>
      <w:r w:rsidR="00AC3700">
        <w:t xml:space="preserve">has </w:t>
      </w:r>
      <w:r w:rsidR="005C56CC">
        <w:t>conduct</w:t>
      </w:r>
      <w:r w:rsidR="00AC3700">
        <w:t xml:space="preserve">ed </w:t>
      </w:r>
      <w:r w:rsidR="005C56CC">
        <w:t>the Health and Lifestyles Survey (HLS)</w:t>
      </w:r>
      <w:r w:rsidR="00AC3700">
        <w:t xml:space="preserve"> biannually, since 2008, to monitor the health behaviour and attitudes of New Zealand adults. </w:t>
      </w:r>
      <w:r w:rsidR="0093569D">
        <w:t xml:space="preserve"> </w:t>
      </w:r>
      <w:r w:rsidR="00E76D6C">
        <w:t xml:space="preserve">Prior to </w:t>
      </w:r>
      <w:r w:rsidR="0093569D">
        <w:t xml:space="preserve">the </w:t>
      </w:r>
      <w:r w:rsidR="00E76D6C">
        <w:t>2008</w:t>
      </w:r>
      <w:r w:rsidR="0093569D">
        <w:t xml:space="preserve"> HLS</w:t>
      </w:r>
      <w:r w:rsidR="00E76D6C">
        <w:t xml:space="preserve">, the Health Sponsorship Council (now a part of the HPA) </w:t>
      </w:r>
      <w:r w:rsidR="0093569D">
        <w:t xml:space="preserve">also </w:t>
      </w:r>
      <w:r w:rsidR="00E76D6C">
        <w:t>carried out the Gaming and Betting Activities Survey (GBAS)</w:t>
      </w:r>
      <w:r w:rsidR="0093569D">
        <w:t xml:space="preserve"> to “benchmark people’s opinion, knowledge and behaviour relating to gambling.” </w:t>
      </w:r>
      <w:r w:rsidR="0093569D">
        <w:fldChar w:fldCharType="begin"/>
      </w:r>
      <w:r w:rsidR="00A34C5E">
        <w:instrText xml:space="preserve"> ADDIN EN.CITE &lt;EndNote&gt;&lt;Cite&gt;&lt;Author&gt;Tu&lt;/Author&gt;&lt;Year&gt;2013&lt;/Year&gt;&lt;RecNum&gt;916&lt;/RecNum&gt;&lt;Suffix&gt;`, p.9&lt;/Suffix&gt;&lt;DisplayText&gt;(Tu, 2013, p.9)&lt;/DisplayText&gt;&lt;record&gt;&lt;rec-number&gt;916&lt;/rec-number&gt;&lt;foreign-keys&gt;&lt;key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93569D">
        <w:fldChar w:fldCharType="separate"/>
      </w:r>
      <w:r w:rsidR="0093569D">
        <w:rPr>
          <w:noProof/>
        </w:rPr>
        <w:t>(</w:t>
      </w:r>
      <w:hyperlink w:anchor="_ENREF_60" w:tooltip="Tu, 2013 #916" w:history="1">
        <w:r w:rsidR="00765F46">
          <w:rPr>
            <w:noProof/>
          </w:rPr>
          <w:t>Tu, 2013, p.9</w:t>
        </w:r>
      </w:hyperlink>
      <w:r w:rsidR="0093569D">
        <w:rPr>
          <w:noProof/>
        </w:rPr>
        <w:t>)</w:t>
      </w:r>
      <w:r w:rsidR="0093569D">
        <w:fldChar w:fldCharType="end"/>
      </w:r>
      <w:r w:rsidR="0093569D">
        <w:t>.</w:t>
      </w:r>
      <w:r w:rsidR="006D7576">
        <w:t xml:space="preserve">  The 2012 HLS found that 70.3% of adults had gambled in the previous 12 months</w:t>
      </w:r>
      <w:r w:rsidR="003C0B16">
        <w:t>.  This was a significant decline from the past-year gambling rate of 82.4% that was observed in the 2006/07 HLS</w:t>
      </w:r>
      <w:r w:rsidR="00320F5C">
        <w:t xml:space="preserve">.   </w:t>
      </w:r>
      <w:r w:rsidR="00CA302D">
        <w:t xml:space="preserve">As with the NZHS, significant decreases were seen in the proportion of adults gambling on NZ Lotteries products and non-casino gaming machines. </w:t>
      </w:r>
    </w:p>
    <w:p w14:paraId="5B8C056D" w14:textId="77777777" w:rsidR="00014488" w:rsidRPr="00502764" w:rsidRDefault="00014488" w:rsidP="004F129A">
      <w:pPr>
        <w:pStyle w:val="Heading2"/>
        <w:numPr>
          <w:ilvl w:val="1"/>
          <w:numId w:val="77"/>
        </w:numPr>
      </w:pPr>
      <w:bookmarkStart w:id="14" w:name="_Ref403642304"/>
      <w:bookmarkStart w:id="15" w:name="_Toc403833142"/>
      <w:r>
        <w:t>Problem gambling in</w:t>
      </w:r>
      <w:r w:rsidRPr="00502764">
        <w:t xml:space="preserve"> New Zealand</w:t>
      </w:r>
      <w:bookmarkEnd w:id="14"/>
      <w:bookmarkEnd w:id="15"/>
    </w:p>
    <w:p w14:paraId="25B902C3" w14:textId="77777777" w:rsidR="005622D7" w:rsidRDefault="005622D7" w:rsidP="00217387">
      <w:pPr>
        <w:pStyle w:val="BodyText"/>
        <w:spacing w:after="0" w:line="480" w:lineRule="auto"/>
      </w:pPr>
      <w:r>
        <w:t>Problem gambling and the associated harms have been identified as an emerging public health issue in New Zealand, with significant social, health and economic</w:t>
      </w:r>
      <w:r w:rsidRPr="005622D7">
        <w:t xml:space="preserve"> </w:t>
      </w:r>
      <w:r>
        <w:t>consequences.  In the Gambling Act 2003, ‘harm’:</w:t>
      </w:r>
    </w:p>
    <w:p w14:paraId="45ABB65A" w14:textId="77777777" w:rsidR="005622D7" w:rsidRDefault="005622D7" w:rsidP="00217387">
      <w:pPr>
        <w:pStyle w:val="BodyText"/>
        <w:spacing w:before="0" w:line="240" w:lineRule="auto"/>
        <w:ind w:left="567" w:hanging="426"/>
      </w:pPr>
      <w:r>
        <w:t>(a)</w:t>
      </w:r>
      <w:r>
        <w:tab/>
        <w:t xml:space="preserve">means harm or distress of any kind arising from, or caused or exacerbated by, a person’s gambling; and </w:t>
      </w:r>
    </w:p>
    <w:p w14:paraId="677F676B" w14:textId="77777777" w:rsidR="005622D7" w:rsidRDefault="005622D7" w:rsidP="00217387">
      <w:pPr>
        <w:pStyle w:val="BodyText"/>
        <w:spacing w:before="0" w:line="240" w:lineRule="auto"/>
        <w:ind w:left="567" w:hanging="426"/>
      </w:pPr>
      <w:r>
        <w:t>(b)</w:t>
      </w:r>
      <w:r>
        <w:tab/>
      </w:r>
      <w:proofErr w:type="gramStart"/>
      <w:r>
        <w:t>includes</w:t>
      </w:r>
      <w:proofErr w:type="gramEnd"/>
      <w:r>
        <w:t xml:space="preserve"> personal, social, or economic harm suffered— </w:t>
      </w:r>
    </w:p>
    <w:p w14:paraId="1DAF7413" w14:textId="77777777" w:rsidR="005622D7" w:rsidRDefault="005622D7" w:rsidP="00217387">
      <w:pPr>
        <w:pStyle w:val="BodyText"/>
        <w:spacing w:before="0" w:line="240" w:lineRule="auto"/>
        <w:ind w:left="851" w:hanging="425"/>
      </w:pPr>
      <w:r>
        <w:t>(</w:t>
      </w:r>
      <w:proofErr w:type="spellStart"/>
      <w:r>
        <w:t>i</w:t>
      </w:r>
      <w:proofErr w:type="spellEnd"/>
      <w:r>
        <w:t>)</w:t>
      </w:r>
      <w:r>
        <w:tab/>
      </w:r>
      <w:proofErr w:type="gramStart"/>
      <w:r>
        <w:t>by</w:t>
      </w:r>
      <w:proofErr w:type="gramEnd"/>
      <w:r>
        <w:t xml:space="preserve"> the person; or </w:t>
      </w:r>
    </w:p>
    <w:p w14:paraId="6F04CE92" w14:textId="77777777" w:rsidR="005622D7" w:rsidRDefault="005622D7" w:rsidP="00217387">
      <w:pPr>
        <w:pStyle w:val="BodyText"/>
        <w:spacing w:before="0" w:line="240" w:lineRule="auto"/>
        <w:ind w:left="851" w:hanging="425"/>
      </w:pPr>
      <w:r>
        <w:t>(ii)</w:t>
      </w:r>
      <w:r>
        <w:tab/>
      </w:r>
      <w:proofErr w:type="gramStart"/>
      <w:r>
        <w:t>by</w:t>
      </w:r>
      <w:proofErr w:type="gramEnd"/>
      <w:r>
        <w:t xml:space="preserve"> the person’s spouse, civil union partner, de facto partner, family, whānau, or wider community; or </w:t>
      </w:r>
    </w:p>
    <w:p w14:paraId="2675B6CB" w14:textId="77777777" w:rsidR="005622D7" w:rsidRDefault="005622D7" w:rsidP="00217387">
      <w:pPr>
        <w:pStyle w:val="BodyText"/>
        <w:spacing w:before="0" w:line="240" w:lineRule="auto"/>
        <w:ind w:left="851" w:hanging="425"/>
      </w:pPr>
      <w:r>
        <w:t xml:space="preserve">(iii) </w:t>
      </w:r>
      <w:r w:rsidR="005859EE">
        <w:tab/>
      </w:r>
      <w:proofErr w:type="gramStart"/>
      <w:r>
        <w:t>in</w:t>
      </w:r>
      <w:proofErr w:type="gramEnd"/>
      <w:r>
        <w:t xml:space="preserve"> the workplace; or </w:t>
      </w:r>
    </w:p>
    <w:p w14:paraId="0CF2580D" w14:textId="11BDEB3A" w:rsidR="005622D7" w:rsidRPr="005622D7" w:rsidRDefault="005622D7" w:rsidP="00217387">
      <w:pPr>
        <w:pStyle w:val="BodyText"/>
        <w:spacing w:before="0" w:line="240" w:lineRule="auto"/>
        <w:ind w:left="851" w:hanging="425"/>
      </w:pPr>
      <w:r>
        <w:t>(iv)</w:t>
      </w:r>
      <w:r>
        <w:tab/>
        <w:t>by society at large.”</w:t>
      </w:r>
      <w:r>
        <w:tab/>
      </w:r>
      <w:r>
        <w:tab/>
      </w:r>
      <w:r>
        <w:tab/>
      </w:r>
      <w:r>
        <w:tab/>
      </w:r>
      <w:r>
        <w:tab/>
      </w:r>
      <w:r>
        <w:tab/>
      </w:r>
      <w:r w:rsidRPr="005622D7">
        <w:fldChar w:fldCharType="begin"/>
      </w:r>
      <w:r w:rsidR="00A34C5E">
        <w:instrText xml:space="preserve"> ADDIN EN.CITE &lt;EndNote&gt;&lt;Cite&gt;&lt;Author&gt;Ministry of Health&lt;/Author&gt;&lt;Year&gt;2010&lt;/Year&gt;&lt;RecNum&gt;296&lt;/RecNum&gt;&lt;Suffix&gt;`, p.1&lt;/Suffix&gt;&lt;DisplayText&gt;(Ministry of Health, 2010b, p.1)&lt;/DisplayText&gt;&lt;record&gt;&lt;rec-number&gt;296&lt;/rec-number&gt;&lt;foreign-keys&gt;&lt;key app="EN" db-id="9pzse05rcvx956etremxfzdh9fzdxvd95rp2"&gt;296&lt;/key&gt;&lt;/foreign-keys&gt;&lt;ref-type name="Report"&gt;27&lt;/ref-type&gt;&lt;contributors&gt;&lt;authors&gt;&lt;author&gt;Ministry of Health,&lt;/author&gt;&lt;/authors&gt;&lt;/contributors&gt;&lt;titles&gt;&lt;title&gt;Preventing and Minimising Gambling Harm: Three-year service plan 2010/11–2012/13&lt;/title&gt;&lt;/titles&gt;&lt;dates&gt;&lt;year&gt;2010&lt;/year&gt;&lt;/dates&gt;&lt;pub-location&gt;Wellington&lt;/pub-location&gt;&lt;publisher&gt;Ministry of Health&lt;/publisher&gt;&lt;urls&gt;&lt;/urls&gt;&lt;/record&gt;&lt;/Cite&gt;&lt;/EndNote&gt;</w:instrText>
      </w:r>
      <w:r w:rsidRPr="005622D7">
        <w:fldChar w:fldCharType="separate"/>
      </w:r>
      <w:r w:rsidR="00ED47FE">
        <w:rPr>
          <w:noProof/>
        </w:rPr>
        <w:t>(</w:t>
      </w:r>
      <w:hyperlink w:anchor="_ENREF_38" w:tooltip="Ministry of Health, 2010 #296" w:history="1">
        <w:r w:rsidR="00765F46">
          <w:rPr>
            <w:noProof/>
          </w:rPr>
          <w:t>Ministry of Health, 2010b, p.1</w:t>
        </w:r>
      </w:hyperlink>
      <w:r w:rsidR="00ED47FE">
        <w:rPr>
          <w:noProof/>
        </w:rPr>
        <w:t>)</w:t>
      </w:r>
      <w:r w:rsidRPr="005622D7">
        <w:fldChar w:fldCharType="end"/>
      </w:r>
    </w:p>
    <w:p w14:paraId="48289714" w14:textId="19B20386" w:rsidR="00000635" w:rsidRDefault="006D5A8B" w:rsidP="00000635">
      <w:pPr>
        <w:pStyle w:val="BodyText"/>
        <w:spacing w:line="480" w:lineRule="auto"/>
      </w:pPr>
      <w:r>
        <w:t xml:space="preserve">Both the National Gambling Studies and the New Zealand Health Surveys have provided estimates of problem gambling amongst adults.  </w:t>
      </w:r>
      <w:r w:rsidR="00000635">
        <w:t xml:space="preserve">Using the revised South Oaks Gambling Screen (SOGS-R), the 1991 National Prevalence Study estimated that </w:t>
      </w:r>
      <w:r w:rsidR="000B713A">
        <w:t>3.3</w:t>
      </w:r>
      <w:r w:rsidR="00000635">
        <w:t xml:space="preserve">% of adults aged 18 and over were current (past six months) problem or pathological gamblers </w:t>
      </w:r>
      <w:r w:rsidR="00000635">
        <w:fldChar w:fldCharType="begin"/>
      </w:r>
      <w:r w:rsidR="00A34C5E">
        <w:instrText xml:space="preserve"> ADDIN EN.CITE &lt;EndNote&gt;&lt;Cite&gt;&lt;Author&gt;Abbott&lt;/Author&gt;&lt;Year&gt;1991&lt;/Year&gt;&lt;RecNum&gt;937&lt;/RecNum&gt;&lt;DisplayText&gt;(Abbott &amp;amp; Volberg, 1991)&lt;/DisplayText&gt;&lt;record&gt;&lt;rec-number&gt;937&lt;/rec-number&gt;&lt;foreign-keys&gt;&lt;key app="EN" db-id="9pzse05rcvx956etremxfzdh9fzdxvd95rp2"&gt;937&lt;/key&gt;&lt;/foreign-keys&gt;&lt;ref-type name="Report"&gt;27&lt;/ref-type&gt;&lt;contributors&gt;&lt;authors&gt;&lt;author&gt;Abbott, M.&lt;/author&gt;&lt;author&gt;Volberg, R. A.&lt;/author&gt;&lt;/authors&gt;&lt;/contributors&gt;&lt;titles&gt;&lt;title&gt;Gambling and problem gambling in New Zealand. Research Series No.12&lt;/title&gt;&lt;/titles&gt;&lt;dates&gt;&lt;year&gt;1991&lt;/year&gt;&lt;/dates&gt;&lt;pub-location&gt;Wellington&lt;/pub-location&gt;&lt;publisher&gt;Department of Internal Affairs&lt;/publisher&gt;&lt;urls&gt;&lt;/urls&gt;&lt;/record&gt;&lt;/Cite&gt;&lt;/EndNote&gt;</w:instrText>
      </w:r>
      <w:r w:rsidR="00000635">
        <w:fldChar w:fldCharType="separate"/>
      </w:r>
      <w:r w:rsidR="00000635">
        <w:rPr>
          <w:noProof/>
        </w:rPr>
        <w:t>(</w:t>
      </w:r>
      <w:hyperlink w:anchor="_ENREF_5" w:tooltip="Abbott, 1991 #937" w:history="1">
        <w:r w:rsidR="00765F46">
          <w:rPr>
            <w:noProof/>
          </w:rPr>
          <w:t>Abbott &amp; Volberg, 1991</w:t>
        </w:r>
      </w:hyperlink>
      <w:r w:rsidR="00000635">
        <w:rPr>
          <w:noProof/>
        </w:rPr>
        <w:t>)</w:t>
      </w:r>
      <w:r w:rsidR="00000635">
        <w:fldChar w:fldCharType="end"/>
      </w:r>
      <w:r w:rsidR="00000635">
        <w:t xml:space="preserve">.   In 1999, 1.3% of adults were categorised as current problem </w:t>
      </w:r>
      <w:r w:rsidR="00000635">
        <w:lastRenderedPageBreak/>
        <w:t xml:space="preserve">or pathological gamblers using the same screen </w:t>
      </w:r>
      <w:r w:rsidR="00000635">
        <w:fldChar w:fldCharType="begin"/>
      </w:r>
      <w:r w:rsidR="00A34C5E">
        <w:instrText xml:space="preserve"> ADDIN EN.CITE &lt;EndNote&gt;&lt;Cite&gt;&lt;Author&gt;Abbott&lt;/Author&gt;&lt;Year&gt;2000&lt;/Year&gt;&lt;RecNum&gt;810&lt;/RecNum&gt;&lt;DisplayText&gt;(Abbott &amp;amp; Volberg, 2000a)&lt;/DisplayText&gt;&lt;record&gt;&lt;rec-number&gt;810&lt;/rec-number&gt;&lt;foreign-keys&gt;&lt;key app="EN" db-id="9pzse05rcvx956etremxfzdh9fzdxvd95rp2"&gt;810&lt;/key&gt;&lt;/foreign-keys&gt;&lt;ref-type name="Report"&gt;27&lt;/ref-type&gt;&lt;contributors&gt;&lt;authors&gt;&lt;author&gt;Abbott, M.&lt;/author&gt;&lt;author&gt;Volberg, R. A.&lt;/author&gt;&lt;/authors&gt;&lt;/contributors&gt;&lt;titles&gt;&lt;title&gt;Taking the pulse on gambling and problem gambling in New Zealand: A report on phase one of the 1999 national prevalence survey (Report number three of the New Zealand Gaming Survey)&lt;/title&gt;&lt;/titles&gt;&lt;dates&gt;&lt;year&gt;2000&lt;/year&gt;&lt;/dates&gt;&lt;pub-location&gt;Wellington&lt;/pub-location&gt;&lt;publisher&gt;The Department of Internal Affairs&lt;/publisher&gt;&lt;urls&gt;&lt;/urls&gt;&lt;/record&gt;&lt;/Cite&gt;&lt;/EndNote&gt;</w:instrText>
      </w:r>
      <w:r w:rsidR="00000635">
        <w:fldChar w:fldCharType="separate"/>
      </w:r>
      <w:r w:rsidR="00000635">
        <w:rPr>
          <w:noProof/>
        </w:rPr>
        <w:t>(</w:t>
      </w:r>
      <w:hyperlink w:anchor="_ENREF_7" w:tooltip="Abbott, 2000 #810" w:history="1">
        <w:r w:rsidR="00765F46">
          <w:rPr>
            <w:noProof/>
          </w:rPr>
          <w:t>Abbott &amp; Volberg, 2000a</w:t>
        </w:r>
      </w:hyperlink>
      <w:r w:rsidR="00000635">
        <w:rPr>
          <w:noProof/>
        </w:rPr>
        <w:t>)</w:t>
      </w:r>
      <w:r w:rsidR="00000635">
        <w:fldChar w:fldCharType="end"/>
      </w:r>
      <w:r w:rsidR="00000635">
        <w:t xml:space="preserve">. </w:t>
      </w:r>
      <w:r w:rsidR="008C049B">
        <w:t xml:space="preserve"> While this represents a significant reduction in the prevalence of problem and pathological gambling from 1991 to 1999, the authors note that</w:t>
      </w:r>
      <w:r w:rsidR="00213C4A">
        <w:t xml:space="preserve"> a</w:t>
      </w:r>
      <w:r w:rsidR="008C049B">
        <w:t xml:space="preserve"> reliance on two </w:t>
      </w:r>
      <w:r w:rsidR="00C56D9C">
        <w:t xml:space="preserve">points of </w:t>
      </w:r>
      <w:r w:rsidR="008C049B">
        <w:t xml:space="preserve">data and substantial methodological differences between the two studies suggest that this decrease should be treated with caution </w:t>
      </w:r>
      <w:r w:rsidR="008C049B">
        <w:fldChar w:fldCharType="begin"/>
      </w:r>
      <w:r w:rsidR="00A34C5E">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8C049B">
        <w:fldChar w:fldCharType="separate"/>
      </w:r>
      <w:r w:rsidR="00B87E4B">
        <w:rPr>
          <w:noProof/>
        </w:rPr>
        <w:t>(</w:t>
      </w:r>
      <w:hyperlink w:anchor="_ENREF_1" w:tooltip="Abbott, 2014 #921" w:history="1">
        <w:r w:rsidR="00765F46">
          <w:rPr>
            <w:noProof/>
          </w:rPr>
          <w:t>Abbott et al., 2014a</w:t>
        </w:r>
      </w:hyperlink>
      <w:r w:rsidR="00B87E4B">
        <w:rPr>
          <w:noProof/>
        </w:rPr>
        <w:t>)</w:t>
      </w:r>
      <w:r w:rsidR="008C049B">
        <w:fldChar w:fldCharType="end"/>
      </w:r>
      <w:r w:rsidR="008C049B">
        <w:t xml:space="preserve">. </w:t>
      </w:r>
    </w:p>
    <w:p w14:paraId="5838C87C" w14:textId="36FDE781" w:rsidR="002353F2" w:rsidRDefault="002353F2" w:rsidP="00EF1808">
      <w:pPr>
        <w:pStyle w:val="BodyText"/>
        <w:spacing w:line="480" w:lineRule="auto"/>
      </w:pPr>
      <w:r>
        <w:t xml:space="preserve">The </w:t>
      </w:r>
      <w:r w:rsidR="004F449E">
        <w:t xml:space="preserve">most recent National Gambling </w:t>
      </w:r>
      <w:r w:rsidR="00237E09">
        <w:t>Study</w:t>
      </w:r>
      <w:r w:rsidR="004F449E">
        <w:t xml:space="preserve"> </w:t>
      </w:r>
      <w:r w:rsidR="00506267">
        <w:t xml:space="preserve">utilised the Problem Gambling Severity Index (PGSI) to measure rates of problematic gambling.  The survey found that </w:t>
      </w:r>
      <w:r w:rsidR="004F449E">
        <w:t>0.7% of adults</w:t>
      </w:r>
      <w:r w:rsidR="00506267">
        <w:t xml:space="preserve"> satisfied the past-year criteria for problem gambling and were experiencing significant problems associated with their gambling.  An additional 1.8% of adults were experiencing some gambling-related </w:t>
      </w:r>
      <w:proofErr w:type="gramStart"/>
      <w:r w:rsidR="00506267">
        <w:t>harms</w:t>
      </w:r>
      <w:proofErr w:type="gramEnd"/>
      <w:r w:rsidR="00506267">
        <w:t xml:space="preserve"> and satisfied the criteria for moderate-risk gambling.  </w:t>
      </w:r>
      <w:r w:rsidR="00DA714F">
        <w:t>A further f</w:t>
      </w:r>
      <w:r w:rsidR="00506267">
        <w:t xml:space="preserve">ive percent were categorised as low-risk gamblers, meaning that they were experiencing a few gambling-related problems and were at risk of moving into moderate-risk and problem gambling categories. </w:t>
      </w:r>
      <w:r w:rsidR="00C375FC">
        <w:t xml:space="preserve"> An increased risk of lifetime gambling problems was associated with being male, identifying as being of Māori or Pacific ethnicity, being aged 25-34, and living in a household with five or more people</w:t>
      </w:r>
      <w:r w:rsidR="00DA714F">
        <w:t xml:space="preserve"> </w:t>
      </w:r>
      <w:r w:rsidR="00DA714F">
        <w:fldChar w:fldCharType="begin"/>
      </w:r>
      <w:r w:rsidR="00A34C5E">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DA714F">
        <w:fldChar w:fldCharType="separate"/>
      </w:r>
      <w:r w:rsidR="00DA714F">
        <w:rPr>
          <w:noProof/>
        </w:rPr>
        <w:t>(</w:t>
      </w:r>
      <w:hyperlink w:anchor="_ENREF_1" w:tooltip="Abbott, 2014 #921" w:history="1">
        <w:r w:rsidR="00765F46">
          <w:rPr>
            <w:noProof/>
          </w:rPr>
          <w:t>Abbott et al., 2014a</w:t>
        </w:r>
      </w:hyperlink>
      <w:r w:rsidR="00DA714F">
        <w:rPr>
          <w:noProof/>
        </w:rPr>
        <w:t>)</w:t>
      </w:r>
      <w:r w:rsidR="00DA714F">
        <w:fldChar w:fldCharType="end"/>
      </w:r>
      <w:r w:rsidR="00C375FC">
        <w:t xml:space="preserve">. </w:t>
      </w:r>
    </w:p>
    <w:p w14:paraId="15701E4F" w14:textId="3A7B336B" w:rsidR="00DC331A" w:rsidRDefault="00D8657C" w:rsidP="00EF1808">
      <w:pPr>
        <w:pStyle w:val="BodyText"/>
        <w:spacing w:line="480" w:lineRule="auto"/>
      </w:pPr>
      <w:r>
        <w:t xml:space="preserve">The 2002/03 NZHS included a gambling screen that was developed by the Ministry of Health and a contracted technical specialist </w:t>
      </w:r>
      <w:r>
        <w:fldChar w:fldCharType="begin"/>
      </w:r>
      <w:r w:rsidR="00A34C5E">
        <w:instrText xml:space="preserve"> ADDIN EN.CITE &lt;EndNote&gt;&lt;Cite&gt;&lt;Author&gt;Ministry of Health&lt;/Author&gt;&lt;Year&gt;2006&lt;/Year&gt;&lt;RecNum&gt;31&lt;/RecNum&gt;&lt;DisplayText&gt;(Ministry of Health, 2006)&lt;/DisplayText&gt;&lt;record&gt;&lt;rec-number&gt;31&lt;/rec-number&gt;&lt;foreign-keys&gt;&lt;key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Health&lt;/publisher&gt;&lt;urls&gt;&lt;/urls&gt;&lt;/record&gt;&lt;/Cite&gt;&lt;/EndNote&gt;</w:instrText>
      </w:r>
      <w:r>
        <w:fldChar w:fldCharType="separate"/>
      </w:r>
      <w:r>
        <w:rPr>
          <w:noProof/>
        </w:rPr>
        <w:t>(</w:t>
      </w:r>
      <w:hyperlink w:anchor="_ENREF_34" w:tooltip="Ministry of Health, 2006 #31" w:history="1">
        <w:r w:rsidR="00765F46">
          <w:rPr>
            <w:noProof/>
          </w:rPr>
          <w:t>Ministry of Health, 2006</w:t>
        </w:r>
      </w:hyperlink>
      <w:r>
        <w:rPr>
          <w:noProof/>
        </w:rPr>
        <w:t>)</w:t>
      </w:r>
      <w:r>
        <w:fldChar w:fldCharType="end"/>
      </w:r>
      <w:r>
        <w:t>.  This screen estimated that 1.2% of the adult population (aged 15 and over) were current problem gamblers, and that 1.9% satisfied the criteria for problem and/or at-risk gambling.</w:t>
      </w:r>
      <w:r w:rsidR="00E96461">
        <w:t xml:space="preserve">  </w:t>
      </w:r>
      <w:r w:rsidR="00A21A9F">
        <w:t xml:space="preserve">Regression analyses identified the following population groups as being more at risk of problem gambling than others: being aged 25-34, being of Māori or Pacific ethnicity, being employed, living alone, and having lower educational qualifications. </w:t>
      </w:r>
      <w:r w:rsidR="00C375FC">
        <w:t xml:space="preserve"> </w:t>
      </w:r>
      <w:r w:rsidR="00DC331A">
        <w:t>In 2006/07, the NZHS used the PGSI t</w:t>
      </w:r>
      <w:r w:rsidR="008F2BE8">
        <w:t>o assess</w:t>
      </w:r>
      <w:r w:rsidR="00DC331A">
        <w:t xml:space="preserve"> problem gambling.  The prevalence of problem gambling amongst adults (aged 15 and over) was estimated at 0.4%, with an additional 1.3% being categorised as moderate-risk gamblers </w:t>
      </w:r>
      <w:r w:rsidR="00DC331A">
        <w:fldChar w:fldCharType="begin"/>
      </w:r>
      <w:r w:rsidR="00A34C5E">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DC331A">
        <w:fldChar w:fldCharType="separate"/>
      </w:r>
      <w:r w:rsidR="00DC331A">
        <w:rPr>
          <w:noProof/>
        </w:rPr>
        <w:t>(</w:t>
      </w:r>
      <w:hyperlink w:anchor="_ENREF_36" w:tooltip="Ministry of Health, 2009 #33" w:history="1">
        <w:r w:rsidR="00765F46">
          <w:rPr>
            <w:noProof/>
          </w:rPr>
          <w:t>Ministry of Health, 2009</w:t>
        </w:r>
      </w:hyperlink>
      <w:r w:rsidR="00DC331A">
        <w:rPr>
          <w:noProof/>
        </w:rPr>
        <w:t>)</w:t>
      </w:r>
      <w:r w:rsidR="00DC331A">
        <w:fldChar w:fldCharType="end"/>
      </w:r>
      <w:r w:rsidR="00DC331A">
        <w:t xml:space="preserve">. </w:t>
      </w:r>
      <w:r w:rsidR="003C61FF">
        <w:t xml:space="preserve"> Regression analyses were used to </w:t>
      </w:r>
      <w:r w:rsidR="00832CA1">
        <w:t xml:space="preserve">identify socio-demographic risk factors, with </w:t>
      </w:r>
      <w:r w:rsidR="009C03DF">
        <w:t xml:space="preserve">an increased risk of problem gambling being associated with </w:t>
      </w:r>
      <w:r w:rsidR="00832CA1">
        <w:t xml:space="preserve">the following characteristics: being aged 35-44 years, identifying as being of Māori or Pacific ethnicity, </w:t>
      </w:r>
      <w:r w:rsidR="00C375FC">
        <w:t xml:space="preserve">having </w:t>
      </w:r>
      <w:r w:rsidR="00832CA1">
        <w:t>fewer educational qualifications, and living in neighbourhoods with higher levels of deprivation</w:t>
      </w:r>
      <w:r w:rsidR="005D7AD2">
        <w:t xml:space="preserve"> </w:t>
      </w:r>
      <w:r w:rsidR="005D7AD2">
        <w:fldChar w:fldCharType="begin"/>
      </w:r>
      <w:r w:rsidR="00A34C5E">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5D7AD2">
        <w:fldChar w:fldCharType="separate"/>
      </w:r>
      <w:r w:rsidR="005D7AD2">
        <w:rPr>
          <w:noProof/>
        </w:rPr>
        <w:t>(</w:t>
      </w:r>
      <w:hyperlink w:anchor="_ENREF_36" w:tooltip="Ministry of Health, 2009 #33" w:history="1">
        <w:r w:rsidR="00765F46">
          <w:rPr>
            <w:noProof/>
          </w:rPr>
          <w:t>Ministry of Health, 2009</w:t>
        </w:r>
      </w:hyperlink>
      <w:r w:rsidR="005D7AD2">
        <w:rPr>
          <w:noProof/>
        </w:rPr>
        <w:t>)</w:t>
      </w:r>
      <w:r w:rsidR="005D7AD2">
        <w:fldChar w:fldCharType="end"/>
      </w:r>
      <w:r w:rsidR="00832CA1">
        <w:t xml:space="preserve">. </w:t>
      </w:r>
    </w:p>
    <w:p w14:paraId="09476756" w14:textId="44A874F1" w:rsidR="00B918E3" w:rsidRDefault="00733AFB" w:rsidP="00EF1808">
      <w:pPr>
        <w:pStyle w:val="BodyText"/>
        <w:spacing w:line="480" w:lineRule="auto"/>
      </w:pPr>
      <w:r>
        <w:lastRenderedPageBreak/>
        <w:t xml:space="preserve">In addition to the socio-demographic </w:t>
      </w:r>
      <w:r w:rsidR="008F2BE8">
        <w:t>characteristics</w:t>
      </w:r>
      <w:r>
        <w:t xml:space="preserve"> identified above, a</w:t>
      </w:r>
      <w:r w:rsidR="003E7A7C">
        <w:t xml:space="preserve"> number of </w:t>
      </w:r>
      <w:r w:rsidR="00926F4A">
        <w:t xml:space="preserve">factors associated with an increased risk of problematic gambling </w:t>
      </w:r>
      <w:r w:rsidR="00237E09">
        <w:t>have been</w:t>
      </w:r>
      <w:r w:rsidR="00926F4A">
        <w:t xml:space="preserve"> observed </w:t>
      </w:r>
      <w:r w:rsidR="003E7A7C">
        <w:t>across</w:t>
      </w:r>
      <w:r w:rsidR="00926F4A">
        <w:t xml:space="preserve"> </w:t>
      </w:r>
      <w:r w:rsidR="003E7A7C">
        <w:t xml:space="preserve">both </w:t>
      </w:r>
      <w:r w:rsidR="00926F4A">
        <w:t xml:space="preserve">the National Gambling </w:t>
      </w:r>
      <w:r w:rsidR="00237E09">
        <w:t>Studies</w:t>
      </w:r>
      <w:r w:rsidR="00926F4A">
        <w:t xml:space="preserve"> and the New Zealand Health Surveys. These included</w:t>
      </w:r>
      <w:r w:rsidR="003E7A7C">
        <w:t xml:space="preserve"> </w:t>
      </w:r>
      <w:r>
        <w:t>participation in</w:t>
      </w:r>
      <w:r w:rsidR="003E7A7C">
        <w:t xml:space="preserve"> continuous </w:t>
      </w:r>
      <w:r>
        <w:t xml:space="preserve">modes of </w:t>
      </w:r>
      <w:r w:rsidR="003E7A7C">
        <w:t>gambling</w:t>
      </w:r>
      <w:r>
        <w:t xml:space="preserve">, harmful alcohol use, cigarette smoking, poor health, and common mental disorders (depression and anxiety) </w:t>
      </w:r>
      <w:r>
        <w:fldChar w:fldCharType="begin">
          <w:fldData xml:space="preserve">PEVuZE5vdGU+PENpdGU+PEF1dGhvcj5NaW5pc3RyeSBvZiBIZWFsdGg8L0F1dGhvcj48WWVhcj4y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</w:fldData>
        </w:fldChar>
      </w:r>
      <w:r w:rsidR="00A34C5E">
        <w:instrText xml:space="preserve"> ADDIN EN.CITE </w:instrText>
      </w:r>
      <w:r w:rsidR="00A34C5E">
        <w:fldChar w:fldCharType="begin">
          <w:fldData xml:space="preserve">PEVuZE5vdGU+PENpdGU+PEF1dGhvcj5NaW5pc3RyeSBvZiBIZWFsdGg8L0F1dGhvcj48WWVhcj4y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</w:fldData>
        </w:fldChar>
      </w:r>
      <w:r w:rsidR="00A34C5E">
        <w:instrText xml:space="preserve"> ADDIN EN.CITE.DATA </w:instrText>
      </w:r>
      <w:r w:rsidR="00A34C5E">
        <w:fldChar w:fldCharType="end"/>
      </w:r>
      <w:r>
        <w:fldChar w:fldCharType="separate"/>
      </w:r>
      <w:r>
        <w:rPr>
          <w:noProof/>
        </w:rPr>
        <w:t>(</w:t>
      </w:r>
      <w:hyperlink w:anchor="_ENREF_5" w:tooltip="Abbott, 1991 #937" w:history="1">
        <w:r w:rsidR="00765F46">
          <w:rPr>
            <w:noProof/>
          </w:rPr>
          <w:t>Abbott &amp; Volberg, 1991</w:t>
        </w:r>
      </w:hyperlink>
      <w:r>
        <w:rPr>
          <w:noProof/>
        </w:rPr>
        <w:t xml:space="preserve">, </w:t>
      </w:r>
      <w:hyperlink w:anchor="_ENREF_7" w:tooltip="Abbott, 2000 #810" w:history="1">
        <w:r w:rsidR="00765F46">
          <w:rPr>
            <w:noProof/>
          </w:rPr>
          <w:t>2000a</w:t>
        </w:r>
      </w:hyperlink>
      <w:r>
        <w:rPr>
          <w:noProof/>
        </w:rPr>
        <w:t xml:space="preserve">; </w:t>
      </w:r>
      <w:hyperlink w:anchor="_ENREF_34" w:tooltip="Ministry of Health, 2006 #31" w:history="1">
        <w:r w:rsidR="00765F46">
          <w:rPr>
            <w:noProof/>
          </w:rPr>
          <w:t>Ministry of Health, 2006</w:t>
        </w:r>
      </w:hyperlink>
      <w:r>
        <w:rPr>
          <w:noProof/>
        </w:rPr>
        <w:t xml:space="preserve">, </w:t>
      </w:r>
      <w:hyperlink w:anchor="_ENREF_36" w:tooltip="Ministry of Health, 2009 #33" w:history="1">
        <w:r w:rsidR="00765F46">
          <w:rPr>
            <w:noProof/>
          </w:rPr>
          <w:t>2009</w:t>
        </w:r>
      </w:hyperlink>
      <w:r>
        <w:rPr>
          <w:noProof/>
        </w:rPr>
        <w:t>)</w:t>
      </w:r>
      <w:r>
        <w:fldChar w:fldCharType="end"/>
      </w:r>
      <w:r>
        <w:t xml:space="preserve">.  </w:t>
      </w:r>
      <w:r w:rsidR="00926F4A">
        <w:t xml:space="preserve"> </w:t>
      </w:r>
    </w:p>
    <w:p w14:paraId="1ADB0A1C" w14:textId="77777777" w:rsidR="000E113F" w:rsidRPr="001A4B67" w:rsidRDefault="000E113F" w:rsidP="004F129A">
      <w:pPr>
        <w:pStyle w:val="Heading2"/>
        <w:numPr>
          <w:ilvl w:val="1"/>
          <w:numId w:val="77"/>
        </w:numPr>
      </w:pPr>
      <w:bookmarkStart w:id="16" w:name="_Toc403833143"/>
      <w:r w:rsidRPr="001A4B67">
        <w:t>Summary of gambling, problem gambling and risk factors in New Zealand</w:t>
      </w:r>
      <w:bookmarkEnd w:id="16"/>
    </w:p>
    <w:p w14:paraId="601F9C8D" w14:textId="77777777" w:rsidR="000E113F" w:rsidRDefault="00CD5F30" w:rsidP="00EF1808">
      <w:pPr>
        <w:pStyle w:val="BodyText"/>
        <w:spacing w:line="480" w:lineRule="auto"/>
      </w:pPr>
      <w:r>
        <w:t xml:space="preserve">Table 1 </w:t>
      </w:r>
      <w:r w:rsidR="002451F0" w:rsidRPr="00DB392B">
        <w:t>provides a summary of key findings from</w:t>
      </w:r>
      <w:r w:rsidR="00DB392B">
        <w:t xml:space="preserve"> New Zealand based</w:t>
      </w:r>
      <w:r w:rsidR="002451F0" w:rsidRPr="00DB392B">
        <w:t xml:space="preserve"> gambling and problem gambling </w:t>
      </w:r>
      <w:r w:rsidR="00DB392B">
        <w:t xml:space="preserve">prevalence </w:t>
      </w:r>
      <w:r w:rsidR="002451F0" w:rsidRPr="00DB392B">
        <w:t>research that has been</w:t>
      </w:r>
      <w:r w:rsidR="002451F0">
        <w:t xml:space="preserve"> discussed in Sections</w:t>
      </w:r>
      <w:r w:rsidR="000D571D">
        <w:t xml:space="preserve"> 1.2</w:t>
      </w:r>
      <w:r w:rsidR="002451F0">
        <w:t xml:space="preserve"> (</w:t>
      </w:r>
      <w:r w:rsidR="002451F0">
        <w:rPr>
          <w:i/>
        </w:rPr>
        <w:t xml:space="preserve">Participation in gambling - New Zealand) </w:t>
      </w:r>
      <w:r w:rsidR="002451F0">
        <w:t>and</w:t>
      </w:r>
      <w:r w:rsidR="000D571D">
        <w:t xml:space="preserve"> 1.3</w:t>
      </w:r>
      <w:r w:rsidR="002451F0">
        <w:t xml:space="preserve"> (</w:t>
      </w:r>
      <w:r w:rsidR="002451F0">
        <w:rPr>
          <w:i/>
        </w:rPr>
        <w:t>Problem gambling in New Zealand)</w:t>
      </w:r>
      <w:r w:rsidR="002451F0">
        <w:t xml:space="preserve">. </w:t>
      </w:r>
    </w:p>
    <w:p w14:paraId="37C5B8E5" w14:textId="77777777" w:rsidR="002451F0" w:rsidRDefault="002451F0" w:rsidP="00EF1808">
      <w:pPr>
        <w:pStyle w:val="BodyText"/>
        <w:spacing w:line="480" w:lineRule="auto"/>
      </w:pPr>
    </w:p>
    <w:p w14:paraId="375303B5" w14:textId="77777777" w:rsidR="008206FB" w:rsidRDefault="008206FB" w:rsidP="00EF1808">
      <w:pPr>
        <w:pStyle w:val="BodyText"/>
        <w:spacing w:line="480" w:lineRule="auto"/>
      </w:pPr>
    </w:p>
    <w:p w14:paraId="06C1FA6B" w14:textId="77777777" w:rsidR="008206FB" w:rsidRDefault="008206FB" w:rsidP="00EF1808">
      <w:pPr>
        <w:pStyle w:val="BodyText"/>
        <w:spacing w:line="480" w:lineRule="auto"/>
      </w:pPr>
    </w:p>
    <w:p w14:paraId="5AB08F2B" w14:textId="77777777" w:rsidR="008206FB" w:rsidRDefault="008206FB" w:rsidP="00EF1808">
      <w:pPr>
        <w:pStyle w:val="BodyText"/>
        <w:spacing w:line="480" w:lineRule="auto"/>
      </w:pPr>
    </w:p>
    <w:p w14:paraId="42715C95" w14:textId="77777777" w:rsidR="008206FB" w:rsidRDefault="008206FB" w:rsidP="00EF1808">
      <w:pPr>
        <w:pStyle w:val="BodyText"/>
        <w:spacing w:line="480" w:lineRule="auto"/>
      </w:pPr>
    </w:p>
    <w:p w14:paraId="11F9928E" w14:textId="77777777" w:rsidR="008206FB" w:rsidRDefault="008206FB" w:rsidP="00EF1808">
      <w:pPr>
        <w:pStyle w:val="BodyText"/>
        <w:spacing w:line="480" w:lineRule="auto"/>
      </w:pPr>
    </w:p>
    <w:p w14:paraId="2E77FD92" w14:textId="77777777" w:rsidR="00E60034" w:rsidRDefault="00E60034">
      <w:pPr>
        <w:spacing w:before="0" w:after="200" w:line="276" w:lineRule="auto"/>
        <w:jc w:val="left"/>
        <w:rPr>
          <w:rFonts w:asciiTheme="minorHAnsi" w:hAnsiTheme="minorHAnsi"/>
          <w:b/>
          <w:bCs/>
          <w:i/>
          <w:sz w:val="20"/>
          <w:szCs w:val="20"/>
        </w:rPr>
      </w:pPr>
      <w:bookmarkStart w:id="17" w:name="_Ref403723107"/>
      <w:r>
        <w:rPr>
          <w:rFonts w:asciiTheme="minorHAnsi" w:hAnsiTheme="minorHAnsi"/>
          <w:i/>
        </w:rPr>
        <w:br w:type="page"/>
      </w:r>
    </w:p>
    <w:p w14:paraId="4C47956B" w14:textId="77777777" w:rsidR="0044148A" w:rsidRDefault="0044148A" w:rsidP="0044148A">
      <w:pPr>
        <w:pStyle w:val="Caption"/>
        <w:keepNext/>
        <w:spacing w:line="276" w:lineRule="auto"/>
        <w:ind w:left="993" w:hanging="993"/>
        <w:rPr>
          <w:rFonts w:asciiTheme="minorHAnsi" w:hAnsiTheme="minorHAnsi"/>
          <w:i/>
        </w:rPr>
      </w:pPr>
      <w:bookmarkStart w:id="18" w:name="_Toc425426868"/>
      <w:r w:rsidRPr="002451F0">
        <w:rPr>
          <w:rFonts w:asciiTheme="minorHAnsi" w:hAnsiTheme="minorHAnsi"/>
          <w:i/>
        </w:rPr>
        <w:lastRenderedPageBreak/>
        <w:t xml:space="preserve">Table </w:t>
      </w:r>
      <w:r w:rsidRPr="002451F0">
        <w:rPr>
          <w:rFonts w:asciiTheme="minorHAnsi" w:hAnsiTheme="minorHAnsi"/>
          <w:i/>
        </w:rPr>
        <w:fldChar w:fldCharType="begin"/>
      </w:r>
      <w:r w:rsidRPr="002451F0">
        <w:rPr>
          <w:rFonts w:asciiTheme="minorHAnsi" w:hAnsiTheme="minorHAnsi"/>
          <w:i/>
        </w:rPr>
        <w:instrText xml:space="preserve"> SEQ Table \* ARABIC </w:instrText>
      </w:r>
      <w:r w:rsidRPr="002451F0">
        <w:rPr>
          <w:rFonts w:asciiTheme="minorHAnsi" w:hAnsiTheme="minorHAnsi"/>
          <w:i/>
        </w:rPr>
        <w:fldChar w:fldCharType="separate"/>
      </w:r>
      <w:r w:rsidR="00D71107">
        <w:rPr>
          <w:rFonts w:asciiTheme="minorHAnsi" w:hAnsiTheme="minorHAnsi"/>
          <w:i/>
          <w:noProof/>
        </w:rPr>
        <w:t>1</w:t>
      </w:r>
      <w:r w:rsidRPr="002451F0">
        <w:rPr>
          <w:rFonts w:asciiTheme="minorHAnsi" w:hAnsiTheme="minorHAnsi"/>
          <w:i/>
        </w:rPr>
        <w:fldChar w:fldCharType="end"/>
      </w:r>
      <w:bookmarkEnd w:id="17"/>
      <w:r>
        <w:rPr>
          <w:rFonts w:asciiTheme="minorHAnsi" w:hAnsiTheme="minorHAnsi"/>
          <w:i/>
        </w:rPr>
        <w:t xml:space="preserve">: Gambling and problem gambling </w:t>
      </w:r>
      <w:r w:rsidR="00EE3ACF">
        <w:rPr>
          <w:rFonts w:asciiTheme="minorHAnsi" w:hAnsiTheme="minorHAnsi"/>
          <w:i/>
        </w:rPr>
        <w:t xml:space="preserve">prevalence </w:t>
      </w:r>
      <w:r>
        <w:rPr>
          <w:rFonts w:asciiTheme="minorHAnsi" w:hAnsiTheme="minorHAnsi"/>
          <w:i/>
        </w:rPr>
        <w:t>research in New Zealand - overview of key research findings</w:t>
      </w:r>
      <w:bookmarkEnd w:id="18"/>
    </w:p>
    <w:tbl>
      <w:tblPr>
        <w:tblStyle w:val="TableGrid"/>
        <w:tblW w:w="11636" w:type="dxa"/>
        <w:jc w:val="center"/>
        <w:tblLayout w:type="fixed"/>
        <w:tblLook w:val="04A0" w:firstRow="1" w:lastRow="0" w:firstColumn="1" w:lastColumn="0" w:noHBand="0" w:noVBand="1"/>
      </w:tblPr>
      <w:tblGrid>
        <w:gridCol w:w="2818"/>
        <w:gridCol w:w="1469"/>
        <w:gridCol w:w="1470"/>
        <w:gridCol w:w="1470"/>
        <w:gridCol w:w="1469"/>
        <w:gridCol w:w="1470"/>
        <w:gridCol w:w="1470"/>
      </w:tblGrid>
      <w:tr w:rsidR="00063D2B" w:rsidRPr="008E0AFA" w14:paraId="6D85BFDC" w14:textId="77777777" w:rsidTr="00E60034">
        <w:trPr>
          <w:trHeight w:val="410"/>
          <w:jc w:val="center"/>
        </w:trPr>
        <w:tc>
          <w:tcPr>
            <w:tcW w:w="2818" w:type="dxa"/>
            <w:vMerge w:val="restart"/>
            <w:shd w:val="clear" w:color="auto" w:fill="92CDDC" w:themeFill="accent5" w:themeFillTint="99"/>
            <w:vAlign w:val="center"/>
          </w:tcPr>
          <w:p w14:paraId="713BF95E" w14:textId="77777777" w:rsidR="00063D2B" w:rsidRDefault="00063D2B" w:rsidP="00063D2B">
            <w:pPr>
              <w:spacing w:before="0" w:line="240" w:lineRule="auto"/>
              <w:jc w:val="left"/>
              <w:rPr>
                <w:rFonts w:asciiTheme="minorHAnsi" w:hAnsiTheme="minorHAnsi" w:cstheme="minorHAnsi"/>
                <w:b/>
                <w:szCs w:val="22"/>
              </w:rPr>
            </w:pPr>
            <w:r>
              <w:rPr>
                <w:rFonts w:asciiTheme="minorHAnsi" w:hAnsiTheme="minorHAnsi" w:cstheme="minorHAnsi"/>
                <w:b/>
                <w:szCs w:val="22"/>
              </w:rPr>
              <w:t>STUDY DETAILS / SPECIFICATIONS</w:t>
            </w:r>
          </w:p>
        </w:tc>
        <w:tc>
          <w:tcPr>
            <w:tcW w:w="8818" w:type="dxa"/>
            <w:gridSpan w:val="6"/>
            <w:shd w:val="clear" w:color="auto" w:fill="92CDDC" w:themeFill="accent5" w:themeFillTint="99"/>
            <w:vAlign w:val="center"/>
          </w:tcPr>
          <w:p w14:paraId="24DA80A3" w14:textId="77777777" w:rsidR="00063D2B" w:rsidRPr="00FD4E0A" w:rsidRDefault="00063D2B" w:rsidP="004B4850">
            <w:pPr>
              <w:spacing w:before="0" w:line="240" w:lineRule="auto"/>
              <w:ind w:left="78"/>
              <w:jc w:val="center"/>
              <w:rPr>
                <w:rFonts w:asciiTheme="minorHAnsi" w:hAnsiTheme="minorHAnsi" w:cstheme="minorHAnsi"/>
                <w:b/>
                <w:szCs w:val="22"/>
              </w:rPr>
            </w:pPr>
            <w:r>
              <w:rPr>
                <w:rFonts w:asciiTheme="minorHAnsi" w:hAnsiTheme="minorHAnsi" w:cstheme="minorHAnsi"/>
                <w:b/>
                <w:szCs w:val="22"/>
              </w:rPr>
              <w:t>STUDY</w:t>
            </w:r>
          </w:p>
        </w:tc>
      </w:tr>
      <w:tr w:rsidR="00063D2B" w:rsidRPr="008E0AFA" w14:paraId="1AE60210" w14:textId="77777777" w:rsidTr="00E60034">
        <w:trPr>
          <w:trHeight w:val="410"/>
          <w:jc w:val="center"/>
        </w:trPr>
        <w:tc>
          <w:tcPr>
            <w:tcW w:w="2818" w:type="dxa"/>
            <w:vMerge/>
            <w:shd w:val="clear" w:color="auto" w:fill="92CDDC" w:themeFill="accent5" w:themeFillTint="99"/>
          </w:tcPr>
          <w:p w14:paraId="3F1E422C" w14:textId="77777777" w:rsidR="00063D2B" w:rsidRDefault="00063D2B" w:rsidP="0044148A">
            <w:pPr>
              <w:spacing w:before="0" w:line="240" w:lineRule="auto"/>
              <w:jc w:val="center"/>
              <w:rPr>
                <w:rFonts w:asciiTheme="minorHAnsi" w:hAnsiTheme="minorHAnsi" w:cstheme="minorHAnsi"/>
                <w:b/>
                <w:szCs w:val="22"/>
              </w:rPr>
            </w:pPr>
          </w:p>
        </w:tc>
        <w:tc>
          <w:tcPr>
            <w:tcW w:w="1469" w:type="dxa"/>
            <w:shd w:val="clear" w:color="auto" w:fill="92CDDC" w:themeFill="accent5" w:themeFillTint="99"/>
          </w:tcPr>
          <w:p w14:paraId="06DD7784" w14:textId="77777777" w:rsidR="00063D2B" w:rsidRDefault="00063D2B" w:rsidP="00E60034">
            <w:pPr>
              <w:spacing w:before="0" w:line="240" w:lineRule="auto"/>
              <w:ind w:left="78"/>
              <w:jc w:val="center"/>
              <w:rPr>
                <w:rFonts w:asciiTheme="minorHAnsi" w:hAnsiTheme="minorHAnsi" w:cstheme="minorHAnsi"/>
                <w:szCs w:val="22"/>
              </w:rPr>
            </w:pPr>
            <w:r w:rsidRPr="00FD4E0A">
              <w:rPr>
                <w:rFonts w:asciiTheme="minorHAnsi" w:hAnsiTheme="minorHAnsi" w:cstheme="minorHAnsi"/>
                <w:b/>
                <w:szCs w:val="22"/>
              </w:rPr>
              <w:t>National Gambling Study (NGS)</w:t>
            </w:r>
          </w:p>
          <w:p w14:paraId="793EBB25" w14:textId="407985E8" w:rsidR="00063D2B" w:rsidRDefault="00063D2B" w:rsidP="00765F46">
            <w:pPr>
              <w:spacing w:before="0" w:line="240" w:lineRule="auto"/>
              <w:jc w:val="center"/>
              <w:rPr>
                <w:rFonts w:asciiTheme="minorHAnsi" w:hAnsiTheme="minorHAnsi" w:cstheme="minorHAnsi"/>
                <w:b/>
                <w:szCs w:val="22"/>
              </w:rPr>
            </w:pP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2" w:tooltip="Abbott, 2014 #917" w:history="1">
              <w:r w:rsidR="00765F46" w:rsidRPr="00FD4E0A">
                <w:rPr>
                  <w:rFonts w:asciiTheme="minorHAnsi" w:hAnsiTheme="minorHAnsi"/>
                  <w:noProof/>
                </w:rPr>
                <w:t>Abbott et al., 2014b</w:t>
              </w:r>
            </w:hyperlink>
            <w:r w:rsidRPr="00FD4E0A">
              <w:rPr>
                <w:rFonts w:asciiTheme="minorHAnsi" w:hAnsiTheme="minorHAnsi"/>
                <w:noProof/>
              </w:rPr>
              <w:t>)</w:t>
            </w:r>
            <w:r w:rsidRPr="00FD4E0A">
              <w:rPr>
                <w:rFonts w:asciiTheme="minorHAnsi" w:hAnsiTheme="minorHAnsi"/>
              </w:rPr>
              <w:fldChar w:fldCharType="end"/>
            </w:r>
          </w:p>
        </w:tc>
        <w:tc>
          <w:tcPr>
            <w:tcW w:w="1470" w:type="dxa"/>
            <w:shd w:val="clear" w:color="auto" w:fill="92CDDC" w:themeFill="accent5" w:themeFillTint="99"/>
          </w:tcPr>
          <w:p w14:paraId="769E837B" w14:textId="77777777" w:rsidR="00063D2B" w:rsidRDefault="00063D2B" w:rsidP="00E60034">
            <w:pPr>
              <w:spacing w:before="0" w:line="240" w:lineRule="auto"/>
              <w:ind w:left="78"/>
              <w:jc w:val="center"/>
              <w:rPr>
                <w:rFonts w:asciiTheme="minorHAnsi" w:hAnsiTheme="minorHAnsi" w:cstheme="minorHAnsi"/>
                <w:b/>
                <w:szCs w:val="22"/>
              </w:rPr>
            </w:pPr>
            <w:r>
              <w:rPr>
                <w:rFonts w:asciiTheme="minorHAnsi" w:hAnsiTheme="minorHAnsi" w:cstheme="minorHAnsi"/>
                <w:b/>
                <w:szCs w:val="22"/>
              </w:rPr>
              <w:t>2012 Health &amp; Lifestyles Survey</w:t>
            </w:r>
          </w:p>
          <w:p w14:paraId="3A270E6E" w14:textId="7888AA81" w:rsidR="00063D2B" w:rsidRPr="00FD4E0A" w:rsidRDefault="00063D2B" w:rsidP="00765F46">
            <w:pPr>
              <w:spacing w:before="0" w:line="240" w:lineRule="auto"/>
              <w:ind w:left="78"/>
              <w:jc w:val="center"/>
              <w:rPr>
                <w:rFonts w:asciiTheme="minorHAnsi" w:hAnsiTheme="minorHAnsi" w:cstheme="minorHAnsi"/>
                <w:b/>
                <w:szCs w:val="22"/>
              </w:rPr>
            </w:pPr>
            <w:r w:rsidRPr="00F813F3">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Pr="00F813F3">
              <w:rPr>
                <w:rFonts w:asciiTheme="minorHAnsi" w:hAnsiTheme="minorHAnsi"/>
              </w:rPr>
              <w:fldChar w:fldCharType="separate"/>
            </w:r>
            <w:r w:rsidRPr="00F813F3">
              <w:rPr>
                <w:rFonts w:asciiTheme="minorHAnsi" w:hAnsiTheme="minorHAnsi"/>
                <w:noProof/>
              </w:rPr>
              <w:t>(</w:t>
            </w:r>
            <w:hyperlink w:anchor="_ENREF_60" w:tooltip="Tu, 2013 #916" w:history="1">
              <w:r w:rsidR="00765F46" w:rsidRPr="00F813F3">
                <w:rPr>
                  <w:rFonts w:asciiTheme="minorHAnsi" w:hAnsiTheme="minorHAnsi"/>
                  <w:noProof/>
                </w:rPr>
                <w:t>Tu, 2013</w:t>
              </w:r>
            </w:hyperlink>
            <w:r w:rsidRPr="00F813F3">
              <w:rPr>
                <w:rFonts w:asciiTheme="minorHAnsi" w:hAnsiTheme="minorHAnsi"/>
                <w:noProof/>
              </w:rPr>
              <w:t>)</w:t>
            </w:r>
            <w:r w:rsidRPr="00F813F3">
              <w:rPr>
                <w:rFonts w:asciiTheme="minorHAnsi" w:hAnsiTheme="minorHAnsi"/>
              </w:rPr>
              <w:fldChar w:fldCharType="end"/>
            </w:r>
          </w:p>
        </w:tc>
        <w:tc>
          <w:tcPr>
            <w:tcW w:w="1470" w:type="dxa"/>
            <w:shd w:val="clear" w:color="auto" w:fill="92CDDC" w:themeFill="accent5" w:themeFillTint="99"/>
          </w:tcPr>
          <w:p w14:paraId="07615879" w14:textId="77777777" w:rsidR="00063D2B" w:rsidRPr="00890BEE" w:rsidRDefault="00063D2B" w:rsidP="00E60034">
            <w:pPr>
              <w:spacing w:before="0" w:line="240" w:lineRule="auto"/>
              <w:ind w:left="78"/>
              <w:jc w:val="center"/>
              <w:rPr>
                <w:rFonts w:asciiTheme="minorHAnsi" w:hAnsiTheme="minorHAnsi" w:cstheme="minorHAnsi"/>
                <w:b/>
                <w:szCs w:val="22"/>
              </w:rPr>
            </w:pPr>
            <w:r w:rsidRPr="00890BEE">
              <w:rPr>
                <w:rFonts w:asciiTheme="minorHAnsi" w:hAnsiTheme="minorHAnsi" w:cstheme="minorHAnsi"/>
                <w:b/>
                <w:szCs w:val="22"/>
              </w:rPr>
              <w:t>2006/07 New Zealand Health Survey</w:t>
            </w:r>
          </w:p>
          <w:p w14:paraId="3C8BCA83" w14:textId="5F75D9EF" w:rsidR="00063D2B" w:rsidRDefault="00063D2B" w:rsidP="00765F46">
            <w:pPr>
              <w:spacing w:before="0" w:line="240" w:lineRule="auto"/>
              <w:jc w:val="center"/>
              <w:rPr>
                <w:rFonts w:asciiTheme="minorHAnsi" w:hAnsiTheme="minorHAnsi" w:cstheme="minorHAnsi"/>
                <w:b/>
                <w:szCs w:val="22"/>
              </w:rPr>
            </w:pPr>
            <w:r w:rsidRPr="00890BEE">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Pr="00890BEE">
              <w:rPr>
                <w:rFonts w:asciiTheme="minorHAnsi" w:hAnsiTheme="minorHAnsi"/>
              </w:rPr>
              <w:fldChar w:fldCharType="separate"/>
            </w:r>
            <w:r w:rsidRPr="00890BEE">
              <w:rPr>
                <w:rFonts w:asciiTheme="minorHAnsi" w:hAnsiTheme="minorHAnsi"/>
                <w:noProof/>
              </w:rPr>
              <w:t>(</w:t>
            </w:r>
            <w:hyperlink w:anchor="_ENREF_36" w:tooltip="Ministry of Health, 2009 #33" w:history="1">
              <w:r w:rsidR="00765F46" w:rsidRPr="00890BEE">
                <w:rPr>
                  <w:rFonts w:asciiTheme="minorHAnsi" w:hAnsiTheme="minorHAnsi"/>
                  <w:noProof/>
                </w:rPr>
                <w:t>Ministry of Health, 2009</w:t>
              </w:r>
            </w:hyperlink>
            <w:r w:rsidRPr="00890BEE">
              <w:rPr>
                <w:rFonts w:asciiTheme="minorHAnsi" w:hAnsiTheme="minorHAnsi"/>
                <w:noProof/>
              </w:rPr>
              <w:t>)</w:t>
            </w:r>
            <w:r w:rsidRPr="00890BEE">
              <w:rPr>
                <w:rFonts w:asciiTheme="minorHAnsi" w:hAnsiTheme="minorHAnsi"/>
              </w:rPr>
              <w:fldChar w:fldCharType="end"/>
            </w:r>
          </w:p>
        </w:tc>
        <w:tc>
          <w:tcPr>
            <w:tcW w:w="1469" w:type="dxa"/>
            <w:shd w:val="clear" w:color="auto" w:fill="92CDDC" w:themeFill="accent5" w:themeFillTint="99"/>
          </w:tcPr>
          <w:p w14:paraId="59E4D20A" w14:textId="77777777" w:rsidR="00063D2B" w:rsidRPr="00890BEE" w:rsidRDefault="00063D2B" w:rsidP="00E60034">
            <w:pPr>
              <w:spacing w:before="0" w:line="240" w:lineRule="auto"/>
              <w:ind w:left="78"/>
              <w:jc w:val="center"/>
              <w:rPr>
                <w:rFonts w:asciiTheme="minorHAnsi" w:hAnsiTheme="minorHAnsi" w:cstheme="minorHAnsi"/>
                <w:b/>
                <w:szCs w:val="22"/>
              </w:rPr>
            </w:pPr>
            <w:r w:rsidRPr="00890BEE">
              <w:rPr>
                <w:rFonts w:asciiTheme="minorHAnsi" w:hAnsiTheme="minorHAnsi" w:cstheme="minorHAnsi"/>
                <w:b/>
                <w:szCs w:val="22"/>
              </w:rPr>
              <w:t>2002/03 New Zealand Health Survey</w:t>
            </w:r>
          </w:p>
          <w:p w14:paraId="3A5AAA4A" w14:textId="4F7727F6" w:rsidR="00063D2B" w:rsidRDefault="00063D2B" w:rsidP="00765F46">
            <w:pPr>
              <w:spacing w:before="0" w:line="240" w:lineRule="auto"/>
              <w:jc w:val="center"/>
              <w:rPr>
                <w:rFonts w:asciiTheme="minorHAnsi" w:hAnsiTheme="minorHAnsi" w:cstheme="minorHAnsi"/>
                <w:b/>
                <w:szCs w:val="22"/>
              </w:rPr>
            </w:pPr>
            <w:r w:rsidRPr="00890BEE">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Health&lt;/publisher&gt;&lt;urls&gt;&lt;/urls&gt;&lt;/record&gt;&lt;/Cite&gt;&lt;/EndNote&gt;</w:instrText>
            </w:r>
            <w:r w:rsidRPr="00890BEE">
              <w:rPr>
                <w:rFonts w:asciiTheme="minorHAnsi" w:hAnsiTheme="minorHAnsi"/>
              </w:rPr>
              <w:fldChar w:fldCharType="separate"/>
            </w:r>
            <w:r w:rsidRPr="00890BEE">
              <w:rPr>
                <w:rFonts w:asciiTheme="minorHAnsi" w:hAnsiTheme="minorHAnsi"/>
                <w:noProof/>
              </w:rPr>
              <w:t>(</w:t>
            </w:r>
            <w:hyperlink w:anchor="_ENREF_34" w:tooltip="Ministry of Health, 2006 #31" w:history="1">
              <w:r w:rsidR="00765F46" w:rsidRPr="00890BEE">
                <w:rPr>
                  <w:rFonts w:asciiTheme="minorHAnsi" w:hAnsiTheme="minorHAnsi"/>
                  <w:noProof/>
                </w:rPr>
                <w:t>Ministry of Health, 2006</w:t>
              </w:r>
            </w:hyperlink>
            <w:r w:rsidRPr="00890BEE">
              <w:rPr>
                <w:rFonts w:asciiTheme="minorHAnsi" w:hAnsiTheme="minorHAnsi"/>
                <w:noProof/>
              </w:rPr>
              <w:t>)</w:t>
            </w:r>
            <w:r w:rsidRPr="00890BEE">
              <w:rPr>
                <w:rFonts w:asciiTheme="minorHAnsi" w:hAnsiTheme="minorHAnsi"/>
              </w:rPr>
              <w:fldChar w:fldCharType="end"/>
            </w:r>
          </w:p>
        </w:tc>
        <w:tc>
          <w:tcPr>
            <w:tcW w:w="1470" w:type="dxa"/>
            <w:shd w:val="clear" w:color="auto" w:fill="92CDDC" w:themeFill="accent5" w:themeFillTint="99"/>
          </w:tcPr>
          <w:p w14:paraId="4343BEDC" w14:textId="632812A2" w:rsidR="00063D2B" w:rsidRDefault="00063D2B" w:rsidP="00765F46">
            <w:pPr>
              <w:spacing w:before="0" w:line="240" w:lineRule="auto"/>
              <w:jc w:val="center"/>
              <w:rPr>
                <w:rFonts w:asciiTheme="minorHAnsi" w:hAnsiTheme="minorHAnsi" w:cstheme="minorHAnsi"/>
                <w:b/>
                <w:szCs w:val="22"/>
              </w:rPr>
            </w:pPr>
            <w:r w:rsidRPr="00FD4E0A">
              <w:rPr>
                <w:rFonts w:asciiTheme="minorHAnsi" w:hAnsiTheme="minorHAnsi" w:cstheme="minorHAnsi"/>
                <w:b/>
                <w:szCs w:val="22"/>
              </w:rPr>
              <w:t xml:space="preserve">Second National Prevalence Survey </w:t>
            </w: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&lt;EndNote&gt;&lt;Cite&gt;&lt;Author&gt;Abbott&lt;/Author&gt;&lt;Year&gt;2000&lt;/Year&gt;&lt;RecNum&gt;810&lt;/RecNum&gt;&lt;DisplayText&gt;(Abbott &amp;amp; Volberg, 2000a)&lt;/DisplayText&gt;&lt;record&gt;&lt;rec-number&gt;810&lt;/rec-number&gt;&lt;foreign-keys&gt;&lt;key app="EN" db-id="9pzse05rcvx956etremxfzdh9fzdxvd95rp2"&gt;810&lt;/key&gt;&lt;/foreign-keys&gt;&lt;ref-type name="Report"&gt;27&lt;/ref-type&gt;&lt;contributors&gt;&lt;authors&gt;&lt;author&gt;Abbott, M.&lt;/author&gt;&lt;author&gt;Volberg, R. A.&lt;/author&gt;&lt;/authors&gt;&lt;/contributors&gt;&lt;titles&gt;&lt;title&gt;Taking the pulse on gambling and problem gambling in New Zealand: A report on phase one of the 1999 national prevalence survey (Report number three of the New Zealand Gaming Survey)&lt;/title&gt;&lt;/titles&gt;&lt;dates&gt;&lt;year&gt;2000&lt;/year&gt;&lt;/dates&gt;&lt;pub-location&gt;Wellington&lt;/pub-location&gt;&lt;publisher&gt;The Department of Internal Affairs&lt;/publisher&gt;&lt;urls&gt;&lt;/urls&gt;&lt;/record&gt;&lt;/Cite&gt;&lt;/EndNote&gt;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7" w:tooltip="Abbott, 2000 #810" w:history="1">
              <w:r w:rsidR="00765F46" w:rsidRPr="00FD4E0A">
                <w:rPr>
                  <w:rFonts w:asciiTheme="minorHAnsi" w:hAnsiTheme="minorHAnsi"/>
                  <w:noProof/>
                </w:rPr>
                <w:t>Abbott &amp; Volberg, 2000a</w:t>
              </w:r>
            </w:hyperlink>
            <w:r w:rsidRPr="00FD4E0A">
              <w:rPr>
                <w:rFonts w:asciiTheme="minorHAnsi" w:hAnsiTheme="minorHAnsi"/>
                <w:noProof/>
              </w:rPr>
              <w:t>)</w:t>
            </w:r>
            <w:r w:rsidRPr="00FD4E0A">
              <w:rPr>
                <w:rFonts w:asciiTheme="minorHAnsi" w:hAnsiTheme="minorHAnsi"/>
              </w:rPr>
              <w:fldChar w:fldCharType="end"/>
            </w:r>
          </w:p>
        </w:tc>
        <w:tc>
          <w:tcPr>
            <w:tcW w:w="1470" w:type="dxa"/>
            <w:shd w:val="clear" w:color="auto" w:fill="92CDDC" w:themeFill="accent5" w:themeFillTint="99"/>
          </w:tcPr>
          <w:p w14:paraId="18FDDFEE" w14:textId="77777777" w:rsidR="00063D2B" w:rsidRDefault="00063D2B" w:rsidP="00E60034">
            <w:pPr>
              <w:spacing w:before="0" w:line="240" w:lineRule="auto"/>
              <w:ind w:left="78"/>
              <w:jc w:val="center"/>
              <w:rPr>
                <w:rFonts w:asciiTheme="minorHAnsi" w:hAnsiTheme="minorHAnsi" w:cstheme="minorHAnsi"/>
                <w:b/>
                <w:szCs w:val="22"/>
              </w:rPr>
            </w:pPr>
            <w:r w:rsidRPr="00FD4E0A">
              <w:rPr>
                <w:rFonts w:asciiTheme="minorHAnsi" w:hAnsiTheme="minorHAnsi" w:cstheme="minorHAnsi"/>
                <w:b/>
                <w:szCs w:val="22"/>
              </w:rPr>
              <w:t>First National Prevalence Survey</w:t>
            </w:r>
          </w:p>
          <w:p w14:paraId="5E84776A" w14:textId="6313BDAE" w:rsidR="00063D2B" w:rsidRDefault="00063D2B" w:rsidP="00765F46">
            <w:pPr>
              <w:spacing w:before="0" w:line="240" w:lineRule="auto"/>
              <w:jc w:val="center"/>
              <w:rPr>
                <w:rFonts w:asciiTheme="minorHAnsi" w:hAnsiTheme="minorHAnsi" w:cstheme="minorHAnsi"/>
                <w:b/>
                <w:szCs w:val="22"/>
              </w:rPr>
            </w:pP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&lt;EndNote&gt;&lt;Cite&gt;&lt;Author&gt;Abbott&lt;/Author&gt;&lt;Year&gt;1991&lt;/Year&gt;&lt;RecNum&gt;937&lt;/RecNum&gt;&lt;DisplayText&gt;(Abbott &amp;amp; Volberg, 1991)&lt;/DisplayText&gt;&lt;record&gt;&lt;rec-number&gt;937&lt;/rec-number&gt;&lt;foreign-keys&gt;&lt;key app="EN" db-id="9pzse05rcvx956etremxfzdh9fzdxvd95rp2"&gt;937&lt;/key&gt;&lt;/foreign-keys&gt;&lt;ref-type name="Report"&gt;27&lt;/ref-type&gt;&lt;contributors&gt;&lt;authors&gt;&lt;author&gt;Abbott, M.&lt;/author&gt;&lt;author&gt;Volberg, R. A.&lt;/author&gt;&lt;/authors&gt;&lt;/contributors&gt;&lt;titles&gt;&lt;title&gt;Gambling and problem gambling in New Zealand. Research Series No.12&lt;/title&gt;&lt;/titles&gt;&lt;dates&gt;&lt;year&gt;1991&lt;/year&gt;&lt;/dates&gt;&lt;pub-location&gt;Wellington&lt;/pub-location&gt;&lt;publisher&gt;Department of Internal Affairs&lt;/publisher&gt;&lt;urls&gt;&lt;/urls&gt;&lt;/record&gt;&lt;/Cite&gt;&lt;/EndNote&gt;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5" w:tooltip="Abbott, 1991 #937" w:history="1">
              <w:r w:rsidR="00765F46" w:rsidRPr="00FD4E0A">
                <w:rPr>
                  <w:rFonts w:asciiTheme="minorHAnsi" w:hAnsiTheme="minorHAnsi"/>
                  <w:noProof/>
                </w:rPr>
                <w:t>Abbott &amp; Volberg, 1991</w:t>
              </w:r>
            </w:hyperlink>
            <w:r w:rsidRPr="00FD4E0A">
              <w:rPr>
                <w:rFonts w:asciiTheme="minorHAnsi" w:hAnsiTheme="minorHAnsi"/>
                <w:noProof/>
              </w:rPr>
              <w:t>)</w:t>
            </w:r>
            <w:r w:rsidRPr="00FD4E0A">
              <w:rPr>
                <w:rFonts w:asciiTheme="minorHAnsi" w:hAnsiTheme="minorHAnsi"/>
              </w:rPr>
              <w:fldChar w:fldCharType="end"/>
            </w:r>
          </w:p>
        </w:tc>
      </w:tr>
      <w:tr w:rsidR="00574229" w:rsidRPr="008E0AFA" w14:paraId="4233C87D" w14:textId="77777777" w:rsidTr="00E60034">
        <w:trPr>
          <w:trHeight w:val="454"/>
          <w:jc w:val="center"/>
        </w:trPr>
        <w:tc>
          <w:tcPr>
            <w:tcW w:w="2818" w:type="dxa"/>
            <w:tcBorders>
              <w:bottom w:val="single" w:sz="4" w:space="0" w:color="auto"/>
            </w:tcBorders>
            <w:shd w:val="clear" w:color="auto" w:fill="DAEEF3" w:themeFill="accent5" w:themeFillTint="33"/>
            <w:vAlign w:val="center"/>
          </w:tcPr>
          <w:p w14:paraId="04E9F084" w14:textId="77777777" w:rsidR="00574229" w:rsidRPr="00FD4E0A" w:rsidRDefault="00574229" w:rsidP="00922C66">
            <w:pPr>
              <w:spacing w:before="0" w:line="240" w:lineRule="auto"/>
              <w:jc w:val="left"/>
              <w:rPr>
                <w:rFonts w:asciiTheme="minorHAnsi" w:hAnsiTheme="minorHAnsi" w:cstheme="minorHAnsi"/>
                <w:b/>
                <w:szCs w:val="22"/>
              </w:rPr>
            </w:pPr>
            <w:r>
              <w:rPr>
                <w:rFonts w:asciiTheme="minorHAnsi" w:hAnsiTheme="minorHAnsi" w:cstheme="minorHAnsi"/>
                <w:b/>
                <w:szCs w:val="22"/>
              </w:rPr>
              <w:t>POPULATION</w:t>
            </w:r>
          </w:p>
        </w:tc>
        <w:tc>
          <w:tcPr>
            <w:tcW w:w="1469" w:type="dxa"/>
            <w:tcBorders>
              <w:bottom w:val="single" w:sz="4" w:space="0" w:color="auto"/>
            </w:tcBorders>
            <w:shd w:val="clear" w:color="auto" w:fill="DAEEF3" w:themeFill="accent5" w:themeFillTint="33"/>
            <w:vAlign w:val="center"/>
          </w:tcPr>
          <w:p w14:paraId="1DBC9D1F" w14:textId="77777777" w:rsidR="00574229" w:rsidRPr="007E10B8" w:rsidRDefault="00574229" w:rsidP="00063D2B">
            <w:pPr>
              <w:spacing w:before="0" w:line="240" w:lineRule="auto"/>
              <w:jc w:val="center"/>
              <w:rPr>
                <w:rFonts w:asciiTheme="minorHAnsi" w:hAnsiTheme="minorHAnsi" w:cstheme="minorHAnsi"/>
              </w:rPr>
            </w:pPr>
            <w:r w:rsidRPr="008206FB">
              <w:rPr>
                <w:rFonts w:asciiTheme="minorHAnsi" w:hAnsiTheme="minorHAnsi" w:cstheme="minorHAnsi"/>
              </w:rPr>
              <w:t xml:space="preserve">Adults </w:t>
            </w:r>
            <w:r>
              <w:rPr>
                <w:rFonts w:asciiTheme="minorHAnsi" w:hAnsiTheme="minorHAnsi" w:cstheme="minorHAnsi"/>
              </w:rPr>
              <w:t>≥18</w:t>
            </w:r>
          </w:p>
        </w:tc>
        <w:tc>
          <w:tcPr>
            <w:tcW w:w="1470" w:type="dxa"/>
            <w:tcBorders>
              <w:bottom w:val="single" w:sz="4" w:space="0" w:color="auto"/>
            </w:tcBorders>
            <w:shd w:val="clear" w:color="auto" w:fill="DAEEF3" w:themeFill="accent5" w:themeFillTint="33"/>
            <w:vAlign w:val="center"/>
          </w:tcPr>
          <w:p w14:paraId="67E46555" w14:textId="77777777" w:rsidR="00574229" w:rsidRPr="008206FB" w:rsidRDefault="00574229" w:rsidP="00063D2B">
            <w:pPr>
              <w:spacing w:before="0" w:line="240" w:lineRule="auto"/>
              <w:ind w:left="78"/>
              <w:jc w:val="center"/>
              <w:rPr>
                <w:rFonts w:asciiTheme="minorHAnsi" w:hAnsiTheme="minorHAnsi" w:cstheme="minorHAnsi"/>
              </w:rPr>
            </w:pPr>
            <w:r w:rsidRPr="008206FB">
              <w:rPr>
                <w:rFonts w:asciiTheme="minorHAnsi" w:hAnsiTheme="minorHAnsi" w:cstheme="minorHAnsi"/>
              </w:rPr>
              <w:t xml:space="preserve">Adults </w:t>
            </w:r>
            <w:r>
              <w:rPr>
                <w:rFonts w:asciiTheme="minorHAnsi" w:hAnsiTheme="minorHAnsi" w:cstheme="minorHAnsi"/>
              </w:rPr>
              <w:t>≥15</w:t>
            </w:r>
          </w:p>
        </w:tc>
        <w:tc>
          <w:tcPr>
            <w:tcW w:w="1470" w:type="dxa"/>
            <w:tcBorders>
              <w:bottom w:val="single" w:sz="4" w:space="0" w:color="auto"/>
            </w:tcBorders>
            <w:shd w:val="clear" w:color="auto" w:fill="DAEEF3" w:themeFill="accent5" w:themeFillTint="33"/>
            <w:vAlign w:val="center"/>
          </w:tcPr>
          <w:p w14:paraId="40105B20" w14:textId="77777777" w:rsidR="00574229" w:rsidRDefault="00574229" w:rsidP="00063D2B">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≥15</w:t>
            </w:r>
          </w:p>
        </w:tc>
        <w:tc>
          <w:tcPr>
            <w:tcW w:w="1469" w:type="dxa"/>
            <w:tcBorders>
              <w:bottom w:val="single" w:sz="4" w:space="0" w:color="auto"/>
            </w:tcBorders>
            <w:shd w:val="clear" w:color="auto" w:fill="DAEEF3" w:themeFill="accent5" w:themeFillTint="33"/>
            <w:vAlign w:val="center"/>
          </w:tcPr>
          <w:p w14:paraId="4E84AE05" w14:textId="77777777" w:rsidR="00574229" w:rsidRDefault="00574229" w:rsidP="00063D2B">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≥15</w:t>
            </w:r>
          </w:p>
        </w:tc>
        <w:tc>
          <w:tcPr>
            <w:tcW w:w="1470" w:type="dxa"/>
            <w:tcBorders>
              <w:bottom w:val="single" w:sz="4" w:space="0" w:color="auto"/>
            </w:tcBorders>
            <w:shd w:val="clear" w:color="auto" w:fill="DAEEF3" w:themeFill="accent5" w:themeFillTint="33"/>
            <w:vAlign w:val="center"/>
          </w:tcPr>
          <w:p w14:paraId="5314D606"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rPr>
              <w:t>Adults ≥18</w:t>
            </w:r>
          </w:p>
        </w:tc>
        <w:tc>
          <w:tcPr>
            <w:tcW w:w="1470" w:type="dxa"/>
            <w:tcBorders>
              <w:bottom w:val="single" w:sz="4" w:space="0" w:color="auto"/>
            </w:tcBorders>
            <w:shd w:val="clear" w:color="auto" w:fill="DAEEF3" w:themeFill="accent5" w:themeFillTint="33"/>
            <w:vAlign w:val="center"/>
          </w:tcPr>
          <w:p w14:paraId="616386B5" w14:textId="77777777" w:rsidR="00574229" w:rsidRDefault="00574229" w:rsidP="00063D2B">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≥18</w:t>
            </w:r>
          </w:p>
        </w:tc>
      </w:tr>
      <w:tr w:rsidR="00574229" w:rsidRPr="008E0AFA" w14:paraId="19157C44" w14:textId="77777777" w:rsidTr="00E60034">
        <w:trPr>
          <w:trHeight w:val="454"/>
          <w:jc w:val="center"/>
        </w:trPr>
        <w:tc>
          <w:tcPr>
            <w:tcW w:w="2818" w:type="dxa"/>
            <w:tcBorders>
              <w:bottom w:val="single" w:sz="4" w:space="0" w:color="auto"/>
            </w:tcBorders>
            <w:shd w:val="clear" w:color="auto" w:fill="DAEEF3" w:themeFill="accent5" w:themeFillTint="33"/>
            <w:vAlign w:val="center"/>
          </w:tcPr>
          <w:p w14:paraId="579F2B1E" w14:textId="77777777" w:rsidR="00574229" w:rsidRDefault="00574229" w:rsidP="00922C66">
            <w:pPr>
              <w:spacing w:before="0" w:line="240" w:lineRule="auto"/>
              <w:jc w:val="left"/>
              <w:rPr>
                <w:rFonts w:asciiTheme="minorHAnsi" w:hAnsiTheme="minorHAnsi" w:cstheme="minorHAnsi"/>
                <w:b/>
                <w:szCs w:val="22"/>
              </w:rPr>
            </w:pPr>
            <w:r>
              <w:rPr>
                <w:rFonts w:asciiTheme="minorHAnsi" w:hAnsiTheme="minorHAnsi" w:cstheme="minorHAnsi"/>
                <w:b/>
                <w:szCs w:val="22"/>
              </w:rPr>
              <w:t>SAMPLE SIZE (N)</w:t>
            </w:r>
          </w:p>
        </w:tc>
        <w:tc>
          <w:tcPr>
            <w:tcW w:w="1469" w:type="dxa"/>
            <w:tcBorders>
              <w:bottom w:val="single" w:sz="4" w:space="0" w:color="auto"/>
            </w:tcBorders>
            <w:shd w:val="clear" w:color="auto" w:fill="DAEEF3" w:themeFill="accent5" w:themeFillTint="33"/>
            <w:vAlign w:val="center"/>
          </w:tcPr>
          <w:p w14:paraId="1045F139" w14:textId="77777777" w:rsidR="00574229" w:rsidRPr="00C94099" w:rsidRDefault="00574229" w:rsidP="00063D2B">
            <w:pPr>
              <w:spacing w:before="0" w:line="240" w:lineRule="auto"/>
              <w:ind w:left="78"/>
              <w:jc w:val="center"/>
              <w:rPr>
                <w:rFonts w:asciiTheme="minorHAnsi" w:hAnsiTheme="minorHAnsi" w:cstheme="minorHAnsi"/>
                <w:szCs w:val="22"/>
              </w:rPr>
            </w:pPr>
            <w:r w:rsidRPr="00C94099">
              <w:rPr>
                <w:rFonts w:asciiTheme="minorHAnsi" w:hAnsiTheme="minorHAnsi" w:cstheme="minorHAnsi"/>
                <w:szCs w:val="22"/>
              </w:rPr>
              <w:t>6,251</w:t>
            </w:r>
          </w:p>
        </w:tc>
        <w:tc>
          <w:tcPr>
            <w:tcW w:w="1470" w:type="dxa"/>
            <w:tcBorders>
              <w:bottom w:val="single" w:sz="4" w:space="0" w:color="auto"/>
            </w:tcBorders>
            <w:shd w:val="clear" w:color="auto" w:fill="DAEEF3" w:themeFill="accent5" w:themeFillTint="33"/>
            <w:vAlign w:val="center"/>
          </w:tcPr>
          <w:p w14:paraId="6643CA9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2,672</w:t>
            </w:r>
          </w:p>
        </w:tc>
        <w:tc>
          <w:tcPr>
            <w:tcW w:w="1470" w:type="dxa"/>
            <w:tcBorders>
              <w:bottom w:val="single" w:sz="4" w:space="0" w:color="auto"/>
            </w:tcBorders>
            <w:shd w:val="clear" w:color="auto" w:fill="DAEEF3" w:themeFill="accent5" w:themeFillTint="33"/>
            <w:vAlign w:val="center"/>
          </w:tcPr>
          <w:p w14:paraId="51BF9CC8"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12,488</w:t>
            </w:r>
          </w:p>
        </w:tc>
        <w:tc>
          <w:tcPr>
            <w:tcW w:w="1469" w:type="dxa"/>
            <w:tcBorders>
              <w:bottom w:val="single" w:sz="4" w:space="0" w:color="auto"/>
            </w:tcBorders>
            <w:shd w:val="clear" w:color="auto" w:fill="DAEEF3" w:themeFill="accent5" w:themeFillTint="33"/>
            <w:vAlign w:val="center"/>
          </w:tcPr>
          <w:p w14:paraId="3EEE78A7"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12,929</w:t>
            </w:r>
          </w:p>
        </w:tc>
        <w:tc>
          <w:tcPr>
            <w:tcW w:w="1470" w:type="dxa"/>
            <w:tcBorders>
              <w:bottom w:val="single" w:sz="4" w:space="0" w:color="auto"/>
            </w:tcBorders>
            <w:shd w:val="clear" w:color="auto" w:fill="DAEEF3" w:themeFill="accent5" w:themeFillTint="33"/>
            <w:vAlign w:val="center"/>
          </w:tcPr>
          <w:p w14:paraId="5D9769E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6,452</w:t>
            </w:r>
          </w:p>
        </w:tc>
        <w:tc>
          <w:tcPr>
            <w:tcW w:w="1470" w:type="dxa"/>
            <w:tcBorders>
              <w:bottom w:val="single" w:sz="4" w:space="0" w:color="auto"/>
            </w:tcBorders>
            <w:shd w:val="clear" w:color="auto" w:fill="DAEEF3" w:themeFill="accent5" w:themeFillTint="33"/>
            <w:vAlign w:val="center"/>
          </w:tcPr>
          <w:p w14:paraId="14C65E1F"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4,053</w:t>
            </w:r>
          </w:p>
        </w:tc>
      </w:tr>
      <w:tr w:rsidR="00574229" w:rsidRPr="008E0AFA" w14:paraId="2CDB2954" w14:textId="77777777" w:rsidTr="00E60034">
        <w:trPr>
          <w:trHeight w:val="345"/>
          <w:jc w:val="center"/>
        </w:trPr>
        <w:tc>
          <w:tcPr>
            <w:tcW w:w="2818" w:type="dxa"/>
            <w:tcBorders>
              <w:bottom w:val="single" w:sz="4" w:space="0" w:color="auto"/>
            </w:tcBorders>
            <w:shd w:val="clear" w:color="auto" w:fill="DAEEF3" w:themeFill="accent5" w:themeFillTint="33"/>
            <w:vAlign w:val="center"/>
          </w:tcPr>
          <w:p w14:paraId="684D0E99" w14:textId="77777777" w:rsidR="00574229" w:rsidRPr="00FD4E0A" w:rsidRDefault="00574229" w:rsidP="00922C66">
            <w:pPr>
              <w:spacing w:before="0" w:line="240" w:lineRule="auto"/>
              <w:jc w:val="left"/>
              <w:rPr>
                <w:rFonts w:asciiTheme="minorHAnsi" w:hAnsiTheme="minorHAnsi" w:cstheme="minorHAnsi"/>
                <w:b/>
                <w:szCs w:val="22"/>
              </w:rPr>
            </w:pPr>
            <w:r>
              <w:rPr>
                <w:rFonts w:asciiTheme="minorHAnsi" w:hAnsiTheme="minorHAnsi" w:cstheme="minorHAnsi"/>
                <w:b/>
                <w:szCs w:val="22"/>
              </w:rPr>
              <w:t>PROBLEM GAMBLING MEASURE</w:t>
            </w:r>
          </w:p>
        </w:tc>
        <w:tc>
          <w:tcPr>
            <w:tcW w:w="1469" w:type="dxa"/>
            <w:tcBorders>
              <w:bottom w:val="single" w:sz="4" w:space="0" w:color="auto"/>
            </w:tcBorders>
            <w:shd w:val="clear" w:color="auto" w:fill="DAEEF3" w:themeFill="accent5" w:themeFillTint="33"/>
            <w:vAlign w:val="center"/>
          </w:tcPr>
          <w:p w14:paraId="6F35F1E0" w14:textId="77777777" w:rsidR="00574229" w:rsidRPr="00C94099" w:rsidRDefault="00574229" w:rsidP="00063D2B">
            <w:pPr>
              <w:spacing w:before="0" w:line="240" w:lineRule="auto"/>
              <w:ind w:left="78"/>
              <w:jc w:val="center"/>
              <w:rPr>
                <w:rFonts w:asciiTheme="minorHAnsi" w:hAnsiTheme="minorHAnsi" w:cstheme="minorHAnsi"/>
                <w:szCs w:val="22"/>
              </w:rPr>
            </w:pPr>
            <w:r w:rsidRPr="00C94099">
              <w:rPr>
                <w:rFonts w:asciiTheme="minorHAnsi" w:hAnsiTheme="minorHAnsi" w:cstheme="minorHAnsi"/>
                <w:szCs w:val="22"/>
              </w:rPr>
              <w:t>PGSI</w:t>
            </w:r>
          </w:p>
        </w:tc>
        <w:tc>
          <w:tcPr>
            <w:tcW w:w="1470" w:type="dxa"/>
            <w:tcBorders>
              <w:bottom w:val="single" w:sz="4" w:space="0" w:color="auto"/>
            </w:tcBorders>
            <w:shd w:val="clear" w:color="auto" w:fill="DAEEF3" w:themeFill="accent5" w:themeFillTint="33"/>
            <w:vAlign w:val="center"/>
          </w:tcPr>
          <w:p w14:paraId="038D069B"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PGSI</w:t>
            </w:r>
          </w:p>
        </w:tc>
        <w:tc>
          <w:tcPr>
            <w:tcW w:w="1470" w:type="dxa"/>
            <w:tcBorders>
              <w:bottom w:val="single" w:sz="4" w:space="0" w:color="auto"/>
            </w:tcBorders>
            <w:shd w:val="clear" w:color="auto" w:fill="DAEEF3" w:themeFill="accent5" w:themeFillTint="33"/>
            <w:vAlign w:val="center"/>
          </w:tcPr>
          <w:p w14:paraId="54430EE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PGSI</w:t>
            </w:r>
          </w:p>
        </w:tc>
        <w:tc>
          <w:tcPr>
            <w:tcW w:w="1469" w:type="dxa"/>
            <w:tcBorders>
              <w:bottom w:val="single" w:sz="4" w:space="0" w:color="auto"/>
            </w:tcBorders>
            <w:shd w:val="clear" w:color="auto" w:fill="DAEEF3" w:themeFill="accent5" w:themeFillTint="33"/>
            <w:vAlign w:val="center"/>
          </w:tcPr>
          <w:p w14:paraId="2B9F55F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 xml:space="preserve">Screen </w:t>
            </w:r>
            <w:r w:rsidRPr="00F612D9">
              <w:rPr>
                <w:rFonts w:asciiTheme="minorHAnsi" w:hAnsiTheme="minorHAnsi" w:cstheme="minorHAnsi"/>
                <w:szCs w:val="22"/>
                <w:vertAlign w:val="superscript"/>
              </w:rPr>
              <w:t>1</w:t>
            </w:r>
          </w:p>
        </w:tc>
        <w:tc>
          <w:tcPr>
            <w:tcW w:w="1470" w:type="dxa"/>
            <w:tcBorders>
              <w:bottom w:val="single" w:sz="4" w:space="0" w:color="auto"/>
            </w:tcBorders>
            <w:shd w:val="clear" w:color="auto" w:fill="DAEEF3" w:themeFill="accent5" w:themeFillTint="33"/>
            <w:vAlign w:val="center"/>
          </w:tcPr>
          <w:p w14:paraId="1AB09D8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SOGS-R</w:t>
            </w:r>
          </w:p>
        </w:tc>
        <w:tc>
          <w:tcPr>
            <w:tcW w:w="1470" w:type="dxa"/>
            <w:tcBorders>
              <w:bottom w:val="single" w:sz="4" w:space="0" w:color="auto"/>
            </w:tcBorders>
            <w:shd w:val="clear" w:color="auto" w:fill="DAEEF3" w:themeFill="accent5" w:themeFillTint="33"/>
            <w:vAlign w:val="center"/>
          </w:tcPr>
          <w:p w14:paraId="0496EBA7"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SOGS-R</w:t>
            </w:r>
          </w:p>
        </w:tc>
      </w:tr>
      <w:tr w:rsidR="000D571D" w:rsidRPr="008E0AFA" w14:paraId="566FF44F" w14:textId="77777777" w:rsidTr="00E60034">
        <w:trPr>
          <w:trHeight w:val="345"/>
          <w:jc w:val="center"/>
        </w:trPr>
        <w:tc>
          <w:tcPr>
            <w:tcW w:w="11636" w:type="dxa"/>
            <w:gridSpan w:val="7"/>
            <w:tcBorders>
              <w:bottom w:val="single" w:sz="4" w:space="0" w:color="auto"/>
            </w:tcBorders>
            <w:shd w:val="clear" w:color="auto" w:fill="DAEEF3" w:themeFill="accent5" w:themeFillTint="33"/>
            <w:vAlign w:val="center"/>
          </w:tcPr>
          <w:p w14:paraId="6ECD562D" w14:textId="77777777" w:rsidR="000D571D" w:rsidRDefault="000D571D" w:rsidP="000D571D">
            <w:pPr>
              <w:spacing w:before="0" w:line="240" w:lineRule="auto"/>
              <w:jc w:val="left"/>
              <w:rPr>
                <w:rFonts w:asciiTheme="minorHAnsi" w:hAnsiTheme="minorHAnsi" w:cstheme="minorHAnsi"/>
                <w:szCs w:val="22"/>
              </w:rPr>
            </w:pPr>
            <w:r>
              <w:rPr>
                <w:rFonts w:asciiTheme="minorHAnsi" w:hAnsiTheme="minorHAnsi" w:cstheme="minorHAnsi"/>
                <w:b/>
                <w:szCs w:val="22"/>
              </w:rPr>
              <w:t>GAMBLING PARTICIPATION</w:t>
            </w:r>
            <w:r w:rsidR="00CB0772">
              <w:rPr>
                <w:rFonts w:asciiTheme="minorHAnsi" w:hAnsiTheme="minorHAnsi" w:cstheme="minorHAnsi"/>
                <w:b/>
                <w:szCs w:val="22"/>
              </w:rPr>
              <w:t xml:space="preserve"> RATES</w:t>
            </w:r>
            <w:r>
              <w:rPr>
                <w:rFonts w:asciiTheme="minorHAnsi" w:hAnsiTheme="minorHAnsi" w:cstheme="minorHAnsi"/>
                <w:b/>
                <w:szCs w:val="22"/>
              </w:rPr>
              <w:t>:</w:t>
            </w:r>
          </w:p>
        </w:tc>
      </w:tr>
      <w:tr w:rsidR="00574229" w:rsidRPr="008E0AFA" w14:paraId="68FFF7CE" w14:textId="77777777" w:rsidTr="00E60034">
        <w:trPr>
          <w:trHeight w:val="300"/>
          <w:jc w:val="center"/>
        </w:trPr>
        <w:tc>
          <w:tcPr>
            <w:tcW w:w="2818" w:type="dxa"/>
            <w:shd w:val="clear" w:color="auto" w:fill="DAEEF3" w:themeFill="accent5" w:themeFillTint="33"/>
            <w:vAlign w:val="center"/>
          </w:tcPr>
          <w:p w14:paraId="1FFC4D33" w14:textId="77777777" w:rsidR="00574229"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 xml:space="preserve">Weekly </w:t>
            </w:r>
          </w:p>
        </w:tc>
        <w:tc>
          <w:tcPr>
            <w:tcW w:w="1469" w:type="dxa"/>
            <w:tcBorders>
              <w:bottom w:val="single" w:sz="4" w:space="0" w:color="auto"/>
            </w:tcBorders>
            <w:shd w:val="clear" w:color="auto" w:fill="DAEEF3" w:themeFill="accent5" w:themeFillTint="33"/>
            <w:vAlign w:val="center"/>
          </w:tcPr>
          <w:p w14:paraId="2D2A507B"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22%</w:t>
            </w:r>
          </w:p>
        </w:tc>
        <w:tc>
          <w:tcPr>
            <w:tcW w:w="1470" w:type="dxa"/>
            <w:tcBorders>
              <w:bottom w:val="single" w:sz="4" w:space="0" w:color="auto"/>
            </w:tcBorders>
            <w:shd w:val="clear" w:color="auto" w:fill="DAEEF3" w:themeFill="accent5" w:themeFillTint="33"/>
            <w:vAlign w:val="center"/>
          </w:tcPr>
          <w:p w14:paraId="4B5E45F1"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7AADFE6C"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tcBorders>
              <w:bottom w:val="single" w:sz="4" w:space="0" w:color="auto"/>
            </w:tcBorders>
            <w:shd w:val="clear" w:color="auto" w:fill="DAEEF3" w:themeFill="accent5" w:themeFillTint="33"/>
            <w:vAlign w:val="center"/>
          </w:tcPr>
          <w:p w14:paraId="00066734"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0B1F402"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40%</w:t>
            </w:r>
          </w:p>
        </w:tc>
        <w:tc>
          <w:tcPr>
            <w:tcW w:w="1470" w:type="dxa"/>
            <w:tcBorders>
              <w:bottom w:val="single" w:sz="4" w:space="0" w:color="auto"/>
            </w:tcBorders>
            <w:shd w:val="clear" w:color="auto" w:fill="DAEEF3" w:themeFill="accent5" w:themeFillTint="33"/>
            <w:vAlign w:val="center"/>
          </w:tcPr>
          <w:p w14:paraId="15EABA76"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48%</w:t>
            </w:r>
          </w:p>
        </w:tc>
      </w:tr>
      <w:tr w:rsidR="00574229" w:rsidRPr="008E0AFA" w14:paraId="0FC903E2" w14:textId="77777777" w:rsidTr="00E60034">
        <w:trPr>
          <w:trHeight w:val="300"/>
          <w:jc w:val="center"/>
        </w:trPr>
        <w:tc>
          <w:tcPr>
            <w:tcW w:w="2818" w:type="dxa"/>
            <w:shd w:val="clear" w:color="auto" w:fill="DAEEF3" w:themeFill="accent5" w:themeFillTint="33"/>
            <w:vAlign w:val="center"/>
          </w:tcPr>
          <w:p w14:paraId="3ED297A9" w14:textId="77777777" w:rsidR="00574229"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 xml:space="preserve">Past six-months </w:t>
            </w:r>
          </w:p>
        </w:tc>
        <w:tc>
          <w:tcPr>
            <w:tcW w:w="1469" w:type="dxa"/>
            <w:tcBorders>
              <w:bottom w:val="single" w:sz="4" w:space="0" w:color="auto"/>
            </w:tcBorders>
            <w:shd w:val="clear" w:color="auto" w:fill="DAEEF3" w:themeFill="accent5" w:themeFillTint="33"/>
            <w:vAlign w:val="center"/>
          </w:tcPr>
          <w:p w14:paraId="3010FF65"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72286BB"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229780E3"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tcBorders>
              <w:bottom w:val="single" w:sz="4" w:space="0" w:color="auto"/>
            </w:tcBorders>
            <w:shd w:val="clear" w:color="auto" w:fill="DAEEF3" w:themeFill="accent5" w:themeFillTint="33"/>
            <w:vAlign w:val="center"/>
          </w:tcPr>
          <w:p w14:paraId="29384CD9"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6FE8E623"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86%</w:t>
            </w:r>
          </w:p>
        </w:tc>
        <w:tc>
          <w:tcPr>
            <w:tcW w:w="1470" w:type="dxa"/>
            <w:tcBorders>
              <w:bottom w:val="single" w:sz="4" w:space="0" w:color="auto"/>
            </w:tcBorders>
            <w:shd w:val="clear" w:color="auto" w:fill="DAEEF3" w:themeFill="accent5" w:themeFillTint="33"/>
            <w:vAlign w:val="center"/>
          </w:tcPr>
          <w:p w14:paraId="54D1CD97"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89%</w:t>
            </w:r>
          </w:p>
        </w:tc>
      </w:tr>
      <w:tr w:rsidR="00574229" w:rsidRPr="008E0AFA" w14:paraId="1ADDCF5B" w14:textId="77777777" w:rsidTr="00E60034">
        <w:trPr>
          <w:trHeight w:val="300"/>
          <w:jc w:val="center"/>
        </w:trPr>
        <w:tc>
          <w:tcPr>
            <w:tcW w:w="2818" w:type="dxa"/>
            <w:shd w:val="clear" w:color="auto" w:fill="DAEEF3" w:themeFill="accent5" w:themeFillTint="33"/>
            <w:vAlign w:val="center"/>
          </w:tcPr>
          <w:p w14:paraId="2DA6A967" w14:textId="77777777" w:rsidR="00574229"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 xml:space="preserve">Past-year </w:t>
            </w:r>
          </w:p>
        </w:tc>
        <w:tc>
          <w:tcPr>
            <w:tcW w:w="1469" w:type="dxa"/>
            <w:tcBorders>
              <w:bottom w:val="single" w:sz="4" w:space="0" w:color="auto"/>
            </w:tcBorders>
            <w:shd w:val="clear" w:color="auto" w:fill="DAEEF3" w:themeFill="accent5" w:themeFillTint="33"/>
            <w:vAlign w:val="center"/>
          </w:tcPr>
          <w:p w14:paraId="6DBDA603"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80%</w:t>
            </w:r>
          </w:p>
        </w:tc>
        <w:tc>
          <w:tcPr>
            <w:tcW w:w="1470" w:type="dxa"/>
            <w:tcBorders>
              <w:bottom w:val="single" w:sz="4" w:space="0" w:color="auto"/>
            </w:tcBorders>
            <w:shd w:val="clear" w:color="auto" w:fill="DAEEF3" w:themeFill="accent5" w:themeFillTint="33"/>
            <w:vAlign w:val="center"/>
          </w:tcPr>
          <w:p w14:paraId="1F96B9E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70.3%</w:t>
            </w:r>
          </w:p>
        </w:tc>
        <w:tc>
          <w:tcPr>
            <w:tcW w:w="1470" w:type="dxa"/>
            <w:tcBorders>
              <w:bottom w:val="single" w:sz="4" w:space="0" w:color="auto"/>
            </w:tcBorders>
            <w:shd w:val="clear" w:color="auto" w:fill="DAEEF3" w:themeFill="accent5" w:themeFillTint="33"/>
            <w:vAlign w:val="center"/>
          </w:tcPr>
          <w:p w14:paraId="746598B8"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65.3%</w:t>
            </w:r>
          </w:p>
        </w:tc>
        <w:tc>
          <w:tcPr>
            <w:tcW w:w="1469" w:type="dxa"/>
            <w:tcBorders>
              <w:bottom w:val="single" w:sz="4" w:space="0" w:color="auto"/>
            </w:tcBorders>
            <w:shd w:val="clear" w:color="auto" w:fill="DAEEF3" w:themeFill="accent5" w:themeFillTint="33"/>
            <w:vAlign w:val="center"/>
          </w:tcPr>
          <w:p w14:paraId="78A0BC9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69%</w:t>
            </w:r>
          </w:p>
        </w:tc>
        <w:tc>
          <w:tcPr>
            <w:tcW w:w="1470" w:type="dxa"/>
            <w:tcBorders>
              <w:bottom w:val="single" w:sz="4" w:space="0" w:color="auto"/>
            </w:tcBorders>
            <w:shd w:val="clear" w:color="auto" w:fill="DAEEF3" w:themeFill="accent5" w:themeFillTint="33"/>
            <w:vAlign w:val="center"/>
          </w:tcPr>
          <w:p w14:paraId="496F9624"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58DFC036"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2B884AA3" w14:textId="77777777" w:rsidTr="00E60034">
        <w:trPr>
          <w:trHeight w:val="300"/>
          <w:jc w:val="center"/>
        </w:trPr>
        <w:tc>
          <w:tcPr>
            <w:tcW w:w="2818" w:type="dxa"/>
            <w:shd w:val="clear" w:color="auto" w:fill="DAEEF3" w:themeFill="accent5" w:themeFillTint="33"/>
            <w:vAlign w:val="center"/>
          </w:tcPr>
          <w:p w14:paraId="4A689393" w14:textId="77777777" w:rsidR="00574229"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 xml:space="preserve">Lifetime </w:t>
            </w:r>
          </w:p>
        </w:tc>
        <w:tc>
          <w:tcPr>
            <w:tcW w:w="1469" w:type="dxa"/>
            <w:tcBorders>
              <w:bottom w:val="single" w:sz="4" w:space="0" w:color="auto"/>
            </w:tcBorders>
            <w:shd w:val="clear" w:color="auto" w:fill="DAEEF3" w:themeFill="accent5" w:themeFillTint="33"/>
            <w:vAlign w:val="center"/>
          </w:tcPr>
          <w:p w14:paraId="28F24D1D"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86%</w:t>
            </w:r>
          </w:p>
        </w:tc>
        <w:tc>
          <w:tcPr>
            <w:tcW w:w="1470" w:type="dxa"/>
            <w:tcBorders>
              <w:bottom w:val="single" w:sz="4" w:space="0" w:color="auto"/>
            </w:tcBorders>
            <w:shd w:val="clear" w:color="auto" w:fill="DAEEF3" w:themeFill="accent5" w:themeFillTint="33"/>
            <w:vAlign w:val="center"/>
          </w:tcPr>
          <w:p w14:paraId="72851BC9"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7787EE72"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tcBorders>
              <w:bottom w:val="single" w:sz="4" w:space="0" w:color="auto"/>
            </w:tcBorders>
            <w:shd w:val="clear" w:color="auto" w:fill="DAEEF3" w:themeFill="accent5" w:themeFillTint="33"/>
            <w:vAlign w:val="center"/>
          </w:tcPr>
          <w:p w14:paraId="34D37224"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2ECEAA1E"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94%</w:t>
            </w:r>
          </w:p>
        </w:tc>
        <w:tc>
          <w:tcPr>
            <w:tcW w:w="1470" w:type="dxa"/>
            <w:tcBorders>
              <w:bottom w:val="single" w:sz="4" w:space="0" w:color="auto"/>
            </w:tcBorders>
            <w:shd w:val="clear" w:color="auto" w:fill="DAEEF3" w:themeFill="accent5" w:themeFillTint="33"/>
            <w:vAlign w:val="center"/>
          </w:tcPr>
          <w:p w14:paraId="49610EF9"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95%</w:t>
            </w:r>
          </w:p>
        </w:tc>
      </w:tr>
      <w:tr w:rsidR="000D571D" w:rsidRPr="008E0AFA" w14:paraId="01F03976" w14:textId="77777777" w:rsidTr="00E60034">
        <w:trPr>
          <w:trHeight w:val="300"/>
          <w:jc w:val="center"/>
        </w:trPr>
        <w:tc>
          <w:tcPr>
            <w:tcW w:w="11636" w:type="dxa"/>
            <w:gridSpan w:val="7"/>
            <w:shd w:val="clear" w:color="auto" w:fill="DAEEF3" w:themeFill="accent5" w:themeFillTint="33"/>
            <w:vAlign w:val="center"/>
          </w:tcPr>
          <w:p w14:paraId="26A42370" w14:textId="77777777" w:rsidR="000D571D" w:rsidRDefault="000D571D" w:rsidP="000D571D">
            <w:pPr>
              <w:spacing w:before="0" w:line="240" w:lineRule="auto"/>
              <w:jc w:val="left"/>
              <w:rPr>
                <w:rFonts w:asciiTheme="minorHAnsi" w:hAnsiTheme="minorHAnsi" w:cstheme="minorHAnsi"/>
                <w:szCs w:val="22"/>
              </w:rPr>
            </w:pPr>
            <w:r>
              <w:rPr>
                <w:rFonts w:asciiTheme="minorHAnsi" w:hAnsiTheme="minorHAnsi" w:cstheme="minorHAnsi"/>
                <w:b/>
                <w:szCs w:val="22"/>
              </w:rPr>
              <w:t>PREVALENCE RATES:</w:t>
            </w:r>
          </w:p>
        </w:tc>
      </w:tr>
      <w:tr w:rsidR="00574229" w:rsidRPr="008E0AFA" w14:paraId="70474EE4" w14:textId="77777777" w:rsidTr="00E60034">
        <w:trPr>
          <w:trHeight w:val="300"/>
          <w:jc w:val="center"/>
        </w:trPr>
        <w:tc>
          <w:tcPr>
            <w:tcW w:w="2818" w:type="dxa"/>
            <w:shd w:val="clear" w:color="auto" w:fill="DAEEF3" w:themeFill="accent5" w:themeFillTint="33"/>
            <w:vAlign w:val="center"/>
          </w:tcPr>
          <w:p w14:paraId="77D91910" w14:textId="77777777" w:rsidR="00574229" w:rsidRPr="00B03A62" w:rsidRDefault="00574229" w:rsidP="00922C66">
            <w:pPr>
              <w:spacing w:before="0" w:line="240" w:lineRule="auto"/>
              <w:ind w:left="226"/>
              <w:jc w:val="left"/>
              <w:rPr>
                <w:rFonts w:asciiTheme="minorHAnsi" w:hAnsiTheme="minorHAnsi" w:cstheme="minorHAnsi"/>
                <w:b/>
                <w:szCs w:val="22"/>
              </w:rPr>
            </w:pPr>
            <w:r w:rsidRPr="00B03A62">
              <w:rPr>
                <w:rFonts w:asciiTheme="minorHAnsi" w:hAnsiTheme="minorHAnsi" w:cstheme="minorHAnsi"/>
                <w:b/>
                <w:szCs w:val="22"/>
              </w:rPr>
              <w:t>At-risk</w:t>
            </w:r>
          </w:p>
        </w:tc>
        <w:tc>
          <w:tcPr>
            <w:tcW w:w="1469" w:type="dxa"/>
            <w:shd w:val="clear" w:color="auto" w:fill="DAEEF3" w:themeFill="accent5" w:themeFillTint="33"/>
            <w:vAlign w:val="center"/>
          </w:tcPr>
          <w:p w14:paraId="5EA379AB"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w:t>
            </w:r>
          </w:p>
        </w:tc>
        <w:tc>
          <w:tcPr>
            <w:tcW w:w="1470" w:type="dxa"/>
            <w:shd w:val="clear" w:color="auto" w:fill="DAEEF3" w:themeFill="accent5" w:themeFillTint="33"/>
            <w:vAlign w:val="center"/>
          </w:tcPr>
          <w:p w14:paraId="407F7375"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747D1D47"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shd w:val="clear" w:color="auto" w:fill="DAEEF3" w:themeFill="accent5" w:themeFillTint="33"/>
            <w:vAlign w:val="center"/>
          </w:tcPr>
          <w:p w14:paraId="7ED91B7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0.7%</w:t>
            </w:r>
          </w:p>
        </w:tc>
        <w:tc>
          <w:tcPr>
            <w:tcW w:w="1470" w:type="dxa"/>
            <w:shd w:val="clear" w:color="auto" w:fill="DAEEF3" w:themeFill="accent5" w:themeFillTint="33"/>
            <w:vAlign w:val="center"/>
          </w:tcPr>
          <w:p w14:paraId="69FF62A5"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0578399F"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765A5CBF" w14:textId="77777777" w:rsidTr="00E60034">
        <w:trPr>
          <w:trHeight w:val="300"/>
          <w:jc w:val="center"/>
        </w:trPr>
        <w:tc>
          <w:tcPr>
            <w:tcW w:w="2818" w:type="dxa"/>
            <w:shd w:val="clear" w:color="auto" w:fill="DAEEF3" w:themeFill="accent5" w:themeFillTint="33"/>
            <w:vAlign w:val="center"/>
          </w:tcPr>
          <w:p w14:paraId="7AAA81A0" w14:textId="77777777" w:rsidR="00574229" w:rsidRPr="00C94099" w:rsidRDefault="00574229" w:rsidP="00922C66">
            <w:pPr>
              <w:spacing w:before="0" w:line="240" w:lineRule="auto"/>
              <w:ind w:left="226"/>
              <w:jc w:val="left"/>
              <w:rPr>
                <w:rFonts w:asciiTheme="minorHAnsi" w:hAnsiTheme="minorHAnsi" w:cstheme="minorHAnsi"/>
                <w:b/>
                <w:szCs w:val="22"/>
              </w:rPr>
            </w:pPr>
            <w:r w:rsidRPr="00C94099">
              <w:rPr>
                <w:rFonts w:asciiTheme="minorHAnsi" w:hAnsiTheme="minorHAnsi" w:cstheme="minorHAnsi"/>
                <w:b/>
              </w:rPr>
              <w:t>Low-risk</w:t>
            </w:r>
          </w:p>
        </w:tc>
        <w:tc>
          <w:tcPr>
            <w:tcW w:w="1469" w:type="dxa"/>
            <w:shd w:val="clear" w:color="auto" w:fill="DAEEF3" w:themeFill="accent5" w:themeFillTint="33"/>
            <w:vAlign w:val="center"/>
          </w:tcPr>
          <w:p w14:paraId="7A3BE09D"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0.5%</w:t>
            </w:r>
          </w:p>
        </w:tc>
        <w:tc>
          <w:tcPr>
            <w:tcW w:w="1470" w:type="dxa"/>
            <w:shd w:val="clear" w:color="auto" w:fill="DAEEF3" w:themeFill="accent5" w:themeFillTint="33"/>
            <w:vAlign w:val="center"/>
          </w:tcPr>
          <w:p w14:paraId="6624F339"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4.2%</w:t>
            </w:r>
          </w:p>
        </w:tc>
        <w:tc>
          <w:tcPr>
            <w:tcW w:w="1470" w:type="dxa"/>
            <w:shd w:val="clear" w:color="auto" w:fill="DAEEF3" w:themeFill="accent5" w:themeFillTint="33"/>
            <w:vAlign w:val="center"/>
          </w:tcPr>
          <w:p w14:paraId="3293CC37"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shd w:val="clear" w:color="auto" w:fill="DAEEF3" w:themeFill="accent5" w:themeFillTint="33"/>
            <w:vAlign w:val="center"/>
          </w:tcPr>
          <w:p w14:paraId="6B0E3325"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1ACCF221" w14:textId="77777777" w:rsidR="00574229" w:rsidRPr="00F31AF2" w:rsidRDefault="00574229" w:rsidP="004F129A">
            <w:pPr>
              <w:pStyle w:val="ListParagraph"/>
              <w:numPr>
                <w:ilvl w:val="0"/>
                <w:numId w:val="95"/>
              </w:numPr>
              <w:spacing w:line="240" w:lineRule="auto"/>
              <w:ind w:left="78" w:hanging="218"/>
              <w:jc w:val="center"/>
              <w:rPr>
                <w:rFonts w:asciiTheme="minorHAnsi" w:eastAsia="Times New Roman" w:hAnsiTheme="minorHAnsi" w:cstheme="minorHAnsi"/>
              </w:rPr>
            </w:pPr>
          </w:p>
        </w:tc>
        <w:tc>
          <w:tcPr>
            <w:tcW w:w="1470" w:type="dxa"/>
            <w:shd w:val="clear" w:color="auto" w:fill="DAEEF3" w:themeFill="accent5" w:themeFillTint="33"/>
            <w:vAlign w:val="center"/>
          </w:tcPr>
          <w:p w14:paraId="43718DD1"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324E377A" w14:textId="77777777" w:rsidTr="00E60034">
        <w:trPr>
          <w:trHeight w:val="300"/>
          <w:jc w:val="center"/>
        </w:trPr>
        <w:tc>
          <w:tcPr>
            <w:tcW w:w="2818" w:type="dxa"/>
            <w:shd w:val="clear" w:color="auto" w:fill="DAEEF3" w:themeFill="accent5" w:themeFillTint="33"/>
            <w:vAlign w:val="center"/>
          </w:tcPr>
          <w:p w14:paraId="03A4F2B8" w14:textId="77777777" w:rsidR="00574229" w:rsidRPr="00C94099" w:rsidRDefault="00574229" w:rsidP="00922C66">
            <w:pPr>
              <w:spacing w:before="0" w:line="240" w:lineRule="auto"/>
              <w:ind w:left="226"/>
              <w:jc w:val="left"/>
              <w:rPr>
                <w:rFonts w:asciiTheme="minorHAnsi" w:hAnsiTheme="minorHAnsi" w:cstheme="minorHAnsi"/>
                <w:b/>
                <w:szCs w:val="22"/>
              </w:rPr>
            </w:pPr>
            <w:r w:rsidRPr="00C94099">
              <w:rPr>
                <w:rFonts w:asciiTheme="minorHAnsi" w:hAnsiTheme="minorHAnsi" w:cstheme="minorHAnsi"/>
                <w:b/>
              </w:rPr>
              <w:t>Moderate-risk</w:t>
            </w:r>
          </w:p>
        </w:tc>
        <w:tc>
          <w:tcPr>
            <w:tcW w:w="1469" w:type="dxa"/>
            <w:shd w:val="clear" w:color="auto" w:fill="DAEEF3" w:themeFill="accent5" w:themeFillTint="33"/>
            <w:vAlign w:val="center"/>
          </w:tcPr>
          <w:p w14:paraId="6A001C89"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1.8%</w:t>
            </w:r>
          </w:p>
        </w:tc>
        <w:tc>
          <w:tcPr>
            <w:tcW w:w="1470" w:type="dxa"/>
            <w:shd w:val="clear" w:color="auto" w:fill="DAEEF3" w:themeFill="accent5" w:themeFillTint="33"/>
            <w:vAlign w:val="center"/>
          </w:tcPr>
          <w:p w14:paraId="2153AD9B"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2237D42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1.3%</w:t>
            </w:r>
          </w:p>
        </w:tc>
        <w:tc>
          <w:tcPr>
            <w:tcW w:w="1469" w:type="dxa"/>
            <w:shd w:val="clear" w:color="auto" w:fill="DAEEF3" w:themeFill="accent5" w:themeFillTint="33"/>
            <w:vAlign w:val="center"/>
          </w:tcPr>
          <w:p w14:paraId="52D187AC"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4B4EA63A" w14:textId="77777777" w:rsidR="00574229" w:rsidRPr="00F31AF2" w:rsidRDefault="00574229" w:rsidP="004F129A">
            <w:pPr>
              <w:pStyle w:val="ListParagraph"/>
              <w:numPr>
                <w:ilvl w:val="0"/>
                <w:numId w:val="95"/>
              </w:numPr>
              <w:spacing w:line="240" w:lineRule="auto"/>
              <w:ind w:left="78" w:hanging="218"/>
              <w:jc w:val="center"/>
              <w:rPr>
                <w:rFonts w:asciiTheme="minorHAnsi" w:eastAsia="Times New Roman" w:hAnsiTheme="minorHAnsi" w:cstheme="minorHAnsi"/>
              </w:rPr>
            </w:pPr>
          </w:p>
        </w:tc>
        <w:tc>
          <w:tcPr>
            <w:tcW w:w="1470" w:type="dxa"/>
            <w:shd w:val="clear" w:color="auto" w:fill="DAEEF3" w:themeFill="accent5" w:themeFillTint="33"/>
            <w:vAlign w:val="center"/>
          </w:tcPr>
          <w:p w14:paraId="234BE99F"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5991F75E" w14:textId="77777777" w:rsidTr="00E60034">
        <w:trPr>
          <w:trHeight w:val="300"/>
          <w:jc w:val="center"/>
        </w:trPr>
        <w:tc>
          <w:tcPr>
            <w:tcW w:w="2818" w:type="dxa"/>
            <w:shd w:val="clear" w:color="auto" w:fill="DAEEF3" w:themeFill="accent5" w:themeFillTint="33"/>
            <w:vAlign w:val="center"/>
          </w:tcPr>
          <w:p w14:paraId="7DB31E6E" w14:textId="77777777" w:rsidR="00574229" w:rsidRDefault="00574229" w:rsidP="00922C66">
            <w:pPr>
              <w:spacing w:before="0" w:line="240" w:lineRule="auto"/>
              <w:ind w:left="226"/>
              <w:jc w:val="left"/>
              <w:rPr>
                <w:rFonts w:asciiTheme="minorHAnsi" w:hAnsiTheme="minorHAnsi" w:cstheme="minorHAnsi"/>
                <w:b/>
              </w:rPr>
            </w:pPr>
            <w:r>
              <w:rPr>
                <w:rFonts w:asciiTheme="minorHAnsi" w:hAnsiTheme="minorHAnsi" w:cstheme="minorHAnsi"/>
                <w:b/>
              </w:rPr>
              <w:t>Moderate-risk/problem</w:t>
            </w:r>
          </w:p>
        </w:tc>
        <w:tc>
          <w:tcPr>
            <w:tcW w:w="1469" w:type="dxa"/>
            <w:shd w:val="clear" w:color="auto" w:fill="DAEEF3" w:themeFill="accent5" w:themeFillTint="33"/>
            <w:vAlign w:val="center"/>
          </w:tcPr>
          <w:p w14:paraId="5BA35D5E"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2541BF49"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1.9%</w:t>
            </w:r>
          </w:p>
        </w:tc>
        <w:tc>
          <w:tcPr>
            <w:tcW w:w="1470" w:type="dxa"/>
            <w:shd w:val="clear" w:color="auto" w:fill="DAEEF3" w:themeFill="accent5" w:themeFillTint="33"/>
            <w:vAlign w:val="center"/>
          </w:tcPr>
          <w:p w14:paraId="665408B7"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shd w:val="clear" w:color="auto" w:fill="DAEEF3" w:themeFill="accent5" w:themeFillTint="33"/>
            <w:vAlign w:val="center"/>
          </w:tcPr>
          <w:p w14:paraId="40DF5356"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528CD193"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7F50CB3E"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27F93FC8" w14:textId="77777777" w:rsidTr="00E60034">
        <w:trPr>
          <w:trHeight w:val="300"/>
          <w:jc w:val="center"/>
        </w:trPr>
        <w:tc>
          <w:tcPr>
            <w:tcW w:w="2818" w:type="dxa"/>
            <w:shd w:val="clear" w:color="auto" w:fill="DAEEF3" w:themeFill="accent5" w:themeFillTint="33"/>
            <w:vAlign w:val="center"/>
          </w:tcPr>
          <w:p w14:paraId="4FCBB614" w14:textId="77777777" w:rsidR="00574229" w:rsidRPr="00B03A62"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rPr>
              <w:t>P</w:t>
            </w:r>
            <w:r w:rsidRPr="00B03A62">
              <w:rPr>
                <w:rFonts w:asciiTheme="minorHAnsi" w:hAnsiTheme="minorHAnsi" w:cstheme="minorHAnsi"/>
                <w:b/>
              </w:rPr>
              <w:t>roblem</w:t>
            </w:r>
          </w:p>
        </w:tc>
        <w:tc>
          <w:tcPr>
            <w:tcW w:w="1469" w:type="dxa"/>
            <w:shd w:val="clear" w:color="auto" w:fill="DAEEF3" w:themeFill="accent5" w:themeFillTint="33"/>
            <w:vAlign w:val="center"/>
          </w:tcPr>
          <w:p w14:paraId="5514EA71"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0.7%</w:t>
            </w:r>
          </w:p>
        </w:tc>
        <w:tc>
          <w:tcPr>
            <w:tcW w:w="1470" w:type="dxa"/>
            <w:shd w:val="clear" w:color="auto" w:fill="DAEEF3" w:themeFill="accent5" w:themeFillTint="33"/>
            <w:vAlign w:val="center"/>
          </w:tcPr>
          <w:p w14:paraId="1E72CE57"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shd w:val="clear" w:color="auto" w:fill="DAEEF3" w:themeFill="accent5" w:themeFillTint="33"/>
            <w:vAlign w:val="center"/>
          </w:tcPr>
          <w:p w14:paraId="3562988D"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0.4%</w:t>
            </w:r>
          </w:p>
        </w:tc>
        <w:tc>
          <w:tcPr>
            <w:tcW w:w="1469" w:type="dxa"/>
            <w:shd w:val="clear" w:color="auto" w:fill="DAEEF3" w:themeFill="accent5" w:themeFillTint="33"/>
            <w:vAlign w:val="center"/>
          </w:tcPr>
          <w:p w14:paraId="228334DD"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1.2%</w:t>
            </w:r>
          </w:p>
        </w:tc>
        <w:tc>
          <w:tcPr>
            <w:tcW w:w="1470" w:type="dxa"/>
            <w:shd w:val="clear" w:color="auto" w:fill="DAEEF3" w:themeFill="accent5" w:themeFillTint="33"/>
            <w:vAlign w:val="center"/>
          </w:tcPr>
          <w:p w14:paraId="1E8FBB62"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0.8%</w:t>
            </w:r>
          </w:p>
        </w:tc>
        <w:tc>
          <w:tcPr>
            <w:tcW w:w="1470" w:type="dxa"/>
            <w:shd w:val="clear" w:color="auto" w:fill="DAEEF3" w:themeFill="accent5" w:themeFillTint="33"/>
            <w:vAlign w:val="center"/>
          </w:tcPr>
          <w:p w14:paraId="0B1461D1"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2.1%</w:t>
            </w:r>
          </w:p>
        </w:tc>
      </w:tr>
      <w:tr w:rsidR="00574229" w:rsidRPr="008E0AFA" w14:paraId="1BF00448"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20109F9E" w14:textId="77777777" w:rsidR="00574229" w:rsidRPr="00B03A62"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rPr>
              <w:t>P</w:t>
            </w:r>
            <w:r w:rsidRPr="00B03A62">
              <w:rPr>
                <w:rFonts w:asciiTheme="minorHAnsi" w:hAnsiTheme="minorHAnsi" w:cstheme="minorHAnsi"/>
                <w:b/>
              </w:rPr>
              <w:t>robable pathological</w:t>
            </w:r>
          </w:p>
        </w:tc>
        <w:tc>
          <w:tcPr>
            <w:tcW w:w="1469" w:type="dxa"/>
            <w:tcBorders>
              <w:bottom w:val="single" w:sz="4" w:space="0" w:color="auto"/>
            </w:tcBorders>
            <w:shd w:val="clear" w:color="auto" w:fill="DAEEF3" w:themeFill="accent5" w:themeFillTint="33"/>
            <w:vAlign w:val="center"/>
          </w:tcPr>
          <w:p w14:paraId="38C84093"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75620883"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4CED83DF"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tcBorders>
              <w:bottom w:val="single" w:sz="4" w:space="0" w:color="auto"/>
            </w:tcBorders>
            <w:shd w:val="clear" w:color="auto" w:fill="DAEEF3" w:themeFill="accent5" w:themeFillTint="33"/>
            <w:vAlign w:val="center"/>
          </w:tcPr>
          <w:p w14:paraId="4EE8ECA2"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58CAEEE6"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t>0.5%</w:t>
            </w:r>
          </w:p>
        </w:tc>
        <w:tc>
          <w:tcPr>
            <w:tcW w:w="1470" w:type="dxa"/>
            <w:tcBorders>
              <w:bottom w:val="single" w:sz="4" w:space="0" w:color="auto"/>
            </w:tcBorders>
            <w:shd w:val="clear" w:color="auto" w:fill="DAEEF3" w:themeFill="accent5" w:themeFillTint="33"/>
            <w:vAlign w:val="center"/>
          </w:tcPr>
          <w:p w14:paraId="7C3BC48B"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1.2%</w:t>
            </w:r>
          </w:p>
        </w:tc>
      </w:tr>
      <w:tr w:rsidR="000D571D" w:rsidRPr="008E0AFA" w14:paraId="0E0A20DF" w14:textId="77777777" w:rsidTr="00E60034">
        <w:trPr>
          <w:trHeight w:val="300"/>
          <w:jc w:val="center"/>
        </w:trPr>
        <w:tc>
          <w:tcPr>
            <w:tcW w:w="11636" w:type="dxa"/>
            <w:gridSpan w:val="7"/>
            <w:tcBorders>
              <w:bottom w:val="single" w:sz="4" w:space="0" w:color="auto"/>
            </w:tcBorders>
            <w:shd w:val="clear" w:color="auto" w:fill="DAEEF3" w:themeFill="accent5" w:themeFillTint="33"/>
            <w:vAlign w:val="center"/>
          </w:tcPr>
          <w:p w14:paraId="61E0F454" w14:textId="77777777" w:rsidR="000D571D" w:rsidRDefault="000D571D" w:rsidP="000D571D">
            <w:pPr>
              <w:spacing w:before="0" w:line="240" w:lineRule="auto"/>
              <w:jc w:val="left"/>
              <w:rPr>
                <w:rFonts w:asciiTheme="minorHAnsi" w:hAnsiTheme="minorHAnsi" w:cstheme="minorHAnsi"/>
                <w:szCs w:val="22"/>
              </w:rPr>
            </w:pPr>
            <w:r>
              <w:rPr>
                <w:rFonts w:asciiTheme="minorHAnsi" w:hAnsiTheme="minorHAnsi" w:cstheme="minorHAnsi"/>
                <w:b/>
                <w:szCs w:val="22"/>
              </w:rPr>
              <w:t xml:space="preserve">MAJOR RISK FACTORS FOR </w:t>
            </w:r>
            <w:r w:rsidRPr="00063D2B">
              <w:rPr>
                <w:rFonts w:asciiTheme="minorHAnsi" w:hAnsiTheme="minorHAnsi" w:cstheme="minorHAnsi"/>
                <w:b/>
                <w:szCs w:val="22"/>
                <w:u w:val="single"/>
              </w:rPr>
              <w:t>PROBLEM</w:t>
            </w:r>
            <w:r>
              <w:rPr>
                <w:rFonts w:asciiTheme="minorHAnsi" w:hAnsiTheme="minorHAnsi" w:cstheme="minorHAnsi"/>
                <w:b/>
                <w:szCs w:val="22"/>
              </w:rPr>
              <w:t xml:space="preserve"> GAMBLING:</w:t>
            </w:r>
          </w:p>
        </w:tc>
      </w:tr>
      <w:tr w:rsidR="00574229" w:rsidRPr="008E0AFA" w14:paraId="40CB41E4"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359BC322"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Ethnicity (Māori or Pacific)</w:t>
            </w:r>
          </w:p>
        </w:tc>
        <w:tc>
          <w:tcPr>
            <w:tcW w:w="1469" w:type="dxa"/>
            <w:tcBorders>
              <w:bottom w:val="single" w:sz="4" w:space="0" w:color="auto"/>
            </w:tcBorders>
            <w:shd w:val="clear" w:color="auto" w:fill="DAEEF3" w:themeFill="accent5" w:themeFillTint="33"/>
            <w:vAlign w:val="center"/>
          </w:tcPr>
          <w:p w14:paraId="3399CB11"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2E100B3E"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388C089D"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6F3346A0"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1D294EEE"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54C5BC07"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3587F435"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50ABB081" w14:textId="77777777" w:rsidR="00574229"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Sex (male)</w:t>
            </w:r>
          </w:p>
        </w:tc>
        <w:tc>
          <w:tcPr>
            <w:tcW w:w="1469" w:type="dxa"/>
            <w:tcBorders>
              <w:bottom w:val="single" w:sz="4" w:space="0" w:color="auto"/>
            </w:tcBorders>
            <w:shd w:val="clear" w:color="auto" w:fill="DAEEF3" w:themeFill="accent5" w:themeFillTint="33"/>
            <w:vAlign w:val="center"/>
          </w:tcPr>
          <w:p w14:paraId="659F152F"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22FCA17D"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50CC0416"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x</w:t>
            </w:r>
          </w:p>
        </w:tc>
        <w:tc>
          <w:tcPr>
            <w:tcW w:w="1469" w:type="dxa"/>
            <w:tcBorders>
              <w:bottom w:val="single" w:sz="4" w:space="0" w:color="auto"/>
            </w:tcBorders>
            <w:shd w:val="clear" w:color="auto" w:fill="DAEEF3" w:themeFill="accent5" w:themeFillTint="33"/>
            <w:vAlign w:val="center"/>
          </w:tcPr>
          <w:p w14:paraId="3DC5AB5D"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x</w:t>
            </w:r>
          </w:p>
        </w:tc>
        <w:tc>
          <w:tcPr>
            <w:tcW w:w="1470" w:type="dxa"/>
            <w:tcBorders>
              <w:bottom w:val="single" w:sz="4" w:space="0" w:color="auto"/>
            </w:tcBorders>
            <w:shd w:val="clear" w:color="auto" w:fill="DAEEF3" w:themeFill="accent5" w:themeFillTint="33"/>
            <w:vAlign w:val="center"/>
          </w:tcPr>
          <w:p w14:paraId="634BF3C9"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3D46086"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11389398"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3BB07516"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Age (years)</w:t>
            </w:r>
          </w:p>
        </w:tc>
        <w:tc>
          <w:tcPr>
            <w:tcW w:w="1469" w:type="dxa"/>
            <w:tcBorders>
              <w:bottom w:val="single" w:sz="4" w:space="0" w:color="auto"/>
            </w:tcBorders>
            <w:shd w:val="clear" w:color="auto" w:fill="DAEEF3" w:themeFill="accent5" w:themeFillTint="33"/>
            <w:vAlign w:val="center"/>
          </w:tcPr>
          <w:p w14:paraId="7B88B30B" w14:textId="77777777" w:rsidR="00574229" w:rsidRPr="00F31AF2" w:rsidRDefault="0037336E"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x</w:t>
            </w:r>
          </w:p>
        </w:tc>
        <w:tc>
          <w:tcPr>
            <w:tcW w:w="1470" w:type="dxa"/>
            <w:tcBorders>
              <w:bottom w:val="single" w:sz="4" w:space="0" w:color="auto"/>
            </w:tcBorders>
            <w:shd w:val="clear" w:color="auto" w:fill="DAEEF3" w:themeFill="accent5" w:themeFillTint="33"/>
            <w:vAlign w:val="center"/>
          </w:tcPr>
          <w:p w14:paraId="464995F8"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00B375E"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35-44</w:t>
            </w:r>
          </w:p>
        </w:tc>
        <w:tc>
          <w:tcPr>
            <w:tcW w:w="1469" w:type="dxa"/>
            <w:tcBorders>
              <w:bottom w:val="single" w:sz="4" w:space="0" w:color="auto"/>
            </w:tcBorders>
            <w:shd w:val="clear" w:color="auto" w:fill="DAEEF3" w:themeFill="accent5" w:themeFillTint="33"/>
            <w:vAlign w:val="center"/>
          </w:tcPr>
          <w:p w14:paraId="1957D6AF"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25-34</w:t>
            </w:r>
          </w:p>
        </w:tc>
        <w:tc>
          <w:tcPr>
            <w:tcW w:w="1470" w:type="dxa"/>
            <w:tcBorders>
              <w:bottom w:val="single" w:sz="4" w:space="0" w:color="auto"/>
            </w:tcBorders>
            <w:shd w:val="clear" w:color="auto" w:fill="DAEEF3" w:themeFill="accent5" w:themeFillTint="33"/>
            <w:vAlign w:val="center"/>
          </w:tcPr>
          <w:p w14:paraId="59D3C0A1"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55-64</w:t>
            </w:r>
          </w:p>
        </w:tc>
        <w:tc>
          <w:tcPr>
            <w:tcW w:w="1470" w:type="dxa"/>
            <w:tcBorders>
              <w:bottom w:val="single" w:sz="4" w:space="0" w:color="auto"/>
            </w:tcBorders>
            <w:shd w:val="clear" w:color="auto" w:fill="DAEEF3" w:themeFill="accent5" w:themeFillTint="33"/>
            <w:vAlign w:val="center"/>
          </w:tcPr>
          <w:p w14:paraId="2B91BE26"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≤30</w:t>
            </w:r>
          </w:p>
        </w:tc>
      </w:tr>
      <w:tr w:rsidR="00574229" w:rsidRPr="008E0AFA" w14:paraId="179A3C38"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4282F540"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Lower education</w:t>
            </w:r>
          </w:p>
        </w:tc>
        <w:tc>
          <w:tcPr>
            <w:tcW w:w="1469" w:type="dxa"/>
            <w:tcBorders>
              <w:bottom w:val="single" w:sz="4" w:space="0" w:color="auto"/>
            </w:tcBorders>
            <w:shd w:val="clear" w:color="auto" w:fill="DAEEF3" w:themeFill="accent5" w:themeFillTint="33"/>
            <w:vAlign w:val="center"/>
          </w:tcPr>
          <w:p w14:paraId="35077995"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AD02117"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D927900"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1738C267"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786B53E"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05E404D6"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3DD8BC57"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1304E5D8"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Continuous modes</w:t>
            </w:r>
          </w:p>
        </w:tc>
        <w:tc>
          <w:tcPr>
            <w:tcW w:w="1469" w:type="dxa"/>
            <w:tcBorders>
              <w:bottom w:val="single" w:sz="4" w:space="0" w:color="auto"/>
            </w:tcBorders>
            <w:shd w:val="clear" w:color="auto" w:fill="DAEEF3" w:themeFill="accent5" w:themeFillTint="33"/>
            <w:vAlign w:val="center"/>
          </w:tcPr>
          <w:p w14:paraId="3DF25D78"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15F8A1CF" w14:textId="77777777" w:rsidR="00574229" w:rsidRPr="00F31AF2" w:rsidRDefault="00063D2B"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E64342C"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6532821B"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5DB6250A"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2FB7EBAB"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2761E084"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3EBE1871"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Harmful alcohol use</w:t>
            </w:r>
          </w:p>
        </w:tc>
        <w:tc>
          <w:tcPr>
            <w:tcW w:w="1469" w:type="dxa"/>
            <w:tcBorders>
              <w:bottom w:val="single" w:sz="4" w:space="0" w:color="auto"/>
            </w:tcBorders>
            <w:shd w:val="clear" w:color="auto" w:fill="DAEEF3" w:themeFill="accent5" w:themeFillTint="33"/>
            <w:vAlign w:val="center"/>
          </w:tcPr>
          <w:p w14:paraId="1DBC81CB"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63CBFAF2"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23670A94"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430DA27D"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D1F5D43"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3749DAF6"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0C1E491E"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70EEF6ED"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Tobacco use</w:t>
            </w:r>
          </w:p>
        </w:tc>
        <w:tc>
          <w:tcPr>
            <w:tcW w:w="1469" w:type="dxa"/>
            <w:tcBorders>
              <w:bottom w:val="single" w:sz="4" w:space="0" w:color="auto"/>
            </w:tcBorders>
            <w:shd w:val="clear" w:color="auto" w:fill="DAEEF3" w:themeFill="accent5" w:themeFillTint="33"/>
            <w:vAlign w:val="center"/>
          </w:tcPr>
          <w:p w14:paraId="1A83CD2C"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4D62DA30"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64594F08"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5139DFD0"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344C1CB5"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66F6260A"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0F707235"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00E7C491"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Other drug use</w:t>
            </w:r>
          </w:p>
        </w:tc>
        <w:tc>
          <w:tcPr>
            <w:tcW w:w="1469" w:type="dxa"/>
            <w:tcBorders>
              <w:bottom w:val="single" w:sz="4" w:space="0" w:color="auto"/>
            </w:tcBorders>
            <w:shd w:val="clear" w:color="auto" w:fill="DAEEF3" w:themeFill="accent5" w:themeFillTint="33"/>
            <w:vAlign w:val="center"/>
          </w:tcPr>
          <w:p w14:paraId="566C98C9"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1F2E3402" w14:textId="77777777" w:rsidR="00574229"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4A8DFFA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69" w:type="dxa"/>
            <w:tcBorders>
              <w:bottom w:val="single" w:sz="4" w:space="0" w:color="auto"/>
            </w:tcBorders>
            <w:shd w:val="clear" w:color="auto" w:fill="DAEEF3" w:themeFill="accent5" w:themeFillTint="33"/>
            <w:vAlign w:val="center"/>
          </w:tcPr>
          <w:p w14:paraId="4494813B"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02E81B0"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6331FAD4"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r>
      <w:tr w:rsidR="00574229" w:rsidRPr="008E0AFA" w14:paraId="7FAB3AE7"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67DA10E7"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Psychological distress</w:t>
            </w:r>
          </w:p>
        </w:tc>
        <w:tc>
          <w:tcPr>
            <w:tcW w:w="1469" w:type="dxa"/>
            <w:tcBorders>
              <w:bottom w:val="single" w:sz="4" w:space="0" w:color="auto"/>
            </w:tcBorders>
            <w:shd w:val="clear" w:color="auto" w:fill="DAEEF3" w:themeFill="accent5" w:themeFillTint="33"/>
            <w:vAlign w:val="center"/>
          </w:tcPr>
          <w:p w14:paraId="33C749DB"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F692B86"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00B7B323"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225FF825"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56BF6049"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06DDA262"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715499CC"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66FF9DB0" w14:textId="77777777" w:rsidR="00574229" w:rsidRPr="00FD4E0A" w:rsidRDefault="00574229" w:rsidP="00922C66">
            <w:pPr>
              <w:spacing w:before="0" w:line="240" w:lineRule="auto"/>
              <w:ind w:left="226"/>
              <w:jc w:val="left"/>
              <w:rPr>
                <w:rFonts w:asciiTheme="minorHAnsi" w:hAnsiTheme="minorHAnsi" w:cstheme="minorHAnsi"/>
                <w:b/>
                <w:szCs w:val="22"/>
              </w:rPr>
            </w:pPr>
            <w:r>
              <w:rPr>
                <w:rFonts w:asciiTheme="minorHAnsi" w:hAnsiTheme="minorHAnsi" w:cstheme="minorHAnsi"/>
                <w:b/>
                <w:szCs w:val="22"/>
              </w:rPr>
              <w:t>Poor health</w:t>
            </w:r>
          </w:p>
        </w:tc>
        <w:tc>
          <w:tcPr>
            <w:tcW w:w="1469" w:type="dxa"/>
            <w:tcBorders>
              <w:bottom w:val="single" w:sz="4" w:space="0" w:color="auto"/>
            </w:tcBorders>
            <w:shd w:val="clear" w:color="auto" w:fill="DAEEF3" w:themeFill="accent5" w:themeFillTint="33"/>
            <w:vAlign w:val="center"/>
          </w:tcPr>
          <w:p w14:paraId="775146D2"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0416D6FC"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7B423C36"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370CEC70"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05D7523E"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307AC7ED"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r w:rsidR="00574229" w:rsidRPr="008E0AFA" w14:paraId="34F6305A" w14:textId="77777777" w:rsidTr="00E60034">
        <w:trPr>
          <w:trHeight w:val="300"/>
          <w:jc w:val="center"/>
        </w:trPr>
        <w:tc>
          <w:tcPr>
            <w:tcW w:w="2818" w:type="dxa"/>
            <w:tcBorders>
              <w:bottom w:val="single" w:sz="4" w:space="0" w:color="auto"/>
            </w:tcBorders>
            <w:shd w:val="clear" w:color="auto" w:fill="DAEEF3" w:themeFill="accent5" w:themeFillTint="33"/>
            <w:vAlign w:val="center"/>
          </w:tcPr>
          <w:p w14:paraId="559D2AFB" w14:textId="77777777" w:rsidR="00574229" w:rsidRPr="00C94099" w:rsidRDefault="00574229" w:rsidP="00922C66">
            <w:pPr>
              <w:spacing w:before="0" w:line="240" w:lineRule="auto"/>
              <w:ind w:left="226"/>
              <w:jc w:val="left"/>
              <w:rPr>
                <w:rFonts w:asciiTheme="minorHAnsi" w:hAnsiTheme="minorHAnsi" w:cstheme="minorHAnsi"/>
                <w:b/>
                <w:szCs w:val="22"/>
              </w:rPr>
            </w:pPr>
            <w:r w:rsidRPr="00C94099">
              <w:rPr>
                <w:rFonts w:asciiTheme="minorHAnsi" w:hAnsiTheme="minorHAnsi" w:cstheme="minorHAnsi"/>
                <w:b/>
                <w:szCs w:val="22"/>
              </w:rPr>
              <w:t>Higher deprivation</w:t>
            </w:r>
          </w:p>
        </w:tc>
        <w:tc>
          <w:tcPr>
            <w:tcW w:w="1469" w:type="dxa"/>
            <w:tcBorders>
              <w:bottom w:val="single" w:sz="4" w:space="0" w:color="auto"/>
            </w:tcBorders>
            <w:shd w:val="clear" w:color="auto" w:fill="DAEEF3" w:themeFill="accent5" w:themeFillTint="33"/>
            <w:vAlign w:val="center"/>
          </w:tcPr>
          <w:p w14:paraId="0986D367"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1468BF55" w14:textId="77777777" w:rsidR="00574229" w:rsidRPr="00F31AF2" w:rsidRDefault="00063D2B"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w:t>
            </w:r>
          </w:p>
        </w:tc>
        <w:tc>
          <w:tcPr>
            <w:tcW w:w="1470" w:type="dxa"/>
            <w:tcBorders>
              <w:bottom w:val="single" w:sz="4" w:space="0" w:color="auto"/>
            </w:tcBorders>
            <w:shd w:val="clear" w:color="auto" w:fill="DAEEF3" w:themeFill="accent5" w:themeFillTint="33"/>
            <w:vAlign w:val="center"/>
          </w:tcPr>
          <w:p w14:paraId="1180DA1A"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69" w:type="dxa"/>
            <w:tcBorders>
              <w:bottom w:val="single" w:sz="4" w:space="0" w:color="auto"/>
            </w:tcBorders>
            <w:shd w:val="clear" w:color="auto" w:fill="DAEEF3" w:themeFill="accent5" w:themeFillTint="33"/>
            <w:vAlign w:val="center"/>
          </w:tcPr>
          <w:p w14:paraId="173BD018" w14:textId="77777777" w:rsidR="00574229" w:rsidRDefault="00574229" w:rsidP="00063D2B">
            <w:pPr>
              <w:spacing w:before="0" w:line="240" w:lineRule="auto"/>
              <w:ind w:left="78"/>
              <w:jc w:val="center"/>
              <w:rPr>
                <w:rFonts w:asciiTheme="minorHAnsi" w:hAnsiTheme="minorHAnsi" w:cstheme="minorHAnsi"/>
                <w:szCs w:val="22"/>
              </w:rPr>
            </w:pPr>
            <w:r>
              <w:rPr>
                <w:rFonts w:asciiTheme="minorHAnsi" w:hAnsiTheme="minorHAnsi" w:cstheme="minorHAnsi"/>
                <w:szCs w:val="22"/>
              </w:rPr>
              <w:t>x</w:t>
            </w:r>
          </w:p>
        </w:tc>
        <w:tc>
          <w:tcPr>
            <w:tcW w:w="1470" w:type="dxa"/>
            <w:tcBorders>
              <w:bottom w:val="single" w:sz="4" w:space="0" w:color="auto"/>
            </w:tcBorders>
            <w:shd w:val="clear" w:color="auto" w:fill="DAEEF3" w:themeFill="accent5" w:themeFillTint="33"/>
            <w:vAlign w:val="center"/>
          </w:tcPr>
          <w:p w14:paraId="6CAAE87B" w14:textId="77777777" w:rsidR="00574229" w:rsidRPr="00F31AF2"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c>
          <w:tcPr>
            <w:tcW w:w="1470" w:type="dxa"/>
            <w:tcBorders>
              <w:bottom w:val="single" w:sz="4" w:space="0" w:color="auto"/>
            </w:tcBorders>
            <w:shd w:val="clear" w:color="auto" w:fill="DAEEF3" w:themeFill="accent5" w:themeFillTint="33"/>
            <w:vAlign w:val="center"/>
          </w:tcPr>
          <w:p w14:paraId="73A5A6A0" w14:textId="77777777" w:rsidR="00574229" w:rsidRDefault="00574229" w:rsidP="00063D2B">
            <w:pPr>
              <w:spacing w:before="0" w:line="240" w:lineRule="auto"/>
              <w:ind w:left="78"/>
              <w:jc w:val="center"/>
              <w:rPr>
                <w:rFonts w:asciiTheme="minorHAnsi" w:hAnsiTheme="minorHAnsi" w:cstheme="minorHAnsi"/>
                <w:szCs w:val="22"/>
              </w:rPr>
            </w:pPr>
            <w:r w:rsidRPr="00F31AF2">
              <w:rPr>
                <w:rFonts w:asciiTheme="minorHAnsi" w:hAnsiTheme="minorHAnsi" w:cstheme="minorHAnsi"/>
                <w:szCs w:val="22"/>
              </w:rPr>
              <w:sym w:font="Wingdings" w:char="F0FC"/>
            </w:r>
          </w:p>
        </w:tc>
      </w:tr>
    </w:tbl>
    <w:p w14:paraId="63A9B9A5" w14:textId="77777777" w:rsidR="00CB33BA" w:rsidRPr="0037336E" w:rsidRDefault="00CB33BA" w:rsidP="00CB33BA">
      <w:pPr>
        <w:spacing w:before="0" w:line="240" w:lineRule="auto"/>
        <w:ind w:left="1134" w:hanging="283"/>
        <w:rPr>
          <w:rFonts w:asciiTheme="minorHAnsi" w:hAnsiTheme="minorHAnsi" w:cstheme="minorHAnsi"/>
          <w:sz w:val="16"/>
        </w:rPr>
      </w:pPr>
      <w:r w:rsidRPr="0037336E">
        <w:rPr>
          <w:rFonts w:asciiTheme="minorHAnsi" w:hAnsiTheme="minorHAnsi" w:cstheme="minorHAnsi"/>
          <w:sz w:val="16"/>
        </w:rPr>
        <w:t>Notes:</w:t>
      </w:r>
    </w:p>
    <w:p w14:paraId="0143DDB1" w14:textId="77777777" w:rsidR="000E113F" w:rsidRPr="0037336E" w:rsidRDefault="00CB33BA" w:rsidP="004F129A">
      <w:pPr>
        <w:pStyle w:val="ListParagraph"/>
        <w:numPr>
          <w:ilvl w:val="0"/>
          <w:numId w:val="96"/>
        </w:numPr>
        <w:spacing w:line="240" w:lineRule="auto"/>
        <w:rPr>
          <w:rFonts w:asciiTheme="minorHAnsi" w:hAnsiTheme="minorHAnsi" w:cstheme="minorHAnsi"/>
          <w:sz w:val="16"/>
        </w:rPr>
      </w:pPr>
      <w:r w:rsidRPr="0037336E">
        <w:rPr>
          <w:rFonts w:asciiTheme="minorHAnsi" w:hAnsiTheme="minorHAnsi" w:cstheme="minorHAnsi"/>
          <w:sz w:val="16"/>
        </w:rPr>
        <w:t>The 2002/03 NZHS used an un-validated screen based on the SOGS, the Lie/Bet screen and DSM-IV criteria for problem gambling.</w:t>
      </w:r>
    </w:p>
    <w:p w14:paraId="239C6E40" w14:textId="77777777" w:rsidR="00574229" w:rsidRPr="0037336E" w:rsidRDefault="00574229" w:rsidP="00ED2729">
      <w:pPr>
        <w:pStyle w:val="BodyText"/>
        <w:spacing w:line="480" w:lineRule="auto"/>
      </w:pPr>
    </w:p>
    <w:p w14:paraId="433E4167" w14:textId="77777777" w:rsidR="00014488" w:rsidRPr="0037336E" w:rsidRDefault="00014488" w:rsidP="004F129A">
      <w:pPr>
        <w:pStyle w:val="Heading2"/>
        <w:numPr>
          <w:ilvl w:val="1"/>
          <w:numId w:val="77"/>
        </w:numPr>
      </w:pPr>
      <w:bookmarkStart w:id="19" w:name="_Toc403833144"/>
      <w:r w:rsidRPr="0037336E">
        <w:lastRenderedPageBreak/>
        <w:t>Help-seeking for gambling related problems in New Zealand</w:t>
      </w:r>
      <w:bookmarkEnd w:id="19"/>
    </w:p>
    <w:p w14:paraId="465FDB94" w14:textId="03964D37" w:rsidR="00802F90" w:rsidRDefault="00802F90" w:rsidP="00802F90">
      <w:pPr>
        <w:pStyle w:val="BodyText"/>
        <w:spacing w:line="480" w:lineRule="auto"/>
      </w:pPr>
      <w:r>
        <w:t xml:space="preserve">The Ministry of Health </w:t>
      </w:r>
      <w:r w:rsidRPr="00802F90">
        <w:t>funds and coordinates a range of problem gambling services under the Gambling Act 2003.</w:t>
      </w:r>
      <w:r>
        <w:t xml:space="preserve">  This includes</w:t>
      </w:r>
      <w:r w:rsidRPr="00BD0770">
        <w:t xml:space="preserve"> </w:t>
      </w:r>
      <w:r w:rsidR="00BD0770">
        <w:t>pr</w:t>
      </w:r>
      <w:r w:rsidRPr="00BD0770">
        <w:t xml:space="preserve">oblem gambling intervention services </w:t>
      </w:r>
      <w:r w:rsidR="00BD0770" w:rsidRPr="00BD0770">
        <w:t xml:space="preserve">that </w:t>
      </w:r>
      <w:r w:rsidRPr="00BD0770">
        <w:t>provide</w:t>
      </w:r>
      <w:r w:rsidR="004413AD">
        <w:t xml:space="preserve"> psychosocial support and clinical interventions (</w:t>
      </w:r>
      <w:r w:rsidRPr="00BD0770">
        <w:t>counselling</w:t>
      </w:r>
      <w:r w:rsidR="004413AD">
        <w:t>)</w:t>
      </w:r>
      <w:r w:rsidRPr="00BD0770">
        <w:t xml:space="preserve"> for </w:t>
      </w:r>
      <w:r w:rsidR="00BD0770">
        <w:t>people experiencing harm from gambling</w:t>
      </w:r>
      <w:r w:rsidR="004413AD">
        <w:t>.  These services</w:t>
      </w:r>
      <w:r w:rsidR="00BD0770">
        <w:t xml:space="preserve"> acknowledge the impact of gambling on individuals, their family/whānau and affected others. </w:t>
      </w:r>
      <w:r w:rsidR="00011FED">
        <w:t xml:space="preserve"> A</w:t>
      </w:r>
      <w:r w:rsidR="00011FED" w:rsidRPr="00BD0770">
        <w:t xml:space="preserve"> combination of </w:t>
      </w:r>
      <w:r w:rsidR="0060296D">
        <w:t xml:space="preserve">interventions </w:t>
      </w:r>
      <w:r w:rsidR="00011FED" w:rsidRPr="000B5F14">
        <w:t>are purchased by the Ministry and include</w:t>
      </w:r>
      <w:r w:rsidR="0060296D">
        <w:t xml:space="preserve"> the following services</w:t>
      </w:r>
      <w:r w:rsidR="00011FED" w:rsidRPr="000B5F14">
        <w:t xml:space="preserve">: helpline and information; brief intervention; full intervention; facilitation; and, follow-up </w:t>
      </w:r>
      <w:r w:rsidR="000B5F14" w:rsidRPr="000B5F14">
        <w:fldChar w:fldCharType="begin"/>
      </w:r>
      <w:r w:rsidR="00A34C5E">
        <w:instrText xml:space="preserve"> ADDIN EN.CITE &lt;EndNote&gt;&lt;Cite&gt;&lt;Author&gt;Ministry of Health&lt;/Author&gt;&lt;Year&gt;2008&lt;/Year&gt;&lt;RecNum&gt;940&lt;/RecNum&gt;&lt;DisplayText&gt;(Ministry of Health, 2008)&lt;/DisplayText&gt;&lt;record&gt;&lt;rec-number&gt;940&lt;/rec-number&gt;&lt;foreign-keys&gt;&lt;key app="EN" db-id="9pzse05rcvx956etremxfzdh9fzdxvd95rp2"&gt;940&lt;/key&gt;&lt;/foreign-keys&gt;&lt;ref-type name="Report"&gt;27&lt;/ref-type&gt;&lt;contributors&gt;&lt;authors&gt;&lt;author&gt;Ministry of Health,&lt;/author&gt;&lt;/authors&gt;&lt;/contributors&gt;&lt;titles&gt;&lt;title&gt;Intervention Service Practice Requirements Handbook (version 1.1)&lt;/title&gt;&lt;/titles&gt;&lt;dates&gt;&lt;year&gt;2008&lt;/year&gt;&lt;/dates&gt;&lt;pub-location&gt;Wellington&lt;/pub-location&gt;&lt;publisher&gt;Ministry of Health&lt;/publisher&gt;&lt;urls&gt;&lt;/urls&gt;&lt;/record&gt;&lt;/Cite&gt;&lt;/EndNote&gt;</w:instrText>
      </w:r>
      <w:r w:rsidR="000B5F14" w:rsidRPr="000B5F14">
        <w:fldChar w:fldCharType="separate"/>
      </w:r>
      <w:r w:rsidR="000B5F14" w:rsidRPr="000B5F14">
        <w:rPr>
          <w:noProof/>
        </w:rPr>
        <w:t>(</w:t>
      </w:r>
      <w:hyperlink w:anchor="_ENREF_35" w:tooltip="Ministry of Health, 2008 #940" w:history="1">
        <w:r w:rsidR="00765F46" w:rsidRPr="000B5F14">
          <w:rPr>
            <w:noProof/>
          </w:rPr>
          <w:t>Ministry of Health, 2008</w:t>
        </w:r>
      </w:hyperlink>
      <w:r w:rsidR="000B5F14" w:rsidRPr="000B5F14">
        <w:rPr>
          <w:noProof/>
        </w:rPr>
        <w:t>)</w:t>
      </w:r>
      <w:r w:rsidR="000B5F14" w:rsidRPr="000B5F14">
        <w:fldChar w:fldCharType="end"/>
      </w:r>
      <w:r w:rsidR="00011FED">
        <w:rPr>
          <w:rFonts w:cs="Arial"/>
          <w:color w:val="002639"/>
          <w:sz w:val="20"/>
          <w:szCs w:val="20"/>
          <w:lang w:eastAsia="en-NZ"/>
        </w:rPr>
        <w:t xml:space="preserve">. </w:t>
      </w:r>
    </w:p>
    <w:p w14:paraId="6677A61D" w14:textId="77777777" w:rsidR="00BA08AE" w:rsidRDefault="00104BA8" w:rsidP="00477233">
      <w:pPr>
        <w:pStyle w:val="BodyText"/>
        <w:spacing w:line="480" w:lineRule="auto"/>
      </w:pPr>
      <w:r>
        <w:t>C</w:t>
      </w:r>
      <w:r w:rsidRPr="00104BA8">
        <w:t>lient</w:t>
      </w:r>
      <w:r>
        <w:t xml:space="preserve"> data </w:t>
      </w:r>
      <w:r w:rsidRPr="00104BA8">
        <w:t xml:space="preserve">is collected by </w:t>
      </w:r>
      <w:r>
        <w:t xml:space="preserve">intervention services and </w:t>
      </w:r>
      <w:r w:rsidRPr="00104BA8">
        <w:t>the Ministry of Health</w:t>
      </w:r>
      <w:r w:rsidR="00B3785A">
        <w:t xml:space="preserve"> for each financial year</w:t>
      </w:r>
      <w:r>
        <w:t xml:space="preserve"> and enables the </w:t>
      </w:r>
      <w:r w:rsidRPr="00104BA8">
        <w:t xml:space="preserve">monitoring and reporting </w:t>
      </w:r>
      <w:r>
        <w:t xml:space="preserve">of intervention </w:t>
      </w:r>
      <w:r w:rsidRPr="00104BA8">
        <w:t>data</w:t>
      </w:r>
      <w:r>
        <w:t xml:space="preserve">. </w:t>
      </w:r>
      <w:r w:rsidR="00B3785A">
        <w:t xml:space="preserve"> Collected i</w:t>
      </w:r>
      <w:r w:rsidR="00840241">
        <w:t>nformation includes the client</w:t>
      </w:r>
      <w:r w:rsidR="00477233">
        <w:t xml:space="preserve"> status</w:t>
      </w:r>
      <w:r w:rsidR="00840241">
        <w:t xml:space="preserve"> </w:t>
      </w:r>
      <w:r w:rsidR="00F96F94">
        <w:t xml:space="preserve">(new or </w:t>
      </w:r>
      <w:r w:rsidR="0096700B">
        <w:t>existing</w:t>
      </w:r>
      <w:r w:rsidR="00B3785A">
        <w:t xml:space="preserve">), </w:t>
      </w:r>
      <w:r w:rsidR="00477233">
        <w:t>client type</w:t>
      </w:r>
      <w:r w:rsidR="00B3785A">
        <w:t xml:space="preserve"> (</w:t>
      </w:r>
      <w:r w:rsidR="00F96F94">
        <w:t xml:space="preserve">family </w:t>
      </w:r>
      <w:r w:rsidR="0061535D">
        <w:t>member</w:t>
      </w:r>
      <w:r w:rsidR="000419D5">
        <w:t>/</w:t>
      </w:r>
      <w:r w:rsidR="00F96F94">
        <w:t>affected</w:t>
      </w:r>
      <w:r w:rsidR="0061535D">
        <w:t xml:space="preserve"> </w:t>
      </w:r>
      <w:r w:rsidR="00F96F94">
        <w:t xml:space="preserve">other or </w:t>
      </w:r>
      <w:r w:rsidR="00840241">
        <w:t>gambler)</w:t>
      </w:r>
      <w:r w:rsidR="00B3785A">
        <w:t xml:space="preserve"> and</w:t>
      </w:r>
      <w:r w:rsidR="00F96F94">
        <w:t xml:space="preserve"> the prim</w:t>
      </w:r>
      <w:r w:rsidR="00B3785A">
        <w:t>ary gambling mode</w:t>
      </w:r>
      <w:r w:rsidR="00F96F94">
        <w:t xml:space="preserve">.  </w:t>
      </w:r>
      <w:r w:rsidR="000D571D">
        <w:t>Figure 3</w:t>
      </w:r>
      <w:r w:rsidR="00FD3DCC">
        <w:t xml:space="preserve"> </w:t>
      </w:r>
      <w:r w:rsidR="00477233">
        <w:t>illustrates the total number of clients assisted by problem gambling intervention services from 2006/07 through to 2012/13.  Client numbers peaked in 2009/10, with a total of 13,244 clients (10,498 new</w:t>
      </w:r>
      <w:r w:rsidR="00BA08AE">
        <w:t xml:space="preserve"> clients</w:t>
      </w:r>
      <w:r w:rsidR="00477233">
        <w:t xml:space="preserve"> and 2,746 existing</w:t>
      </w:r>
      <w:r w:rsidR="00BA08AE">
        <w:t xml:space="preserve"> clients</w:t>
      </w:r>
      <w:r w:rsidR="00BA08AE">
        <w:rPr>
          <w:rStyle w:val="FootnoteReference"/>
        </w:rPr>
        <w:footnoteReference w:id="2"/>
      </w:r>
      <w:r w:rsidR="00477233">
        <w:t xml:space="preserve">) being seen by problem gambling intervention services throughout New Zealand.  </w:t>
      </w:r>
      <w:r w:rsidR="00BA08AE">
        <w:t xml:space="preserve">This compares with </w:t>
      </w:r>
      <w:r w:rsidR="00C230A9">
        <w:t xml:space="preserve">a total of </w:t>
      </w:r>
      <w:r w:rsidR="00BA08AE">
        <w:t>12,439 clients in 2012/13 (9,264 new clients and 3,175 existing clients)</w:t>
      </w:r>
      <w:r w:rsidR="00C230A9">
        <w:t xml:space="preserve">. </w:t>
      </w:r>
      <w:r w:rsidR="00BA08AE">
        <w:t xml:space="preserve"> </w:t>
      </w:r>
    </w:p>
    <w:p w14:paraId="172C8F36" w14:textId="77777777" w:rsidR="006449B1" w:rsidRDefault="006C5DF7" w:rsidP="00477233">
      <w:pPr>
        <w:pStyle w:val="BodyText"/>
        <w:spacing w:line="480" w:lineRule="auto"/>
      </w:pPr>
      <w:r>
        <w:t xml:space="preserve">In 2012/13, </w:t>
      </w:r>
      <w:r w:rsidR="0061535D">
        <w:t xml:space="preserve">44.3% of all clients were family members/affected others and 55.7% were gamblers.  Slightly more females (53.3%) than males (46.7%) </w:t>
      </w:r>
      <w:r w:rsidR="0057231A">
        <w:t>accessed</w:t>
      </w:r>
      <w:r w:rsidR="0061535D">
        <w:t xml:space="preserve"> services and NZ European/Other made up 41.0% of clients, Māori 34.7%, Pacific 18.4% and Asian 5.9%. </w:t>
      </w:r>
    </w:p>
    <w:p w14:paraId="237EDAF1" w14:textId="77777777" w:rsidR="005A7421" w:rsidRPr="00A966F2" w:rsidRDefault="005A7421" w:rsidP="00A966F2">
      <w:pPr>
        <w:pStyle w:val="Caption"/>
        <w:keepNext/>
        <w:spacing w:after="0" w:line="276" w:lineRule="auto"/>
        <w:ind w:left="993" w:hanging="993"/>
        <w:rPr>
          <w:rFonts w:asciiTheme="minorHAnsi" w:hAnsiTheme="minorHAnsi" w:cstheme="minorHAnsi"/>
          <w:i/>
        </w:rPr>
      </w:pPr>
      <w:bookmarkStart w:id="20" w:name="_Ref400701632"/>
      <w:bookmarkStart w:id="21" w:name="_Toc425426976"/>
      <w:r w:rsidRPr="00FC7F9D">
        <w:rPr>
          <w:rFonts w:asciiTheme="minorHAnsi" w:hAnsiTheme="minorHAnsi" w:cstheme="minorHAnsi"/>
          <w:i/>
        </w:rPr>
        <w:lastRenderedPageBreak/>
        <w:t xml:space="preserve">Figure </w:t>
      </w:r>
      <w:r w:rsidRPr="00FC7F9D">
        <w:rPr>
          <w:rFonts w:asciiTheme="minorHAnsi" w:hAnsiTheme="minorHAnsi" w:cstheme="minorHAnsi"/>
          <w:i/>
        </w:rPr>
        <w:fldChar w:fldCharType="begin"/>
      </w:r>
      <w:r w:rsidRPr="00FC7F9D">
        <w:rPr>
          <w:rFonts w:asciiTheme="minorHAnsi" w:hAnsiTheme="minorHAnsi" w:cstheme="minorHAnsi"/>
          <w:i/>
        </w:rPr>
        <w:instrText xml:space="preserve"> SEQ Figure \* ARABIC </w:instrText>
      </w:r>
      <w:r w:rsidRPr="00FC7F9D">
        <w:rPr>
          <w:rFonts w:asciiTheme="minorHAnsi" w:hAnsiTheme="minorHAnsi" w:cstheme="minorHAnsi"/>
          <w:i/>
        </w:rPr>
        <w:fldChar w:fldCharType="separate"/>
      </w:r>
      <w:r w:rsidR="00D71107">
        <w:rPr>
          <w:rFonts w:asciiTheme="minorHAnsi" w:hAnsiTheme="minorHAnsi" w:cstheme="minorHAnsi"/>
          <w:i/>
          <w:noProof/>
        </w:rPr>
        <w:t>3</w:t>
      </w:r>
      <w:r w:rsidRPr="00FC7F9D">
        <w:rPr>
          <w:rFonts w:asciiTheme="minorHAnsi" w:hAnsiTheme="minorHAnsi" w:cstheme="minorHAnsi"/>
          <w:i/>
        </w:rPr>
        <w:fldChar w:fldCharType="end"/>
      </w:r>
      <w:bookmarkEnd w:id="20"/>
      <w:r>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Total clients a</w:t>
      </w:r>
      <w:r w:rsidRPr="005A7421">
        <w:rPr>
          <w:rFonts w:asciiTheme="minorHAnsi" w:hAnsiTheme="minorHAnsi" w:cstheme="minorHAnsi"/>
          <w:i/>
        </w:rPr>
        <w:t>ssisted</w:t>
      </w:r>
      <w:r>
        <w:rPr>
          <w:rFonts w:asciiTheme="minorHAnsi" w:hAnsiTheme="minorHAnsi" w:cstheme="minorHAnsi"/>
          <w:i/>
        </w:rPr>
        <w:t xml:space="preserve"> in New Zealand</w:t>
      </w:r>
      <w:r w:rsidR="004F5BEB">
        <w:rPr>
          <w:rFonts w:asciiTheme="minorHAnsi" w:hAnsiTheme="minorHAnsi" w:cstheme="minorHAnsi"/>
          <w:i/>
        </w:rPr>
        <w:t xml:space="preserve"> for problem gambling</w:t>
      </w:r>
      <w:r w:rsidRPr="005A7421">
        <w:rPr>
          <w:rFonts w:asciiTheme="minorHAnsi" w:hAnsiTheme="minorHAnsi" w:cstheme="minorHAnsi"/>
          <w:i/>
        </w:rPr>
        <w:t xml:space="preserve">, </w:t>
      </w:r>
      <w:r>
        <w:rPr>
          <w:rFonts w:asciiTheme="minorHAnsi" w:hAnsiTheme="minorHAnsi" w:cstheme="minorHAnsi"/>
          <w:i/>
        </w:rPr>
        <w:t>all client types (</w:t>
      </w:r>
      <w:r w:rsidRPr="005A7421">
        <w:rPr>
          <w:rFonts w:asciiTheme="minorHAnsi" w:hAnsiTheme="minorHAnsi" w:cstheme="minorHAnsi"/>
          <w:i/>
        </w:rPr>
        <w:t xml:space="preserve">2006/07 to 2012/13 </w:t>
      </w:r>
      <w:r>
        <w:rPr>
          <w:rFonts w:asciiTheme="minorHAnsi" w:hAnsiTheme="minorHAnsi" w:cstheme="minorHAnsi"/>
          <w:i/>
        </w:rPr>
        <w:t>f</w:t>
      </w:r>
      <w:r w:rsidRPr="005A7421">
        <w:rPr>
          <w:rFonts w:asciiTheme="minorHAnsi" w:hAnsiTheme="minorHAnsi" w:cstheme="minorHAnsi"/>
          <w:i/>
        </w:rPr>
        <w:t xml:space="preserve">inancial </w:t>
      </w:r>
      <w:r>
        <w:rPr>
          <w:rFonts w:asciiTheme="minorHAnsi" w:hAnsiTheme="minorHAnsi" w:cstheme="minorHAnsi"/>
          <w:i/>
        </w:rPr>
        <w:t>y</w:t>
      </w:r>
      <w:r w:rsidRPr="005A7421">
        <w:rPr>
          <w:rFonts w:asciiTheme="minorHAnsi" w:hAnsiTheme="minorHAnsi" w:cstheme="minorHAnsi"/>
          <w:i/>
        </w:rPr>
        <w:t>ears</w:t>
      </w:r>
      <w:r>
        <w:rPr>
          <w:rFonts w:asciiTheme="minorHAnsi" w:hAnsiTheme="minorHAnsi" w:cstheme="minorHAnsi"/>
          <w:i/>
        </w:rPr>
        <w:t>)</w:t>
      </w:r>
      <w:r w:rsidR="00A966F2">
        <w:rPr>
          <w:rFonts w:asciiTheme="minorHAnsi" w:hAnsiTheme="minorHAnsi" w:cstheme="minorHAnsi"/>
          <w:i/>
        </w:rPr>
        <w:t xml:space="preserve"> </w:t>
      </w:r>
      <w:r w:rsidRPr="00FC7F9D">
        <w:rPr>
          <w:rFonts w:asciiTheme="minorHAnsi" w:hAnsiTheme="minorHAnsi" w:cstheme="minorHAnsi"/>
          <w:i/>
          <w:vertAlign w:val="superscript"/>
        </w:rPr>
        <w:t>1</w:t>
      </w:r>
      <w:bookmarkEnd w:id="21"/>
    </w:p>
    <w:p w14:paraId="54A21E99" w14:textId="77777777" w:rsidR="00A30FF5" w:rsidRDefault="005A7421" w:rsidP="007671FC">
      <w:pPr>
        <w:pStyle w:val="BodyText"/>
        <w:spacing w:line="240" w:lineRule="auto"/>
        <w:jc w:val="center"/>
        <w:rPr>
          <w:highlight w:val="cyan"/>
        </w:rPr>
      </w:pPr>
      <w:r>
        <w:rPr>
          <w:noProof/>
          <w:lang w:val="en-NZ" w:eastAsia="en-NZ"/>
        </w:rPr>
        <w:drawing>
          <wp:inline distT="0" distB="0" distL="0" distR="0" wp14:anchorId="21BC3822" wp14:editId="4CC23D74">
            <wp:extent cx="5611585" cy="3238499"/>
            <wp:effectExtent l="0" t="0" r="27305" b="1968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7CC59F" w14:textId="77777777" w:rsidR="00A966F2" w:rsidRPr="00AF3A24" w:rsidRDefault="00A966F2" w:rsidP="007671FC">
      <w:pPr>
        <w:spacing w:before="0" w:line="240" w:lineRule="auto"/>
        <w:ind w:left="1134" w:hanging="283"/>
        <w:rPr>
          <w:rFonts w:asciiTheme="minorHAnsi" w:hAnsiTheme="minorHAnsi" w:cstheme="minorHAnsi"/>
          <w:sz w:val="16"/>
        </w:rPr>
      </w:pPr>
      <w:r w:rsidRPr="00AF3A24">
        <w:rPr>
          <w:rFonts w:asciiTheme="minorHAnsi" w:hAnsiTheme="minorHAnsi" w:cstheme="minorHAnsi"/>
          <w:sz w:val="16"/>
        </w:rPr>
        <w:t>Notes:</w:t>
      </w:r>
    </w:p>
    <w:p w14:paraId="4FB65022" w14:textId="1D7933E6" w:rsidR="005D63BA" w:rsidRPr="005D63BA" w:rsidRDefault="005D63BA" w:rsidP="004F129A">
      <w:pPr>
        <w:pStyle w:val="ListParagraph"/>
        <w:numPr>
          <w:ilvl w:val="0"/>
          <w:numId w:val="66"/>
        </w:numPr>
        <w:spacing w:line="240" w:lineRule="auto"/>
        <w:ind w:left="1134" w:hanging="283"/>
        <w:rPr>
          <w:rFonts w:asciiTheme="minorHAnsi" w:hAnsiTheme="minorHAnsi" w:cstheme="minorHAnsi"/>
          <w:sz w:val="16"/>
          <w:szCs w:val="16"/>
        </w:rPr>
      </w:pPr>
      <w:r w:rsidRPr="005D63BA">
        <w:rPr>
          <w:rFonts w:asciiTheme="minorHAnsi" w:hAnsiTheme="minorHAnsi" w:cstheme="minorHAnsi"/>
          <w:sz w:val="16"/>
          <w:szCs w:val="16"/>
        </w:rPr>
        <w:t xml:space="preserve">Source: Ministry of Health </w:t>
      </w:r>
      <w:r w:rsidRPr="005D63BA">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 ExcludeAuth="1"&gt;&lt;Author&gt;Ministry of Health&lt;/Author&gt;&lt;Year&gt;2014&lt;/Year&gt;&lt;RecNum&gt;939&lt;/RecNum&gt;&lt;DisplayText&gt;(2014)&lt;/DisplayText&gt;&lt;record&gt;&lt;rec-number&gt;939&lt;/rec-number&gt;&lt;foreign-keys&gt;&lt;key app="EN" db-id="9pzse05rcvx956etremxfzdh9fzdxvd95rp2"&gt;939&lt;/key&gt;&lt;/foreign-keys&gt;&lt;ref-type name="Web Page"&gt;12&lt;/ref-type&gt;&lt;contributors&gt;&lt;authors&gt;&lt;author&gt;Ministry of Health,&lt;/author&gt;&lt;/authors&gt;&lt;/contributors&gt;&lt;titles&gt;&lt;title&gt;Intervention client data&lt;/title&gt;&lt;/titles&gt;&lt;volume&gt;2014&lt;/volume&gt;&lt;number&gt;09/10/2014&lt;/number&gt;&lt;dates&gt;&lt;year&gt;2014&lt;/year&gt;&lt;/dates&gt;&lt;urls&gt;&lt;related-urls&gt;&lt;url&gt;http://www.health.govt.nz/our-work/mental-health-and-addictions/problem-gambling/service-user-data/intervention-client-data#total_assisted&lt;/url&gt;&lt;/related-urls&gt;&lt;/urls&gt;&lt;/record&gt;&lt;/Cite&gt;&lt;/EndNote&gt;</w:instrText>
      </w:r>
      <w:r w:rsidRPr="005D63BA">
        <w:rPr>
          <w:rFonts w:asciiTheme="minorHAnsi" w:hAnsiTheme="minorHAnsi" w:cstheme="minorHAnsi"/>
          <w:sz w:val="16"/>
          <w:szCs w:val="16"/>
        </w:rPr>
        <w:fldChar w:fldCharType="separate"/>
      </w:r>
      <w:r w:rsidRPr="005D63BA">
        <w:rPr>
          <w:rFonts w:asciiTheme="minorHAnsi" w:hAnsiTheme="minorHAnsi" w:cstheme="minorHAnsi"/>
          <w:noProof/>
          <w:sz w:val="16"/>
          <w:szCs w:val="16"/>
        </w:rPr>
        <w:t>(</w:t>
      </w:r>
      <w:hyperlink w:anchor="_ENREF_44" w:tooltip="Ministry of Health, 2014 #939" w:history="1">
        <w:r w:rsidR="00765F46" w:rsidRPr="005D63BA">
          <w:rPr>
            <w:rFonts w:asciiTheme="minorHAnsi" w:hAnsiTheme="minorHAnsi" w:cstheme="minorHAnsi"/>
            <w:noProof/>
            <w:sz w:val="16"/>
            <w:szCs w:val="16"/>
          </w:rPr>
          <w:t>2014</w:t>
        </w:r>
      </w:hyperlink>
      <w:r w:rsidRPr="005D63BA">
        <w:rPr>
          <w:rFonts w:asciiTheme="minorHAnsi" w:hAnsiTheme="minorHAnsi" w:cstheme="minorHAnsi"/>
          <w:noProof/>
          <w:sz w:val="16"/>
          <w:szCs w:val="16"/>
        </w:rPr>
        <w:t>)</w:t>
      </w:r>
      <w:r w:rsidRPr="005D63BA">
        <w:rPr>
          <w:rFonts w:asciiTheme="minorHAnsi" w:hAnsiTheme="minorHAnsi" w:cstheme="minorHAnsi"/>
          <w:sz w:val="16"/>
          <w:szCs w:val="16"/>
        </w:rPr>
        <w:fldChar w:fldCharType="end"/>
      </w:r>
      <w:r w:rsidRPr="005D63BA">
        <w:rPr>
          <w:rFonts w:asciiTheme="minorHAnsi" w:hAnsiTheme="minorHAnsi" w:cstheme="minorHAnsi"/>
          <w:sz w:val="16"/>
          <w:szCs w:val="16"/>
        </w:rPr>
        <w:t>.</w:t>
      </w:r>
    </w:p>
    <w:p w14:paraId="202D0D5B" w14:textId="77777777" w:rsidR="005D63BA" w:rsidRPr="005D63BA" w:rsidRDefault="0057231A" w:rsidP="004F129A">
      <w:pPr>
        <w:pStyle w:val="ListParagraph"/>
        <w:numPr>
          <w:ilvl w:val="1"/>
          <w:numId w:val="66"/>
        </w:numPr>
        <w:shd w:val="clear" w:color="auto" w:fill="FFFFFF"/>
        <w:spacing w:before="360" w:after="360" w:line="240" w:lineRule="auto"/>
        <w:jc w:val="left"/>
        <w:rPr>
          <w:rFonts w:asciiTheme="minorHAnsi" w:hAnsiTheme="minorHAnsi" w:cs="Arial"/>
          <w:color w:val="002639"/>
          <w:sz w:val="16"/>
          <w:szCs w:val="16"/>
          <w:lang w:eastAsia="en-NZ"/>
        </w:rPr>
      </w:pPr>
      <w:r>
        <w:rPr>
          <w:rFonts w:asciiTheme="minorHAnsi" w:hAnsiTheme="minorHAnsi" w:cstheme="minorHAnsi"/>
          <w:sz w:val="16"/>
          <w:szCs w:val="16"/>
        </w:rPr>
        <w:t>I</w:t>
      </w:r>
      <w:r w:rsidR="004F5BEB" w:rsidRPr="005D63BA">
        <w:rPr>
          <w:rFonts w:asciiTheme="minorHAnsi" w:hAnsiTheme="minorHAnsi" w:cstheme="minorHAnsi"/>
          <w:sz w:val="16"/>
          <w:szCs w:val="16"/>
        </w:rPr>
        <w:t>ntervention client data represents the number of clients who have received problem gambling treatment services and who have identified to the service provider a primary problem gambling mode causing them harm.</w:t>
      </w:r>
      <w:r w:rsidR="007D35E9" w:rsidRPr="005D63BA">
        <w:rPr>
          <w:rFonts w:asciiTheme="minorHAnsi" w:hAnsiTheme="minorHAnsi" w:cstheme="minorHAnsi"/>
          <w:sz w:val="16"/>
          <w:szCs w:val="16"/>
        </w:rPr>
        <w:t xml:space="preserve">  </w:t>
      </w:r>
    </w:p>
    <w:p w14:paraId="7B663033" w14:textId="77777777" w:rsidR="00962B0B" w:rsidRPr="00962B0B" w:rsidRDefault="005D63BA" w:rsidP="004F129A">
      <w:pPr>
        <w:pStyle w:val="ListParagraph"/>
        <w:numPr>
          <w:ilvl w:val="1"/>
          <w:numId w:val="66"/>
        </w:numPr>
        <w:shd w:val="clear" w:color="auto" w:fill="FFFFFF"/>
        <w:spacing w:before="360" w:after="360" w:line="240" w:lineRule="auto"/>
        <w:jc w:val="left"/>
        <w:rPr>
          <w:rFonts w:asciiTheme="minorHAnsi" w:hAnsiTheme="minorHAnsi" w:cstheme="minorHAnsi"/>
          <w:sz w:val="16"/>
          <w:szCs w:val="16"/>
        </w:rPr>
      </w:pPr>
      <w:r w:rsidRPr="005D63BA">
        <w:rPr>
          <w:rFonts w:asciiTheme="minorHAnsi" w:hAnsiTheme="minorHAnsi" w:cstheme="minorHAnsi"/>
          <w:sz w:val="16"/>
          <w:szCs w:val="16"/>
        </w:rPr>
        <w:t>D</w:t>
      </w:r>
      <w:r w:rsidR="00962B0B" w:rsidRPr="00962B0B">
        <w:rPr>
          <w:rFonts w:asciiTheme="minorHAnsi" w:hAnsiTheme="minorHAnsi" w:cstheme="minorHAnsi"/>
          <w:sz w:val="16"/>
          <w:szCs w:val="16"/>
        </w:rPr>
        <w:t>irect comparison</w:t>
      </w:r>
      <w:r w:rsidRPr="005D63BA">
        <w:rPr>
          <w:rFonts w:asciiTheme="minorHAnsi" w:hAnsiTheme="minorHAnsi" w:cstheme="minorHAnsi"/>
          <w:sz w:val="16"/>
          <w:szCs w:val="16"/>
        </w:rPr>
        <w:t>s</w:t>
      </w:r>
      <w:r w:rsidR="00962B0B" w:rsidRPr="00962B0B">
        <w:rPr>
          <w:rFonts w:asciiTheme="minorHAnsi" w:hAnsiTheme="minorHAnsi" w:cstheme="minorHAnsi"/>
          <w:sz w:val="16"/>
          <w:szCs w:val="16"/>
        </w:rPr>
        <w:t xml:space="preserve"> b</w:t>
      </w:r>
      <w:r w:rsidRPr="005D63BA">
        <w:rPr>
          <w:rFonts w:asciiTheme="minorHAnsi" w:hAnsiTheme="minorHAnsi" w:cstheme="minorHAnsi"/>
          <w:sz w:val="16"/>
          <w:szCs w:val="16"/>
        </w:rPr>
        <w:t xml:space="preserve">etween the July 2004–June 2008 and </w:t>
      </w:r>
      <w:r w:rsidR="00962B0B" w:rsidRPr="00962B0B">
        <w:rPr>
          <w:rFonts w:asciiTheme="minorHAnsi" w:hAnsiTheme="minorHAnsi" w:cstheme="minorHAnsi"/>
          <w:sz w:val="16"/>
          <w:szCs w:val="16"/>
        </w:rPr>
        <w:t xml:space="preserve">July 2008-present data </w:t>
      </w:r>
      <w:r w:rsidRPr="005D63BA">
        <w:rPr>
          <w:rFonts w:asciiTheme="minorHAnsi" w:hAnsiTheme="minorHAnsi" w:cstheme="minorHAnsi"/>
          <w:sz w:val="16"/>
          <w:szCs w:val="16"/>
        </w:rPr>
        <w:t xml:space="preserve">should consider the following </w:t>
      </w:r>
      <w:r w:rsidR="00962B0B" w:rsidRPr="00962B0B">
        <w:rPr>
          <w:rFonts w:asciiTheme="minorHAnsi" w:hAnsiTheme="minorHAnsi" w:cstheme="minorHAnsi"/>
          <w:sz w:val="16"/>
          <w:szCs w:val="16"/>
        </w:rPr>
        <w:t>limit</w:t>
      </w:r>
      <w:r w:rsidRPr="005D63BA">
        <w:rPr>
          <w:rFonts w:asciiTheme="minorHAnsi" w:hAnsiTheme="minorHAnsi" w:cstheme="minorHAnsi"/>
          <w:sz w:val="16"/>
          <w:szCs w:val="16"/>
        </w:rPr>
        <w:t>ations</w:t>
      </w:r>
      <w:r w:rsidR="00962B0B" w:rsidRPr="00962B0B">
        <w:rPr>
          <w:rFonts w:asciiTheme="minorHAnsi" w:hAnsiTheme="minorHAnsi" w:cstheme="minorHAnsi"/>
          <w:sz w:val="16"/>
          <w:szCs w:val="16"/>
        </w:rPr>
        <w:t>:</w:t>
      </w:r>
    </w:p>
    <w:p w14:paraId="1A54140F" w14:textId="77777777" w:rsidR="00962B0B" w:rsidRPr="00962B0B" w:rsidRDefault="004C5D94" w:rsidP="004F129A">
      <w:pPr>
        <w:pStyle w:val="ListParagraph"/>
        <w:numPr>
          <w:ilvl w:val="2"/>
          <w:numId w:val="66"/>
        </w:numPr>
        <w:shd w:val="clear" w:color="auto" w:fill="FFFFFF"/>
        <w:spacing w:before="360" w:after="360" w:line="240" w:lineRule="auto"/>
        <w:jc w:val="left"/>
        <w:rPr>
          <w:rFonts w:asciiTheme="minorHAnsi" w:hAnsiTheme="minorHAnsi" w:cstheme="minorHAnsi"/>
          <w:sz w:val="16"/>
          <w:szCs w:val="16"/>
        </w:rPr>
      </w:pPr>
      <w:r w:rsidRPr="00962B0B">
        <w:rPr>
          <w:rFonts w:asciiTheme="minorHAnsi" w:hAnsiTheme="minorHAnsi" w:cstheme="minorHAnsi"/>
          <w:sz w:val="16"/>
          <w:szCs w:val="16"/>
        </w:rPr>
        <w:t>New</w:t>
      </w:r>
      <w:r w:rsidR="00962B0B" w:rsidRPr="00962B0B">
        <w:rPr>
          <w:rFonts w:asciiTheme="minorHAnsi" w:hAnsiTheme="minorHAnsi" w:cstheme="minorHAnsi"/>
          <w:sz w:val="16"/>
          <w:szCs w:val="16"/>
        </w:rPr>
        <w:t xml:space="preserve"> service specifications for problem gambling intervention service providers were implemented from January 2008</w:t>
      </w:r>
      <w:r>
        <w:rPr>
          <w:rFonts w:asciiTheme="minorHAnsi" w:hAnsiTheme="minorHAnsi" w:cstheme="minorHAnsi"/>
          <w:sz w:val="16"/>
          <w:szCs w:val="16"/>
        </w:rPr>
        <w:t>.</w:t>
      </w:r>
    </w:p>
    <w:p w14:paraId="26923CEC" w14:textId="77777777" w:rsidR="002516BF" w:rsidRDefault="004C5D94" w:rsidP="004F129A">
      <w:pPr>
        <w:pStyle w:val="ListParagraph"/>
        <w:numPr>
          <w:ilvl w:val="2"/>
          <w:numId w:val="66"/>
        </w:numPr>
        <w:shd w:val="clear" w:color="auto" w:fill="FFFFFF"/>
        <w:spacing w:before="360" w:after="360" w:line="240" w:lineRule="auto"/>
        <w:jc w:val="left"/>
        <w:rPr>
          <w:rFonts w:asciiTheme="minorHAnsi" w:hAnsiTheme="minorHAnsi" w:cstheme="minorHAnsi"/>
          <w:sz w:val="16"/>
          <w:szCs w:val="16"/>
        </w:rPr>
      </w:pPr>
      <w:r w:rsidRPr="00962B0B">
        <w:rPr>
          <w:rFonts w:asciiTheme="minorHAnsi" w:hAnsiTheme="minorHAnsi" w:cstheme="minorHAnsi"/>
          <w:sz w:val="16"/>
          <w:szCs w:val="16"/>
        </w:rPr>
        <w:t>Equivalent</w:t>
      </w:r>
      <w:r w:rsidR="00962B0B" w:rsidRPr="00962B0B">
        <w:rPr>
          <w:rFonts w:asciiTheme="minorHAnsi" w:hAnsiTheme="minorHAnsi" w:cstheme="minorHAnsi"/>
          <w:sz w:val="16"/>
          <w:szCs w:val="16"/>
        </w:rPr>
        <w:t xml:space="preserve"> intervention services provided by the Gambling Helpline have been included in the data since November 2008.</w:t>
      </w:r>
    </w:p>
    <w:p w14:paraId="5337E96C" w14:textId="77777777" w:rsidR="00A30FF5" w:rsidRPr="002516BF" w:rsidRDefault="0057231A" w:rsidP="004F129A">
      <w:pPr>
        <w:pStyle w:val="ListParagraph"/>
        <w:numPr>
          <w:ilvl w:val="1"/>
          <w:numId w:val="66"/>
        </w:numPr>
        <w:shd w:val="clear" w:color="auto" w:fill="FFFFFF"/>
        <w:spacing w:before="360" w:after="360" w:line="240" w:lineRule="auto"/>
        <w:jc w:val="left"/>
        <w:rPr>
          <w:rFonts w:asciiTheme="minorHAnsi" w:hAnsiTheme="minorHAnsi" w:cstheme="minorHAnsi"/>
          <w:sz w:val="16"/>
          <w:szCs w:val="16"/>
        </w:rPr>
      </w:pPr>
      <w:r>
        <w:rPr>
          <w:rFonts w:asciiTheme="minorHAnsi" w:hAnsiTheme="minorHAnsi" w:cstheme="minorHAnsi"/>
          <w:sz w:val="16"/>
        </w:rPr>
        <w:t>‘</w:t>
      </w:r>
      <w:r w:rsidR="00FE6AA0" w:rsidRPr="002516BF">
        <w:rPr>
          <w:rFonts w:asciiTheme="minorHAnsi" w:hAnsiTheme="minorHAnsi" w:cstheme="minorHAnsi"/>
          <w:sz w:val="16"/>
        </w:rPr>
        <w:t xml:space="preserve">Existing </w:t>
      </w:r>
      <w:r w:rsidR="00C230A9" w:rsidRPr="002516BF">
        <w:rPr>
          <w:rFonts w:asciiTheme="minorHAnsi" w:hAnsiTheme="minorHAnsi" w:cstheme="minorHAnsi"/>
          <w:sz w:val="16"/>
        </w:rPr>
        <w:t>c</w:t>
      </w:r>
      <w:r w:rsidR="00FE6AA0" w:rsidRPr="002516BF">
        <w:rPr>
          <w:rFonts w:asciiTheme="minorHAnsi" w:hAnsiTheme="minorHAnsi" w:cstheme="minorHAnsi"/>
          <w:sz w:val="16"/>
        </w:rPr>
        <w:t>lients</w:t>
      </w:r>
      <w:r>
        <w:rPr>
          <w:rFonts w:asciiTheme="minorHAnsi" w:hAnsiTheme="minorHAnsi" w:cstheme="minorHAnsi"/>
          <w:sz w:val="16"/>
        </w:rPr>
        <w:t>’</w:t>
      </w:r>
      <w:r w:rsidR="00FE6AA0" w:rsidRPr="002516BF">
        <w:rPr>
          <w:rFonts w:asciiTheme="minorHAnsi" w:hAnsiTheme="minorHAnsi" w:cstheme="minorHAnsi"/>
          <w:sz w:val="16"/>
        </w:rPr>
        <w:t xml:space="preserve"> are c</w:t>
      </w:r>
      <w:r w:rsidR="005A7421" w:rsidRPr="002516BF">
        <w:rPr>
          <w:rFonts w:asciiTheme="minorHAnsi" w:hAnsiTheme="minorHAnsi" w:cstheme="minorHAnsi"/>
          <w:sz w:val="16"/>
        </w:rPr>
        <w:t>lients who have accessed a service in a previous year.</w:t>
      </w:r>
    </w:p>
    <w:p w14:paraId="2302BD36" w14:textId="77777777" w:rsidR="00AF2FB0" w:rsidRDefault="00AF2FB0" w:rsidP="00EF1808">
      <w:pPr>
        <w:pStyle w:val="BodyText"/>
        <w:spacing w:line="480" w:lineRule="auto"/>
      </w:pPr>
    </w:p>
    <w:p w14:paraId="3B218673" w14:textId="7B24A004" w:rsidR="00982D09" w:rsidRPr="005B484B" w:rsidRDefault="00BE629A" w:rsidP="00EF1808">
      <w:pPr>
        <w:pStyle w:val="BodyText"/>
        <w:spacing w:line="480" w:lineRule="auto"/>
      </w:pPr>
      <w:r>
        <w:t>Figure 4</w:t>
      </w:r>
      <w:r w:rsidR="005B484B">
        <w:t xml:space="preserve"> illustrates the primary gambling mode for clients attending problem gambling intervention services from 2004/05 to 2012/13. </w:t>
      </w:r>
      <w:r w:rsidR="00982D09">
        <w:t xml:space="preserve"> Throughout this period, the majority of clients cited non-casino </w:t>
      </w:r>
      <w:r w:rsidR="008A3B8C">
        <w:t>EGMs</w:t>
      </w:r>
      <w:r w:rsidR="00982D09">
        <w:t xml:space="preserve"> as the primary gambling mode.  This corresponds with </w:t>
      </w:r>
      <w:r w:rsidR="00F93D5C">
        <w:t xml:space="preserve">research </w:t>
      </w:r>
      <w:r w:rsidR="0071245D">
        <w:t xml:space="preserve">identifying </w:t>
      </w:r>
      <w:r w:rsidR="00F93D5C">
        <w:t>participation in continuous modes of gambling</w:t>
      </w:r>
      <w:r w:rsidR="0071245D">
        <w:t xml:space="preserve">, such as EGMs, </w:t>
      </w:r>
      <w:r w:rsidR="00F93D5C">
        <w:t xml:space="preserve">with an increased risk of problem gambling </w:t>
      </w:r>
      <w:r w:rsidR="0071245D">
        <w:fldChar w:fldCharType="begin">
          <w:fldData xml:space="preserve">PEVuZE5vdGU+PENpdGU+PEF1dGhvcj5BYmJvdHQ8L0F1dGhvcj48WWVhcj4yMDE0PC9ZZWFyPjxS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==
</w:fldData>
        </w:fldChar>
      </w:r>
      <w:r w:rsidR="00A34C5E">
        <w:instrText xml:space="preserve"> ADDIN EN.CITE </w:instrText>
      </w:r>
      <w:r w:rsidR="00A34C5E">
        <w:fldChar w:fldCharType="begin">
          <w:fldData xml:space="preserve">PEVuZE5vdGU+PENpdGU+PEF1dGhvcj5BYmJvdHQ8L0F1dGhvcj48WWVhcj4yMDE0PC9ZZWFyPjxS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==
</w:fldData>
        </w:fldChar>
      </w:r>
      <w:r w:rsidR="00A34C5E">
        <w:instrText xml:space="preserve"> ADDIN EN.CITE.DATA </w:instrText>
      </w:r>
      <w:r w:rsidR="00A34C5E">
        <w:fldChar w:fldCharType="end"/>
      </w:r>
      <w:r w:rsidR="0071245D">
        <w:fldChar w:fldCharType="separate"/>
      </w:r>
      <w:r w:rsidR="0071245D">
        <w:rPr>
          <w:noProof/>
        </w:rPr>
        <w:t>(</w:t>
      </w:r>
      <w:hyperlink w:anchor="_ENREF_1" w:tooltip="Abbott, 2014 #921" w:history="1">
        <w:r w:rsidR="00765F46">
          <w:rPr>
            <w:noProof/>
          </w:rPr>
          <w:t>Abbott et al., 2014a</w:t>
        </w:r>
      </w:hyperlink>
      <w:r w:rsidR="0071245D">
        <w:rPr>
          <w:noProof/>
        </w:rPr>
        <w:t xml:space="preserve">; </w:t>
      </w:r>
      <w:hyperlink w:anchor="_ENREF_8" w:tooltip="Abbott, 2000 #195" w:history="1">
        <w:r w:rsidR="00765F46">
          <w:rPr>
            <w:noProof/>
          </w:rPr>
          <w:t>Abbott &amp; Volberg, 2000b</w:t>
        </w:r>
      </w:hyperlink>
      <w:r w:rsidR="0071245D">
        <w:rPr>
          <w:noProof/>
        </w:rPr>
        <w:t xml:space="preserve">; </w:t>
      </w:r>
      <w:hyperlink w:anchor="_ENREF_9" w:tooltip="Adams, 2004 #93" w:history="1">
        <w:r w:rsidR="00765F46">
          <w:rPr>
            <w:noProof/>
          </w:rPr>
          <w:t>Adams et al., 2004</w:t>
        </w:r>
      </w:hyperlink>
      <w:r w:rsidR="0071245D">
        <w:rPr>
          <w:noProof/>
        </w:rPr>
        <w:t xml:space="preserve">; </w:t>
      </w:r>
      <w:hyperlink w:anchor="_ENREF_30" w:tooltip="Health Sponsorship Council, 2012 #129" w:history="1">
        <w:r w:rsidR="00765F46">
          <w:rPr>
            <w:noProof/>
          </w:rPr>
          <w:t>Health Sponsorship Council, 2012</w:t>
        </w:r>
      </w:hyperlink>
      <w:r w:rsidR="0071245D">
        <w:rPr>
          <w:noProof/>
        </w:rPr>
        <w:t xml:space="preserve">; </w:t>
      </w:r>
      <w:hyperlink w:anchor="_ENREF_45" w:tooltip="Orford, 2011 #126" w:history="1">
        <w:r w:rsidR="00765F46">
          <w:rPr>
            <w:noProof/>
          </w:rPr>
          <w:t>Orford, 2011</w:t>
        </w:r>
      </w:hyperlink>
      <w:r w:rsidR="0071245D">
        <w:rPr>
          <w:noProof/>
        </w:rPr>
        <w:t xml:space="preserve">; </w:t>
      </w:r>
      <w:hyperlink w:anchor="_ENREF_49" w:tooltip="Productivity Commission, 2010 #283" w:history="1">
        <w:r w:rsidR="00765F46">
          <w:rPr>
            <w:noProof/>
          </w:rPr>
          <w:t>Productivity Commission, 2010</w:t>
        </w:r>
      </w:hyperlink>
      <w:r w:rsidR="0071245D">
        <w:rPr>
          <w:noProof/>
        </w:rPr>
        <w:t xml:space="preserve">; </w:t>
      </w:r>
      <w:hyperlink w:anchor="_ENREF_52" w:tooltip="Rossen, 2013 #920" w:history="1">
        <w:r w:rsidR="00765F46">
          <w:rPr>
            <w:noProof/>
          </w:rPr>
          <w:t>Rossen et al., 2013</w:t>
        </w:r>
      </w:hyperlink>
      <w:r w:rsidR="0071245D">
        <w:rPr>
          <w:noProof/>
        </w:rPr>
        <w:t xml:space="preserve">; </w:t>
      </w:r>
      <w:hyperlink w:anchor="_ENREF_60" w:tooltip="Tu, 2013 #916" w:history="1">
        <w:r w:rsidR="00765F46">
          <w:rPr>
            <w:noProof/>
          </w:rPr>
          <w:t>Tu, 2013</w:t>
        </w:r>
      </w:hyperlink>
      <w:r w:rsidR="0071245D">
        <w:rPr>
          <w:noProof/>
        </w:rPr>
        <w:t>)</w:t>
      </w:r>
      <w:r w:rsidR="0071245D">
        <w:fldChar w:fldCharType="end"/>
      </w:r>
      <w:r w:rsidR="0071245D">
        <w:t>.</w:t>
      </w:r>
      <w:r w:rsidR="00EB5BCA">
        <w:t xml:space="preserve">  It is interesting to note </w:t>
      </w:r>
      <w:r w:rsidR="00A26EDD">
        <w:t xml:space="preserve">that </w:t>
      </w:r>
      <w:r w:rsidR="00EB5BCA">
        <w:t>the</w:t>
      </w:r>
      <w:r w:rsidR="00A26EDD">
        <w:t>re was a</w:t>
      </w:r>
      <w:r w:rsidR="00EB5BCA">
        <w:t xml:space="preserve"> rise in </w:t>
      </w:r>
      <w:r w:rsidR="00FD6ACF">
        <w:t xml:space="preserve">the </w:t>
      </w:r>
      <w:r w:rsidR="00A26EDD">
        <w:t>proportion</w:t>
      </w:r>
      <w:r w:rsidR="00FD6ACF">
        <w:t xml:space="preserve"> of clients</w:t>
      </w:r>
      <w:r w:rsidR="00A26EDD">
        <w:t xml:space="preserve"> that </w:t>
      </w:r>
      <w:r w:rsidR="00FD6ACF">
        <w:t>nominat</w:t>
      </w:r>
      <w:r w:rsidR="00A26EDD">
        <w:t>ed</w:t>
      </w:r>
      <w:r w:rsidR="00FD6ACF">
        <w:t xml:space="preserve"> NZ Lotteries Commission products from 200</w:t>
      </w:r>
      <w:r w:rsidR="00A26EDD">
        <w:t>6</w:t>
      </w:r>
      <w:r w:rsidR="00FD6ACF">
        <w:t>/0</w:t>
      </w:r>
      <w:r w:rsidR="00A26EDD">
        <w:t xml:space="preserve">7 to 2009/10, and that from 2009/10 onwards, this </w:t>
      </w:r>
      <w:r w:rsidR="00A26EDD">
        <w:lastRenderedPageBreak/>
        <w:t>proportion remained relatively stable</w:t>
      </w:r>
      <w:r w:rsidR="00FD6ACF">
        <w:t xml:space="preserve">. </w:t>
      </w:r>
      <w:r w:rsidR="003F2974">
        <w:t xml:space="preserve"> This trend corresponds with </w:t>
      </w:r>
      <w:r w:rsidR="00C1039E">
        <w:t xml:space="preserve">the </w:t>
      </w:r>
      <w:r w:rsidR="003F2974">
        <w:t>increase</w:t>
      </w:r>
      <w:r w:rsidR="00C1039E">
        <w:t>d</w:t>
      </w:r>
      <w:r w:rsidR="003F2974">
        <w:t xml:space="preserve"> expenditure </w:t>
      </w:r>
      <w:r w:rsidR="00C1039E">
        <w:t xml:space="preserve">for </w:t>
      </w:r>
      <w:r w:rsidR="003F2974">
        <w:t xml:space="preserve">NZ Lotteries Commission products that was </w:t>
      </w:r>
      <w:r w:rsidR="00C1039E">
        <w:t xml:space="preserve">reported </w:t>
      </w:r>
      <w:r w:rsidR="003F2974">
        <w:t>earlier (see</w:t>
      </w:r>
      <w:r>
        <w:t xml:space="preserve"> Figure 2</w:t>
      </w:r>
      <w:r w:rsidR="003F2974">
        <w:t xml:space="preserve">). </w:t>
      </w:r>
    </w:p>
    <w:p w14:paraId="102FCEB6" w14:textId="77777777" w:rsidR="00202CF0" w:rsidRDefault="00DD6B3F" w:rsidP="00DD6B3F">
      <w:pPr>
        <w:pStyle w:val="Caption"/>
        <w:keepNext/>
        <w:spacing w:after="0" w:line="276" w:lineRule="auto"/>
        <w:ind w:left="993" w:hanging="993"/>
        <w:rPr>
          <w:highlight w:val="cyan"/>
        </w:rPr>
      </w:pPr>
      <w:bookmarkStart w:id="22" w:name="_Ref400707060"/>
      <w:bookmarkStart w:id="23" w:name="_Toc425426977"/>
      <w:r w:rsidRPr="00FC7F9D">
        <w:rPr>
          <w:rFonts w:asciiTheme="minorHAnsi" w:hAnsiTheme="minorHAnsi" w:cstheme="minorHAnsi"/>
          <w:i/>
        </w:rPr>
        <w:t xml:space="preserve">Figure </w:t>
      </w:r>
      <w:r w:rsidRPr="00FC7F9D">
        <w:rPr>
          <w:rFonts w:asciiTheme="minorHAnsi" w:hAnsiTheme="minorHAnsi" w:cstheme="minorHAnsi"/>
          <w:i/>
        </w:rPr>
        <w:fldChar w:fldCharType="begin"/>
      </w:r>
      <w:r w:rsidRPr="00FC7F9D">
        <w:rPr>
          <w:rFonts w:asciiTheme="minorHAnsi" w:hAnsiTheme="minorHAnsi" w:cstheme="minorHAnsi"/>
          <w:i/>
        </w:rPr>
        <w:instrText xml:space="preserve"> SEQ Figure \* ARABIC </w:instrText>
      </w:r>
      <w:r w:rsidRPr="00FC7F9D">
        <w:rPr>
          <w:rFonts w:asciiTheme="minorHAnsi" w:hAnsiTheme="minorHAnsi" w:cstheme="minorHAnsi"/>
          <w:i/>
        </w:rPr>
        <w:fldChar w:fldCharType="separate"/>
      </w:r>
      <w:r w:rsidR="00D71107">
        <w:rPr>
          <w:rFonts w:asciiTheme="minorHAnsi" w:hAnsiTheme="minorHAnsi" w:cstheme="minorHAnsi"/>
          <w:i/>
          <w:noProof/>
        </w:rPr>
        <w:t>4</w:t>
      </w:r>
      <w:r w:rsidRPr="00FC7F9D">
        <w:rPr>
          <w:rFonts w:asciiTheme="minorHAnsi" w:hAnsiTheme="minorHAnsi" w:cstheme="minorHAnsi"/>
          <w:i/>
        </w:rPr>
        <w:fldChar w:fldCharType="end"/>
      </w:r>
      <w:bookmarkEnd w:id="22"/>
      <w:r>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Primary gambling mode for total clients a</w:t>
      </w:r>
      <w:r w:rsidRPr="005A7421">
        <w:rPr>
          <w:rFonts w:asciiTheme="minorHAnsi" w:hAnsiTheme="minorHAnsi" w:cstheme="minorHAnsi"/>
          <w:i/>
        </w:rPr>
        <w:t>ssisted</w:t>
      </w:r>
      <w:r>
        <w:rPr>
          <w:rFonts w:asciiTheme="minorHAnsi" w:hAnsiTheme="minorHAnsi" w:cstheme="minorHAnsi"/>
          <w:i/>
        </w:rPr>
        <w:t xml:space="preserve"> in New Zealand for problem gambling</w:t>
      </w:r>
      <w:r w:rsidRPr="005A7421">
        <w:rPr>
          <w:rFonts w:asciiTheme="minorHAnsi" w:hAnsiTheme="minorHAnsi" w:cstheme="minorHAnsi"/>
          <w:i/>
        </w:rPr>
        <w:t xml:space="preserve">, </w:t>
      </w:r>
      <w:r>
        <w:rPr>
          <w:rFonts w:asciiTheme="minorHAnsi" w:hAnsiTheme="minorHAnsi" w:cstheme="minorHAnsi"/>
          <w:i/>
        </w:rPr>
        <w:t>all client types (</w:t>
      </w:r>
      <w:r w:rsidRPr="005A7421">
        <w:rPr>
          <w:rFonts w:asciiTheme="minorHAnsi" w:hAnsiTheme="minorHAnsi" w:cstheme="minorHAnsi"/>
          <w:i/>
        </w:rPr>
        <w:t xml:space="preserve">2006/07 to 2012/13 </w:t>
      </w:r>
      <w:r>
        <w:rPr>
          <w:rFonts w:asciiTheme="minorHAnsi" w:hAnsiTheme="minorHAnsi" w:cstheme="minorHAnsi"/>
          <w:i/>
        </w:rPr>
        <w:t>f</w:t>
      </w:r>
      <w:r w:rsidRPr="005A7421">
        <w:rPr>
          <w:rFonts w:asciiTheme="minorHAnsi" w:hAnsiTheme="minorHAnsi" w:cstheme="minorHAnsi"/>
          <w:i/>
        </w:rPr>
        <w:t xml:space="preserve">inancial </w:t>
      </w:r>
      <w:r>
        <w:rPr>
          <w:rFonts w:asciiTheme="minorHAnsi" w:hAnsiTheme="minorHAnsi" w:cstheme="minorHAnsi"/>
          <w:i/>
        </w:rPr>
        <w:t>y</w:t>
      </w:r>
      <w:r w:rsidRPr="005A7421">
        <w:rPr>
          <w:rFonts w:asciiTheme="minorHAnsi" w:hAnsiTheme="minorHAnsi" w:cstheme="minorHAnsi"/>
          <w:i/>
        </w:rPr>
        <w:t>ears</w:t>
      </w:r>
      <w:r>
        <w:rPr>
          <w:rFonts w:asciiTheme="minorHAnsi" w:hAnsiTheme="minorHAnsi" w:cstheme="minorHAnsi"/>
          <w:i/>
        </w:rPr>
        <w:t xml:space="preserve">) </w:t>
      </w:r>
      <w:r w:rsidRPr="00FC7F9D">
        <w:rPr>
          <w:rFonts w:asciiTheme="minorHAnsi" w:hAnsiTheme="minorHAnsi" w:cstheme="minorHAnsi"/>
          <w:i/>
          <w:vertAlign w:val="superscript"/>
        </w:rPr>
        <w:t>1</w:t>
      </w:r>
      <w:bookmarkEnd w:id="23"/>
    </w:p>
    <w:p w14:paraId="1519C2EF" w14:textId="77777777" w:rsidR="000B44D1" w:rsidRDefault="000B44D1" w:rsidP="00336851">
      <w:pPr>
        <w:spacing w:before="0" w:line="240" w:lineRule="auto"/>
        <w:ind w:left="1134" w:hanging="283"/>
        <w:rPr>
          <w:rFonts w:asciiTheme="minorHAnsi" w:hAnsiTheme="minorHAnsi" w:cstheme="minorHAnsi"/>
          <w:sz w:val="16"/>
        </w:rPr>
      </w:pPr>
      <w:r>
        <w:rPr>
          <w:noProof/>
          <w:lang w:eastAsia="en-NZ"/>
        </w:rPr>
        <w:drawing>
          <wp:inline distT="0" distB="0" distL="0" distR="0" wp14:anchorId="52BC6175" wp14:editId="1FF3A8F0">
            <wp:extent cx="5611585" cy="3507440"/>
            <wp:effectExtent l="0" t="0" r="27305" b="1714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85801C0" w14:textId="77777777" w:rsidR="00336851" w:rsidRPr="00AF3A24" w:rsidRDefault="00336851" w:rsidP="00336851">
      <w:pPr>
        <w:spacing w:before="0" w:line="240" w:lineRule="auto"/>
        <w:ind w:left="1134" w:hanging="283"/>
        <w:rPr>
          <w:rFonts w:asciiTheme="minorHAnsi" w:hAnsiTheme="minorHAnsi" w:cstheme="minorHAnsi"/>
          <w:sz w:val="16"/>
        </w:rPr>
      </w:pPr>
      <w:r w:rsidRPr="00AF3A24">
        <w:rPr>
          <w:rFonts w:asciiTheme="minorHAnsi" w:hAnsiTheme="minorHAnsi" w:cstheme="minorHAnsi"/>
          <w:sz w:val="16"/>
        </w:rPr>
        <w:t>Notes:</w:t>
      </w:r>
    </w:p>
    <w:p w14:paraId="0347DBB3" w14:textId="05EA318B" w:rsidR="00336851" w:rsidRPr="005D63BA" w:rsidRDefault="00336851" w:rsidP="004F129A">
      <w:pPr>
        <w:pStyle w:val="ListParagraph"/>
        <w:numPr>
          <w:ilvl w:val="0"/>
          <w:numId w:val="67"/>
        </w:numPr>
        <w:spacing w:line="240" w:lineRule="auto"/>
        <w:ind w:left="1134" w:hanging="283"/>
        <w:rPr>
          <w:rFonts w:asciiTheme="minorHAnsi" w:hAnsiTheme="minorHAnsi" w:cstheme="minorHAnsi"/>
          <w:sz w:val="16"/>
          <w:szCs w:val="16"/>
        </w:rPr>
      </w:pPr>
      <w:r w:rsidRPr="005D63BA">
        <w:rPr>
          <w:rFonts w:asciiTheme="minorHAnsi" w:hAnsiTheme="minorHAnsi" w:cstheme="minorHAnsi"/>
          <w:sz w:val="16"/>
          <w:szCs w:val="16"/>
        </w:rPr>
        <w:t xml:space="preserve">Source: Ministry of Health </w:t>
      </w:r>
      <w:r w:rsidRPr="005D63BA">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 ExcludeAuth="1"&gt;&lt;Author&gt;Ministry of Health&lt;/Author&gt;&lt;Year&gt;2014&lt;/Year&gt;&lt;RecNum&gt;939&lt;/RecNum&gt;&lt;DisplayText&gt;(2014)&lt;/DisplayText&gt;&lt;record&gt;&lt;rec-number&gt;939&lt;/rec-number&gt;&lt;foreign-keys&gt;&lt;key app="EN" db-id="9pzse05rcvx956etremxfzdh9fzdxvd95rp2"&gt;939&lt;/key&gt;&lt;/foreign-keys&gt;&lt;ref-type name="Web Page"&gt;12&lt;/ref-type&gt;&lt;contributors&gt;&lt;authors&gt;&lt;author&gt;Ministry of Health,&lt;/author&gt;&lt;/authors&gt;&lt;/contributors&gt;&lt;titles&gt;&lt;title&gt;Intervention client data&lt;/title&gt;&lt;/titles&gt;&lt;volume&gt;2014&lt;/volume&gt;&lt;number&gt;09/10/2014&lt;/number&gt;&lt;dates&gt;&lt;year&gt;2014&lt;/year&gt;&lt;/dates&gt;&lt;urls&gt;&lt;related-urls&gt;&lt;url&gt;http://www.health.govt.nz/our-work/mental-health-and-addictions/problem-gambling/service-user-data/intervention-client-data#total_assisted&lt;/url&gt;&lt;/related-urls&gt;&lt;/urls&gt;&lt;/record&gt;&lt;/Cite&gt;&lt;/EndNote&gt;</w:instrText>
      </w:r>
      <w:r w:rsidRPr="005D63BA">
        <w:rPr>
          <w:rFonts w:asciiTheme="minorHAnsi" w:hAnsiTheme="minorHAnsi" w:cstheme="minorHAnsi"/>
          <w:sz w:val="16"/>
          <w:szCs w:val="16"/>
        </w:rPr>
        <w:fldChar w:fldCharType="separate"/>
      </w:r>
      <w:r w:rsidRPr="005D63BA">
        <w:rPr>
          <w:rFonts w:asciiTheme="minorHAnsi" w:hAnsiTheme="minorHAnsi" w:cstheme="minorHAnsi"/>
          <w:noProof/>
          <w:sz w:val="16"/>
          <w:szCs w:val="16"/>
        </w:rPr>
        <w:t>(</w:t>
      </w:r>
      <w:hyperlink w:anchor="_ENREF_44" w:tooltip="Ministry of Health, 2014 #939" w:history="1">
        <w:r w:rsidR="00765F46" w:rsidRPr="005D63BA">
          <w:rPr>
            <w:rFonts w:asciiTheme="minorHAnsi" w:hAnsiTheme="minorHAnsi" w:cstheme="minorHAnsi"/>
            <w:noProof/>
            <w:sz w:val="16"/>
            <w:szCs w:val="16"/>
          </w:rPr>
          <w:t>2014</w:t>
        </w:r>
      </w:hyperlink>
      <w:r w:rsidRPr="005D63BA">
        <w:rPr>
          <w:rFonts w:asciiTheme="minorHAnsi" w:hAnsiTheme="minorHAnsi" w:cstheme="minorHAnsi"/>
          <w:noProof/>
          <w:sz w:val="16"/>
          <w:szCs w:val="16"/>
        </w:rPr>
        <w:t>)</w:t>
      </w:r>
      <w:r w:rsidRPr="005D63BA">
        <w:rPr>
          <w:rFonts w:asciiTheme="minorHAnsi" w:hAnsiTheme="minorHAnsi" w:cstheme="minorHAnsi"/>
          <w:sz w:val="16"/>
          <w:szCs w:val="16"/>
        </w:rPr>
        <w:fldChar w:fldCharType="end"/>
      </w:r>
      <w:r w:rsidRPr="005D63BA">
        <w:rPr>
          <w:rFonts w:asciiTheme="minorHAnsi" w:hAnsiTheme="minorHAnsi" w:cstheme="minorHAnsi"/>
          <w:sz w:val="16"/>
          <w:szCs w:val="16"/>
        </w:rPr>
        <w:t>.</w:t>
      </w:r>
    </w:p>
    <w:p w14:paraId="76C4174C" w14:textId="77777777" w:rsidR="008D1103" w:rsidRPr="008D1103" w:rsidRDefault="008D1103" w:rsidP="004F129A">
      <w:pPr>
        <w:pStyle w:val="ListParagraph"/>
        <w:numPr>
          <w:ilvl w:val="1"/>
          <w:numId w:val="67"/>
        </w:numPr>
        <w:shd w:val="clear" w:color="auto" w:fill="FFFFFF"/>
        <w:spacing w:before="360" w:after="360" w:line="240" w:lineRule="auto"/>
        <w:jc w:val="left"/>
        <w:rPr>
          <w:rFonts w:asciiTheme="minorHAnsi" w:hAnsiTheme="minorHAnsi" w:cs="Arial"/>
          <w:color w:val="002639"/>
          <w:sz w:val="16"/>
          <w:szCs w:val="16"/>
          <w:lang w:eastAsia="en-NZ"/>
        </w:rPr>
      </w:pPr>
      <w:r w:rsidRPr="005D63BA">
        <w:rPr>
          <w:rFonts w:asciiTheme="minorHAnsi" w:hAnsiTheme="minorHAnsi" w:cstheme="minorHAnsi"/>
          <w:sz w:val="16"/>
          <w:szCs w:val="16"/>
        </w:rPr>
        <w:t xml:space="preserve">The intervention client data represents the number of clients who have received problem gambling treatment services and who have identified to the service provider a primary problem gambling mode causing them harm.  </w:t>
      </w:r>
    </w:p>
    <w:p w14:paraId="5BBEC46F" w14:textId="77777777" w:rsidR="002E582E" w:rsidRPr="00053325" w:rsidRDefault="008D1103" w:rsidP="004F129A">
      <w:pPr>
        <w:pStyle w:val="ListParagraph"/>
        <w:numPr>
          <w:ilvl w:val="1"/>
          <w:numId w:val="67"/>
        </w:numPr>
        <w:shd w:val="clear" w:color="auto" w:fill="FFFFFF"/>
        <w:spacing w:before="360" w:after="360" w:line="240" w:lineRule="auto"/>
        <w:jc w:val="left"/>
        <w:rPr>
          <w:rFonts w:asciiTheme="minorHAnsi" w:hAnsiTheme="minorHAnsi" w:cs="Arial"/>
          <w:color w:val="002639"/>
          <w:sz w:val="16"/>
          <w:szCs w:val="16"/>
          <w:lang w:eastAsia="en-NZ"/>
        </w:rPr>
      </w:pPr>
      <w:r>
        <w:rPr>
          <w:rFonts w:asciiTheme="minorHAnsi" w:hAnsiTheme="minorHAnsi" w:cstheme="minorHAnsi"/>
          <w:sz w:val="16"/>
          <w:szCs w:val="16"/>
        </w:rPr>
        <w:t xml:space="preserve">Gambling modes with lower frequencies (‘Cards’, ‘Housie’ and ‘Other’) have not been included in this figure. </w:t>
      </w:r>
    </w:p>
    <w:p w14:paraId="4082B09D" w14:textId="77777777" w:rsidR="00AF2FB0" w:rsidRDefault="00AF2FB0" w:rsidP="00053325">
      <w:pPr>
        <w:pStyle w:val="BodyText"/>
        <w:spacing w:line="480" w:lineRule="auto"/>
      </w:pPr>
    </w:p>
    <w:p w14:paraId="70BE4C27" w14:textId="77777777" w:rsidR="00053325" w:rsidRPr="00053325" w:rsidRDefault="00053325" w:rsidP="00053325">
      <w:pPr>
        <w:pStyle w:val="BodyText"/>
        <w:spacing w:line="480" w:lineRule="auto"/>
      </w:pPr>
      <w:r w:rsidRPr="00053325">
        <w:t xml:space="preserve">The </w:t>
      </w:r>
      <w:r w:rsidR="00E625DB">
        <w:t xml:space="preserve">following </w:t>
      </w:r>
      <w:r w:rsidRPr="00053325">
        <w:t>chapter provide</w:t>
      </w:r>
      <w:r>
        <w:t xml:space="preserve">s background information on the NZHS and an overview of the analysis undertaken to enable the reporting of gambling and problem gambling data from the 2011/12 NZHS. </w:t>
      </w:r>
    </w:p>
    <w:p w14:paraId="4F7C5B32" w14:textId="77777777" w:rsidR="002E03BE" w:rsidRPr="008405EE" w:rsidRDefault="002E03BE" w:rsidP="002E03BE">
      <w:pPr>
        <w:pStyle w:val="Heading1"/>
        <w:rPr>
          <w:rFonts w:asciiTheme="minorHAnsi" w:hAnsiTheme="minorHAnsi" w:cstheme="minorHAnsi"/>
        </w:rPr>
      </w:pPr>
      <w:bookmarkStart w:id="24" w:name="_Toc403833145"/>
      <w:r w:rsidRPr="008405EE">
        <w:rPr>
          <w:rFonts w:asciiTheme="minorHAnsi" w:hAnsiTheme="minorHAnsi" w:cstheme="minorHAnsi"/>
        </w:rPr>
        <w:lastRenderedPageBreak/>
        <w:t>DATA SOURCES AND METHODS</w:t>
      </w:r>
      <w:bookmarkEnd w:id="24"/>
    </w:p>
    <w:p w14:paraId="70C35DB6" w14:textId="4CA6E20E" w:rsidR="000D324C" w:rsidRDefault="000D324C" w:rsidP="000D324C">
      <w:pPr>
        <w:pStyle w:val="BodyText"/>
        <w:spacing w:line="480" w:lineRule="auto"/>
      </w:pPr>
      <w:r w:rsidRPr="00C51018">
        <w:t>T</w:t>
      </w:r>
      <w:r w:rsidR="00C51018">
        <w:t>he following section provides a brief</w:t>
      </w:r>
      <w:r w:rsidRPr="00C51018">
        <w:t xml:space="preserve"> overview of the NZH</w:t>
      </w:r>
      <w:r w:rsidR="00D953AA">
        <w:t xml:space="preserve">S, including sampling and data collection, and guides to assist with interpretation of the results and various definitions that have been used throughout the report. </w:t>
      </w:r>
      <w:r w:rsidR="00030B1F">
        <w:t>In-depth reports on</w:t>
      </w:r>
      <w:r w:rsidR="00D953AA">
        <w:t xml:space="preserve"> the </w:t>
      </w:r>
      <w:r w:rsidR="00053325">
        <w:t xml:space="preserve">2011/12 NZHS </w:t>
      </w:r>
      <w:r w:rsidR="00C51018">
        <w:t>design and methodology</w:t>
      </w:r>
      <w:r w:rsidR="00ED47FE">
        <w:t xml:space="preserve"> </w:t>
      </w:r>
      <w:r w:rsidR="00D953AA">
        <w:t>are</w:t>
      </w:r>
      <w:r w:rsidRPr="00C51018">
        <w:t xml:space="preserve"> available online </w:t>
      </w:r>
      <w:r w:rsidRPr="00C51018">
        <w:fldChar w:fldCharType="begin"/>
      </w:r>
      <w:r w:rsidR="00A34C5E">
        <w:instrText xml:space="preserve"> ADDIN EN.CITE &lt;EndNote&gt;&lt;Cite&gt;&lt;Author&gt;Ministry of Health&lt;/Author&gt;&lt;Year&gt;2011&lt;/Year&gt;&lt;RecNum&gt;928&lt;/RecNum&gt;&lt;Prefix&gt;see &lt;/Prefix&gt;&lt;DisplayText&gt;(see Ministry of Health, 2011, 2012b, 2013)&lt;/DisplayText&gt;&lt;record&gt;&lt;rec-number&gt;928&lt;/rec-number&gt;&lt;foreign-keys&gt;&lt;key app="EN" db-id="9pzse05rcvx956etremxfzdh9fzdxvd95rp2"&gt;928&lt;/key&gt;&lt;/foreign-keys&gt;&lt;ref-type name="Report"&gt;27&lt;/ref-type&gt;&lt;contributors&gt;&lt;authors&gt;&lt;author&gt;Ministry of Health,&lt;/author&gt;&lt;/authors&gt;&lt;/contributors&gt;&lt;titles&gt;&lt;title&gt;The New Zealand Health Survey: Sample design, years 1-3 (2011-2013)&lt;/title&gt;&lt;/titles&gt;&lt;dates&gt;&lt;year&gt;2011&lt;/year&gt;&lt;/dates&gt;&lt;pub-location&gt;Wellington&lt;/pub-location&gt;&lt;publisher&gt;Ministry of Health&lt;/publisher&gt;&lt;urls&gt;&lt;/urls&gt;&lt;/record&gt;&lt;/Cite&gt;&lt;Cite&gt;&lt;Author&gt;Ministry of Health&lt;/Author&gt;&lt;Year&gt;2012&lt;/Year&gt;&lt;RecNum&gt;929&lt;/RecNum&gt;&lt;record&gt;&lt;rec-number&gt;929&lt;/rec-number&gt;&lt;foreign-keys&gt;&lt;key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Health&lt;/publisher&gt;&lt;urls&gt;&lt;/urls&gt;&lt;/record&gt;&lt;/Cite&gt;&lt;Cite&gt;&lt;Author&gt;Ministry of Health&lt;/Author&gt;&lt;Year&gt;2013&lt;/Year&gt;&lt;RecNum&gt;944&lt;/RecNum&gt;&lt;record&gt;&lt;rec-number&gt;944&lt;/rec-number&gt;&lt;foreign-keys&gt;&lt;key app="EN" db-id="9pzse05rcvx956etremxfzdh9fzdxvd95rp2"&gt;944&lt;/key&gt;&lt;/foreign-keys&gt;&lt;ref-type name="Report"&gt;27&lt;/ref-type&gt;&lt;contributors&gt;&lt;authors&gt;&lt;author&gt;Ministry of Health,&lt;/author&gt;&lt;/authors&gt;&lt;/contributors&gt;&lt;titles&gt;&lt;title&gt;New Zealand Health Survey: Content Guide 2012-2013&lt;/title&gt;&lt;/titles&gt;&lt;dates&gt;&lt;year&gt;2013&lt;/year&gt;&lt;/dates&gt;&lt;pub-location&gt;Wellington&lt;/pub-location&gt;&lt;publisher&gt;Ministry of Health&lt;/publisher&gt;&lt;urls&gt;&lt;/urls&gt;&lt;/record&gt;&lt;/Cite&gt;&lt;/EndNote&gt;</w:instrText>
      </w:r>
      <w:r w:rsidRPr="00C51018">
        <w:fldChar w:fldCharType="separate"/>
      </w:r>
      <w:r w:rsidRPr="00C51018">
        <w:rPr>
          <w:noProof/>
        </w:rPr>
        <w:t xml:space="preserve">(see </w:t>
      </w:r>
      <w:hyperlink w:anchor="_ENREF_39" w:tooltip="Ministry of Health, 2011 #928" w:history="1">
        <w:r w:rsidR="00765F46" w:rsidRPr="00C51018">
          <w:rPr>
            <w:noProof/>
          </w:rPr>
          <w:t>Ministry of Health, 2011</w:t>
        </w:r>
      </w:hyperlink>
      <w:r w:rsidRPr="00C51018">
        <w:rPr>
          <w:noProof/>
        </w:rPr>
        <w:t xml:space="preserve">, </w:t>
      </w:r>
      <w:hyperlink w:anchor="_ENREF_41" w:tooltip="Ministry of Health, 2012 #929" w:history="1">
        <w:r w:rsidR="00765F46" w:rsidRPr="00C51018">
          <w:rPr>
            <w:noProof/>
          </w:rPr>
          <w:t>2012b</w:t>
        </w:r>
      </w:hyperlink>
      <w:r w:rsidRPr="00C51018">
        <w:rPr>
          <w:noProof/>
        </w:rPr>
        <w:t xml:space="preserve">, </w:t>
      </w:r>
      <w:hyperlink w:anchor="_ENREF_43" w:tooltip="Ministry of Health, 2013 #944" w:history="1">
        <w:r w:rsidR="00765F46" w:rsidRPr="00C51018">
          <w:rPr>
            <w:noProof/>
          </w:rPr>
          <w:t>2013</w:t>
        </w:r>
      </w:hyperlink>
      <w:r w:rsidRPr="00C51018">
        <w:rPr>
          <w:noProof/>
        </w:rPr>
        <w:t>)</w:t>
      </w:r>
      <w:r w:rsidRPr="00C51018">
        <w:fldChar w:fldCharType="end"/>
      </w:r>
      <w:r w:rsidR="00053325">
        <w:t xml:space="preserve">. </w:t>
      </w:r>
    </w:p>
    <w:p w14:paraId="16EFDF5F" w14:textId="77777777" w:rsidR="00995EA9" w:rsidRDefault="00995EA9" w:rsidP="004F129A">
      <w:pPr>
        <w:pStyle w:val="Heading2"/>
        <w:numPr>
          <w:ilvl w:val="1"/>
          <w:numId w:val="71"/>
        </w:numPr>
      </w:pPr>
      <w:bookmarkStart w:id="25" w:name="_Toc403833146"/>
      <w:r>
        <w:t>2011/12 New Zealand Health Survey</w:t>
      </w:r>
      <w:bookmarkEnd w:id="25"/>
      <w:r w:rsidRPr="002E582E">
        <w:t xml:space="preserve">  </w:t>
      </w:r>
    </w:p>
    <w:p w14:paraId="0B58ED39" w14:textId="5D87E69D" w:rsidR="00D959FB" w:rsidRDefault="0055196F" w:rsidP="001150FE">
      <w:pPr>
        <w:pStyle w:val="BodyText"/>
        <w:spacing w:line="480" w:lineRule="auto"/>
      </w:pPr>
      <w:r>
        <w:t>T</w:t>
      </w:r>
      <w:r w:rsidR="00995EA9">
        <w:t xml:space="preserve">he </w:t>
      </w:r>
      <w:r w:rsidR="00D71BE8">
        <w:t xml:space="preserve">NZHS </w:t>
      </w:r>
      <w:r w:rsidR="00995EA9">
        <w:t>i</w:t>
      </w:r>
      <w:r>
        <w:t xml:space="preserve">s a national health survey that is conducted </w:t>
      </w:r>
      <w:r w:rsidR="009F4C0C">
        <w:t xml:space="preserve">regularly </w:t>
      </w:r>
      <w:r>
        <w:t xml:space="preserve">by the Ministry of Health to gather information on a wide range of topics that relate to the health and wellbeing of </w:t>
      </w:r>
      <w:r w:rsidR="009F4C0C">
        <w:t>New Zealand’s</w:t>
      </w:r>
      <w:r>
        <w:t xml:space="preserve"> population. </w:t>
      </w:r>
      <w:r w:rsidRPr="0055196F">
        <w:t xml:space="preserve"> </w:t>
      </w:r>
      <w:r>
        <w:t>It is a valuable source of information about health behaviours, lifestyles, health status, and access to healthcare</w:t>
      </w:r>
      <w:r w:rsidR="00693890">
        <w:t>.  T</w:t>
      </w:r>
      <w:r w:rsidR="00DD130B">
        <w:t>he information gained</w:t>
      </w:r>
      <w:r w:rsidR="00693890">
        <w:t xml:space="preserve"> via the Survey </w:t>
      </w:r>
      <w:r w:rsidR="00DD130B">
        <w:t xml:space="preserve">is used to </w:t>
      </w:r>
      <w:r w:rsidR="00693890">
        <w:t xml:space="preserve">monitor population health and </w:t>
      </w:r>
      <w:r w:rsidR="00DD130B">
        <w:t>provide supporting evidence for health policy and strategy development</w:t>
      </w:r>
      <w:r w:rsidR="00D71BE8">
        <w:t xml:space="preserve"> </w:t>
      </w:r>
      <w:r w:rsidR="00D71BE8">
        <w:fldChar w:fldCharType="begin"/>
      </w:r>
      <w:r w:rsidR="00A34C5E">
        <w:instrText xml:space="preserve"> ADDIN EN.CITE &lt;EndNote&gt;&lt;Cite&gt;&lt;Author&gt;Ministry of Health&lt;/Author&gt;&lt;Year&gt;2011&lt;/Year&gt;&lt;RecNum&gt;928&lt;/RecNum&gt;&lt;DisplayText&gt;(Ministry of Health, 2011)&lt;/DisplayText&gt;&lt;record&gt;&lt;rec-number&gt;928&lt;/rec-number&gt;&lt;foreign-keys&gt;&lt;key app="EN" db-id="9pzse05rcvx956etremxfzdh9fzdxvd95rp2"&gt;928&lt;/key&gt;&lt;/foreign-keys&gt;&lt;ref-type name="Report"&gt;27&lt;/ref-type&gt;&lt;contributors&gt;&lt;authors&gt;&lt;author&gt;Ministry of Health,&lt;/author&gt;&lt;/authors&gt;&lt;/contributors&gt;&lt;titles&gt;&lt;title&gt;The New Zealand Health Survey: Sample design, years 1-3 (2011-2013)&lt;/title&gt;&lt;/titles&gt;&lt;dates&gt;&lt;year&gt;2011&lt;/year&gt;&lt;/dates&gt;&lt;pub-location&gt;Wellington&lt;/pub-location&gt;&lt;publisher&gt;Ministry of Health&lt;/publisher&gt;&lt;urls&gt;&lt;/urls&gt;&lt;/record&gt;&lt;/Cite&gt;&lt;/EndNote&gt;</w:instrText>
      </w:r>
      <w:r w:rsidR="00D71BE8">
        <w:fldChar w:fldCharType="separate"/>
      </w:r>
      <w:r w:rsidR="00D71BE8">
        <w:rPr>
          <w:noProof/>
        </w:rPr>
        <w:t>(</w:t>
      </w:r>
      <w:hyperlink w:anchor="_ENREF_39" w:tooltip="Ministry of Health, 2011 #928" w:history="1">
        <w:r w:rsidR="00765F46">
          <w:rPr>
            <w:noProof/>
          </w:rPr>
          <w:t>Ministry of Health, 2011</w:t>
        </w:r>
      </w:hyperlink>
      <w:r w:rsidR="00D71BE8">
        <w:rPr>
          <w:noProof/>
        </w:rPr>
        <w:t>)</w:t>
      </w:r>
      <w:r w:rsidR="00D71BE8">
        <w:fldChar w:fldCharType="end"/>
      </w:r>
      <w:r>
        <w:t xml:space="preserve">. </w:t>
      </w:r>
      <w:r w:rsidR="001150FE">
        <w:t xml:space="preserve"> </w:t>
      </w:r>
      <w:r w:rsidR="00CD6F2D">
        <w:t xml:space="preserve">In 2011/12, </w:t>
      </w:r>
      <w:r w:rsidR="0089285F">
        <w:t>t</w:t>
      </w:r>
      <w:r w:rsidR="00D71BE8">
        <w:t>he</w:t>
      </w:r>
      <w:r w:rsidR="00C37085">
        <w:t xml:space="preserve"> NZHS collected data on the following</w:t>
      </w:r>
      <w:r w:rsidR="00D71BE8">
        <w:t xml:space="preserve"> nine information domains: </w:t>
      </w:r>
    </w:p>
    <w:p w14:paraId="6D914F8A"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1.</w:t>
      </w:r>
      <w:r w:rsidRPr="00D71BE8">
        <w:rPr>
          <w:rFonts w:asciiTheme="minorHAnsi" w:hAnsiTheme="minorHAnsi"/>
        </w:rPr>
        <w:tab/>
        <w:t>Health status</w:t>
      </w:r>
      <w:r>
        <w:rPr>
          <w:rFonts w:asciiTheme="minorHAnsi" w:hAnsiTheme="minorHAnsi"/>
        </w:rPr>
        <w:t>;</w:t>
      </w:r>
    </w:p>
    <w:p w14:paraId="7AA544EF"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2.</w:t>
      </w:r>
      <w:r w:rsidRPr="00D71BE8">
        <w:rPr>
          <w:rFonts w:asciiTheme="minorHAnsi" w:hAnsiTheme="minorHAnsi"/>
        </w:rPr>
        <w:tab/>
        <w:t>Long-term health conditions</w:t>
      </w:r>
      <w:r>
        <w:rPr>
          <w:rFonts w:asciiTheme="minorHAnsi" w:hAnsiTheme="minorHAnsi"/>
        </w:rPr>
        <w:t>;</w:t>
      </w:r>
    </w:p>
    <w:p w14:paraId="315282EE" w14:textId="77777777" w:rsidR="0089285F" w:rsidRDefault="00D71BE8" w:rsidP="000D324C">
      <w:pPr>
        <w:spacing w:before="0" w:line="360" w:lineRule="auto"/>
        <w:ind w:left="1134" w:hanging="425"/>
        <w:rPr>
          <w:rFonts w:asciiTheme="minorHAnsi" w:hAnsiTheme="minorHAnsi"/>
        </w:rPr>
      </w:pPr>
      <w:r w:rsidRPr="00D71BE8">
        <w:rPr>
          <w:rFonts w:asciiTheme="minorHAnsi" w:hAnsiTheme="minorHAnsi"/>
        </w:rPr>
        <w:t>3.</w:t>
      </w:r>
      <w:r w:rsidRPr="00D71BE8">
        <w:rPr>
          <w:rFonts w:asciiTheme="minorHAnsi" w:hAnsiTheme="minorHAnsi"/>
        </w:rPr>
        <w:tab/>
        <w:t>Behaviours and risk factors</w:t>
      </w:r>
      <w:r w:rsidR="0022625A">
        <w:rPr>
          <w:rFonts w:asciiTheme="minorHAnsi" w:hAnsiTheme="minorHAnsi"/>
        </w:rPr>
        <w:t>;</w:t>
      </w:r>
    </w:p>
    <w:p w14:paraId="4575B2E9"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4.</w:t>
      </w:r>
      <w:r w:rsidRPr="00D71BE8">
        <w:rPr>
          <w:rFonts w:asciiTheme="minorHAnsi" w:hAnsiTheme="minorHAnsi"/>
        </w:rPr>
        <w:tab/>
        <w:t>Nutrition</w:t>
      </w:r>
      <w:r>
        <w:rPr>
          <w:rFonts w:asciiTheme="minorHAnsi" w:hAnsiTheme="minorHAnsi"/>
        </w:rPr>
        <w:t>;</w:t>
      </w:r>
    </w:p>
    <w:p w14:paraId="4F5D754D"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5.</w:t>
      </w:r>
      <w:r w:rsidRPr="00D71BE8">
        <w:rPr>
          <w:rFonts w:asciiTheme="minorHAnsi" w:hAnsiTheme="minorHAnsi"/>
        </w:rPr>
        <w:tab/>
        <w:t>Mental health</w:t>
      </w:r>
      <w:r>
        <w:rPr>
          <w:rFonts w:asciiTheme="minorHAnsi" w:hAnsiTheme="minorHAnsi"/>
        </w:rPr>
        <w:t>;</w:t>
      </w:r>
    </w:p>
    <w:p w14:paraId="4F69F0F3"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6.</w:t>
      </w:r>
      <w:r w:rsidRPr="00D71BE8">
        <w:rPr>
          <w:rFonts w:asciiTheme="minorHAnsi" w:hAnsiTheme="minorHAnsi"/>
        </w:rPr>
        <w:tab/>
        <w:t>Oral health</w:t>
      </w:r>
      <w:r>
        <w:rPr>
          <w:rFonts w:asciiTheme="minorHAnsi" w:hAnsiTheme="minorHAnsi"/>
        </w:rPr>
        <w:t>;</w:t>
      </w:r>
    </w:p>
    <w:p w14:paraId="2E4D7C49"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7.</w:t>
      </w:r>
      <w:r w:rsidRPr="00D71BE8">
        <w:rPr>
          <w:rFonts w:asciiTheme="minorHAnsi" w:hAnsiTheme="minorHAnsi"/>
        </w:rPr>
        <w:tab/>
        <w:t>Health service utilisation</w:t>
      </w:r>
      <w:r>
        <w:rPr>
          <w:rFonts w:asciiTheme="minorHAnsi" w:hAnsiTheme="minorHAnsi"/>
        </w:rPr>
        <w:t>;</w:t>
      </w:r>
    </w:p>
    <w:p w14:paraId="6DA5C679"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8.</w:t>
      </w:r>
      <w:r w:rsidRPr="00D71BE8">
        <w:rPr>
          <w:rFonts w:asciiTheme="minorHAnsi" w:hAnsiTheme="minorHAnsi"/>
        </w:rPr>
        <w:tab/>
        <w:t>Patient experience</w:t>
      </w:r>
      <w:r>
        <w:rPr>
          <w:rFonts w:asciiTheme="minorHAnsi" w:hAnsiTheme="minorHAnsi"/>
        </w:rPr>
        <w:t>; and,</w:t>
      </w:r>
    </w:p>
    <w:p w14:paraId="0BBBF484" w14:textId="77777777" w:rsidR="00D71BE8" w:rsidRPr="00D71BE8" w:rsidRDefault="00D71BE8" w:rsidP="000D324C">
      <w:pPr>
        <w:spacing w:before="0" w:line="360" w:lineRule="auto"/>
        <w:ind w:left="1134" w:hanging="425"/>
        <w:rPr>
          <w:rFonts w:asciiTheme="minorHAnsi" w:hAnsiTheme="minorHAnsi"/>
        </w:rPr>
      </w:pPr>
      <w:r w:rsidRPr="00D71BE8">
        <w:rPr>
          <w:rFonts w:asciiTheme="minorHAnsi" w:hAnsiTheme="minorHAnsi"/>
        </w:rPr>
        <w:t>9.</w:t>
      </w:r>
      <w:r w:rsidRPr="00D71BE8">
        <w:rPr>
          <w:rFonts w:asciiTheme="minorHAnsi" w:hAnsiTheme="minorHAnsi"/>
        </w:rPr>
        <w:tab/>
      </w:r>
      <w:r>
        <w:rPr>
          <w:rFonts w:asciiTheme="minorHAnsi" w:hAnsiTheme="minorHAnsi"/>
        </w:rPr>
        <w:t>S</w:t>
      </w:r>
      <w:r w:rsidRPr="00D71BE8">
        <w:rPr>
          <w:rFonts w:asciiTheme="minorHAnsi" w:hAnsiTheme="minorHAnsi"/>
        </w:rPr>
        <w:t>ocio</w:t>
      </w:r>
      <w:r>
        <w:rPr>
          <w:rFonts w:asciiTheme="minorHAnsi" w:hAnsiTheme="minorHAnsi"/>
        </w:rPr>
        <w:t>-</w:t>
      </w:r>
      <w:r w:rsidRPr="00D71BE8">
        <w:rPr>
          <w:rFonts w:asciiTheme="minorHAnsi" w:hAnsiTheme="minorHAnsi"/>
        </w:rPr>
        <w:t>demographics.</w:t>
      </w:r>
    </w:p>
    <w:p w14:paraId="44A01670" w14:textId="77777777" w:rsidR="0089285F" w:rsidRDefault="0089285F" w:rsidP="00CD6F2D">
      <w:pPr>
        <w:rPr>
          <w:rFonts w:asciiTheme="minorHAnsi" w:hAnsiTheme="minorHAnsi"/>
        </w:rPr>
      </w:pPr>
      <w:r>
        <w:rPr>
          <w:rFonts w:asciiTheme="minorHAnsi" w:hAnsiTheme="minorHAnsi"/>
        </w:rPr>
        <w:t>The NZHS includes a set of core questions for each of the</w:t>
      </w:r>
      <w:r w:rsidR="003633D1">
        <w:rPr>
          <w:rFonts w:asciiTheme="minorHAnsi" w:hAnsiTheme="minorHAnsi"/>
        </w:rPr>
        <w:t>se</w:t>
      </w:r>
      <w:r>
        <w:rPr>
          <w:rFonts w:asciiTheme="minorHAnsi" w:hAnsiTheme="minorHAnsi"/>
        </w:rPr>
        <w:t xml:space="preserve"> nine information domains</w:t>
      </w:r>
      <w:r w:rsidR="003633D1">
        <w:rPr>
          <w:rFonts w:asciiTheme="minorHAnsi" w:hAnsiTheme="minorHAnsi"/>
        </w:rPr>
        <w:t>.  T</w:t>
      </w:r>
      <w:r>
        <w:rPr>
          <w:rFonts w:asciiTheme="minorHAnsi" w:hAnsiTheme="minorHAnsi"/>
        </w:rPr>
        <w:t>he core questions make up around half of all the questions</w:t>
      </w:r>
      <w:r w:rsidR="003633D1">
        <w:rPr>
          <w:rFonts w:asciiTheme="minorHAnsi" w:hAnsiTheme="minorHAnsi"/>
        </w:rPr>
        <w:t xml:space="preserve"> in the NZHS and</w:t>
      </w:r>
      <w:r>
        <w:rPr>
          <w:rFonts w:asciiTheme="minorHAnsi" w:hAnsiTheme="minorHAnsi"/>
        </w:rPr>
        <w:t xml:space="preserve"> remain the same for each wave of the survey.  The NZHS also includes a set of module questions that can enquire about a </w:t>
      </w:r>
      <w:r w:rsidR="009F4C0C">
        <w:rPr>
          <w:rFonts w:asciiTheme="minorHAnsi" w:hAnsiTheme="minorHAnsi"/>
        </w:rPr>
        <w:t xml:space="preserve">specified </w:t>
      </w:r>
      <w:r>
        <w:rPr>
          <w:rFonts w:asciiTheme="minorHAnsi" w:hAnsiTheme="minorHAnsi"/>
        </w:rPr>
        <w:t xml:space="preserve">topic in more depth and may </w:t>
      </w:r>
      <w:r>
        <w:rPr>
          <w:rFonts w:asciiTheme="minorHAnsi" w:hAnsiTheme="minorHAnsi"/>
        </w:rPr>
        <w:lastRenderedPageBreak/>
        <w:t>change with each survey of the wave.  The modules cover the nine information domains listed above and include the following six topics for domain three</w:t>
      </w:r>
      <w:r w:rsidR="00127D5F">
        <w:rPr>
          <w:rFonts w:asciiTheme="minorHAnsi" w:hAnsiTheme="minorHAnsi"/>
        </w:rPr>
        <w:t xml:space="preserve">, </w:t>
      </w:r>
      <w:r w:rsidR="001D4A12">
        <w:rPr>
          <w:rFonts w:asciiTheme="minorHAnsi" w:hAnsiTheme="minorHAnsi"/>
        </w:rPr>
        <w:t>‘</w:t>
      </w:r>
      <w:r>
        <w:rPr>
          <w:rFonts w:asciiTheme="minorHAnsi" w:hAnsiTheme="minorHAnsi"/>
        </w:rPr>
        <w:t>Behaviours and risk factors</w:t>
      </w:r>
      <w:r w:rsidR="001D4A12">
        <w:rPr>
          <w:rFonts w:asciiTheme="minorHAnsi" w:hAnsiTheme="minorHAnsi"/>
        </w:rPr>
        <w:t>’</w:t>
      </w:r>
      <w:r>
        <w:rPr>
          <w:rFonts w:asciiTheme="minorHAnsi" w:hAnsiTheme="minorHAnsi"/>
        </w:rPr>
        <w:t>:</w:t>
      </w:r>
    </w:p>
    <w:p w14:paraId="4C89A027" w14:textId="77777777" w:rsidR="0089285F" w:rsidRPr="0089285F" w:rsidRDefault="007F1228" w:rsidP="004F129A">
      <w:pPr>
        <w:pStyle w:val="ListParagraph"/>
        <w:numPr>
          <w:ilvl w:val="0"/>
          <w:numId w:val="74"/>
        </w:numPr>
        <w:spacing w:line="360" w:lineRule="auto"/>
        <w:rPr>
          <w:rFonts w:asciiTheme="minorHAnsi" w:hAnsiTheme="minorHAnsi"/>
        </w:rPr>
      </w:pPr>
      <w:r>
        <w:rPr>
          <w:rFonts w:asciiTheme="minorHAnsi" w:hAnsiTheme="minorHAnsi"/>
        </w:rPr>
        <w:t>P</w:t>
      </w:r>
      <w:r w:rsidR="0089285F" w:rsidRPr="0089285F">
        <w:rPr>
          <w:rFonts w:asciiTheme="minorHAnsi" w:hAnsiTheme="minorHAnsi"/>
        </w:rPr>
        <w:t>hysical activity</w:t>
      </w:r>
      <w:r w:rsidR="001D4A12">
        <w:rPr>
          <w:rFonts w:asciiTheme="minorHAnsi" w:hAnsiTheme="minorHAnsi"/>
        </w:rPr>
        <w:t>;</w:t>
      </w:r>
    </w:p>
    <w:p w14:paraId="56D1CD5C" w14:textId="77777777" w:rsidR="0089285F" w:rsidRPr="0089285F" w:rsidRDefault="007F1228" w:rsidP="004F129A">
      <w:pPr>
        <w:pStyle w:val="ListParagraph"/>
        <w:numPr>
          <w:ilvl w:val="0"/>
          <w:numId w:val="74"/>
        </w:numPr>
        <w:spacing w:line="360" w:lineRule="auto"/>
        <w:rPr>
          <w:rFonts w:asciiTheme="minorHAnsi" w:hAnsiTheme="minorHAnsi"/>
        </w:rPr>
      </w:pPr>
      <w:r>
        <w:rPr>
          <w:rFonts w:asciiTheme="minorHAnsi" w:hAnsiTheme="minorHAnsi"/>
        </w:rPr>
        <w:t>T</w:t>
      </w:r>
      <w:r w:rsidR="0089285F" w:rsidRPr="0089285F">
        <w:rPr>
          <w:rFonts w:asciiTheme="minorHAnsi" w:hAnsiTheme="minorHAnsi"/>
        </w:rPr>
        <w:t>obacco use</w:t>
      </w:r>
      <w:r w:rsidR="001D4A12">
        <w:rPr>
          <w:rFonts w:asciiTheme="minorHAnsi" w:hAnsiTheme="minorHAnsi"/>
        </w:rPr>
        <w:t>;</w:t>
      </w:r>
    </w:p>
    <w:p w14:paraId="49C0306B" w14:textId="77777777" w:rsidR="0089285F" w:rsidRPr="0089285F" w:rsidRDefault="007F1228" w:rsidP="004F129A">
      <w:pPr>
        <w:pStyle w:val="ListParagraph"/>
        <w:numPr>
          <w:ilvl w:val="0"/>
          <w:numId w:val="74"/>
        </w:numPr>
        <w:spacing w:line="360" w:lineRule="auto"/>
        <w:rPr>
          <w:rFonts w:asciiTheme="minorHAnsi" w:hAnsiTheme="minorHAnsi"/>
        </w:rPr>
      </w:pPr>
      <w:r>
        <w:rPr>
          <w:rFonts w:asciiTheme="minorHAnsi" w:hAnsiTheme="minorHAnsi"/>
        </w:rPr>
        <w:t>A</w:t>
      </w:r>
      <w:r w:rsidR="0089285F" w:rsidRPr="0089285F">
        <w:rPr>
          <w:rFonts w:asciiTheme="minorHAnsi" w:hAnsiTheme="minorHAnsi"/>
        </w:rPr>
        <w:t>lcohol consumption</w:t>
      </w:r>
      <w:r w:rsidR="001D4A12">
        <w:rPr>
          <w:rFonts w:asciiTheme="minorHAnsi" w:hAnsiTheme="minorHAnsi"/>
        </w:rPr>
        <w:t>;</w:t>
      </w:r>
    </w:p>
    <w:p w14:paraId="6D0E4538" w14:textId="77777777" w:rsidR="0089285F" w:rsidRPr="0089285F" w:rsidRDefault="007F1228" w:rsidP="004F129A">
      <w:pPr>
        <w:pStyle w:val="ListParagraph"/>
        <w:numPr>
          <w:ilvl w:val="0"/>
          <w:numId w:val="74"/>
        </w:numPr>
        <w:spacing w:line="360" w:lineRule="auto"/>
        <w:rPr>
          <w:rFonts w:asciiTheme="minorHAnsi" w:hAnsiTheme="minorHAnsi"/>
        </w:rPr>
      </w:pPr>
      <w:r>
        <w:rPr>
          <w:rFonts w:asciiTheme="minorHAnsi" w:hAnsiTheme="minorHAnsi"/>
        </w:rPr>
        <w:t>D</w:t>
      </w:r>
      <w:r w:rsidR="0089285F" w:rsidRPr="0089285F">
        <w:rPr>
          <w:rFonts w:asciiTheme="minorHAnsi" w:hAnsiTheme="minorHAnsi"/>
        </w:rPr>
        <w:t>rug use</w:t>
      </w:r>
      <w:r w:rsidR="001D4A12">
        <w:rPr>
          <w:rFonts w:asciiTheme="minorHAnsi" w:hAnsiTheme="minorHAnsi"/>
        </w:rPr>
        <w:t>;</w:t>
      </w:r>
    </w:p>
    <w:p w14:paraId="57827911" w14:textId="77777777" w:rsidR="0089285F" w:rsidRPr="0089285F" w:rsidRDefault="007F1228" w:rsidP="004F129A">
      <w:pPr>
        <w:pStyle w:val="ListParagraph"/>
        <w:numPr>
          <w:ilvl w:val="0"/>
          <w:numId w:val="74"/>
        </w:numPr>
        <w:spacing w:line="360" w:lineRule="auto"/>
        <w:rPr>
          <w:rFonts w:asciiTheme="minorHAnsi" w:hAnsiTheme="minorHAnsi"/>
        </w:rPr>
      </w:pPr>
      <w:r w:rsidRPr="00AB6528">
        <w:rPr>
          <w:rFonts w:asciiTheme="minorHAnsi" w:hAnsiTheme="minorHAnsi"/>
          <w:u w:val="single"/>
        </w:rPr>
        <w:t>P</w:t>
      </w:r>
      <w:r w:rsidR="0089285F" w:rsidRPr="00AB6528">
        <w:rPr>
          <w:rFonts w:asciiTheme="minorHAnsi" w:hAnsiTheme="minorHAnsi"/>
          <w:u w:val="single"/>
        </w:rPr>
        <w:t>roblem gambling</w:t>
      </w:r>
      <w:r w:rsidR="001D4A12" w:rsidRPr="00AB6528">
        <w:rPr>
          <w:rFonts w:asciiTheme="minorHAnsi" w:hAnsiTheme="minorHAnsi"/>
        </w:rPr>
        <w:t>;</w:t>
      </w:r>
      <w:r w:rsidR="001D4A12">
        <w:rPr>
          <w:rFonts w:asciiTheme="minorHAnsi" w:hAnsiTheme="minorHAnsi"/>
        </w:rPr>
        <w:t xml:space="preserve"> and,</w:t>
      </w:r>
    </w:p>
    <w:p w14:paraId="436B679A" w14:textId="77777777" w:rsidR="0089285F" w:rsidRDefault="007F1228" w:rsidP="004F129A">
      <w:pPr>
        <w:pStyle w:val="ListParagraph"/>
        <w:numPr>
          <w:ilvl w:val="0"/>
          <w:numId w:val="74"/>
        </w:numPr>
        <w:spacing w:line="360" w:lineRule="auto"/>
        <w:rPr>
          <w:rFonts w:asciiTheme="minorHAnsi" w:hAnsiTheme="minorHAnsi"/>
        </w:rPr>
      </w:pPr>
      <w:r>
        <w:rPr>
          <w:rFonts w:asciiTheme="minorHAnsi" w:hAnsiTheme="minorHAnsi"/>
        </w:rPr>
        <w:t>S</w:t>
      </w:r>
      <w:r w:rsidR="0089285F" w:rsidRPr="0089285F">
        <w:rPr>
          <w:rFonts w:asciiTheme="minorHAnsi" w:hAnsiTheme="minorHAnsi"/>
        </w:rPr>
        <w:t>exual and reproductive health</w:t>
      </w:r>
      <w:r w:rsidR="001D4A12">
        <w:rPr>
          <w:rFonts w:asciiTheme="minorHAnsi" w:hAnsiTheme="minorHAnsi"/>
        </w:rPr>
        <w:t xml:space="preserve">. </w:t>
      </w:r>
    </w:p>
    <w:p w14:paraId="0A726467" w14:textId="7BE8C1D5" w:rsidR="00A219C6" w:rsidRPr="00A219C6" w:rsidRDefault="00A219C6" w:rsidP="00A219C6">
      <w:pPr>
        <w:spacing w:line="360" w:lineRule="auto"/>
        <w:ind w:left="7200"/>
        <w:rPr>
          <w:rFonts w:asciiTheme="minorHAnsi" w:hAnsiTheme="minorHAnsi"/>
        </w:rPr>
      </w:pP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Health&lt;/Author&gt;&lt;Year&gt;2013&lt;/Year&gt;&lt;RecNum&gt;944&lt;/RecNum&gt;&lt;DisplayText&gt;(Ministry of Health, 2013)&lt;/DisplayText&gt;&lt;record&gt;&lt;rec-number&gt;944&lt;/rec-number&gt;&lt;foreign-keys&gt;&lt;key app="EN" db-id="9pzse05rcvx956etremxfzdh9fzdxvd95rp2"&gt;944&lt;/key&gt;&lt;/foreign-keys&gt;&lt;ref-type name="Report"&gt;27&lt;/ref-type&gt;&lt;contributors&gt;&lt;authors&gt;&lt;author&gt;Ministry of Health,&lt;/author&gt;&lt;/authors&gt;&lt;/contributors&gt;&lt;titles&gt;&lt;title&gt;New Zealand Health Survey: Content Guide 2012-2013&lt;/title&gt;&lt;/titles&gt;&lt;dates&gt;&lt;year&gt;2013&lt;/year&gt;&lt;/dates&gt;&lt;pub-location&gt;Wellington&lt;/pub-location&gt;&lt;publisher&gt;Ministry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43" w:tooltip="Ministry of Health, 2013 #944" w:history="1">
        <w:r w:rsidR="00765F46">
          <w:rPr>
            <w:rFonts w:asciiTheme="minorHAnsi" w:hAnsiTheme="minorHAnsi"/>
            <w:noProof/>
          </w:rPr>
          <w:t>Ministry of Health, 2013</w:t>
        </w:r>
      </w:hyperlink>
      <w:r>
        <w:rPr>
          <w:rFonts w:asciiTheme="minorHAnsi" w:hAnsiTheme="minorHAnsi"/>
          <w:noProof/>
        </w:rPr>
        <w:t>)</w:t>
      </w:r>
      <w:r>
        <w:rPr>
          <w:rFonts w:asciiTheme="minorHAnsi" w:hAnsiTheme="minorHAnsi"/>
        </w:rPr>
        <w:fldChar w:fldCharType="end"/>
      </w:r>
    </w:p>
    <w:p w14:paraId="618274A5" w14:textId="52165CC0" w:rsidR="00CD6F2D" w:rsidRDefault="00CD6F2D" w:rsidP="00CD6F2D">
      <w:pPr>
        <w:rPr>
          <w:rFonts w:asciiTheme="minorHAnsi" w:hAnsiTheme="minorHAnsi"/>
        </w:rPr>
      </w:pPr>
      <w:r>
        <w:rPr>
          <w:rFonts w:asciiTheme="minorHAnsi" w:hAnsiTheme="minorHAnsi"/>
        </w:rPr>
        <w:t>Questions on gambling and problem gambling have been included in the last three New Zealand Health Surveys: 2002/03, 2006/07 and 2011/12.</w:t>
      </w:r>
      <w:r w:rsidR="001150FE">
        <w:rPr>
          <w:rFonts w:asciiTheme="minorHAnsi" w:hAnsiTheme="minorHAnsi"/>
        </w:rPr>
        <w:t xml:space="preserve">  Individual reports on gambling and problem gambling have </w:t>
      </w:r>
      <w:r w:rsidR="009F4C0C">
        <w:rPr>
          <w:rFonts w:asciiTheme="minorHAnsi" w:hAnsiTheme="minorHAnsi"/>
        </w:rPr>
        <w:t xml:space="preserve">been produced for the </w:t>
      </w:r>
      <w:r w:rsidR="001150FE">
        <w:rPr>
          <w:rFonts w:asciiTheme="minorHAnsi" w:hAnsiTheme="minorHAnsi"/>
        </w:rPr>
        <w:t xml:space="preserve">2002/03 </w:t>
      </w:r>
      <w:r w:rsidR="00E7433B">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Health&lt;/publisher&gt;&lt;urls&gt;&lt;/urls&gt;&lt;/record&gt;&lt;/Cite&gt;&lt;/EndNote&gt;</w:instrText>
      </w:r>
      <w:r w:rsidR="00E7433B">
        <w:rPr>
          <w:rFonts w:asciiTheme="minorHAnsi" w:hAnsiTheme="minorHAnsi"/>
        </w:rPr>
        <w:fldChar w:fldCharType="separate"/>
      </w:r>
      <w:r w:rsidR="00E7433B">
        <w:rPr>
          <w:rFonts w:asciiTheme="minorHAnsi" w:hAnsiTheme="minorHAnsi"/>
          <w:noProof/>
        </w:rPr>
        <w:t>(</w:t>
      </w:r>
      <w:hyperlink w:anchor="_ENREF_34" w:tooltip="Ministry of Health, 2006 #31" w:history="1">
        <w:r w:rsidR="00765F46">
          <w:rPr>
            <w:rFonts w:asciiTheme="minorHAnsi" w:hAnsiTheme="minorHAnsi"/>
            <w:noProof/>
          </w:rPr>
          <w:t>Ministry of Health, 2006</w:t>
        </w:r>
      </w:hyperlink>
      <w:r w:rsidR="00E7433B">
        <w:rPr>
          <w:rFonts w:asciiTheme="minorHAnsi" w:hAnsiTheme="minorHAnsi"/>
          <w:noProof/>
        </w:rPr>
        <w:t>)</w:t>
      </w:r>
      <w:r w:rsidR="00E7433B">
        <w:rPr>
          <w:rFonts w:asciiTheme="minorHAnsi" w:hAnsiTheme="minorHAnsi"/>
        </w:rPr>
        <w:fldChar w:fldCharType="end"/>
      </w:r>
      <w:r w:rsidR="00E7433B">
        <w:rPr>
          <w:rFonts w:asciiTheme="minorHAnsi" w:hAnsiTheme="minorHAnsi"/>
        </w:rPr>
        <w:t xml:space="preserve"> </w:t>
      </w:r>
      <w:r w:rsidR="001150FE">
        <w:rPr>
          <w:rFonts w:asciiTheme="minorHAnsi" w:hAnsiTheme="minorHAnsi"/>
        </w:rPr>
        <w:t>and 2006/07 NZHS</w:t>
      </w:r>
      <w:r w:rsidR="00A36108">
        <w:rPr>
          <w:rFonts w:asciiTheme="minorHAnsi" w:hAnsiTheme="minorHAnsi"/>
        </w:rPr>
        <w:t xml:space="preserve"> </w:t>
      </w:r>
      <w:r w:rsidR="00E7433B">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E7433B">
        <w:rPr>
          <w:rFonts w:asciiTheme="minorHAnsi" w:hAnsiTheme="minorHAnsi"/>
        </w:rPr>
        <w:fldChar w:fldCharType="separate"/>
      </w:r>
      <w:r w:rsidR="00E7433B">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E7433B">
        <w:rPr>
          <w:rFonts w:asciiTheme="minorHAnsi" w:hAnsiTheme="minorHAnsi"/>
          <w:noProof/>
        </w:rPr>
        <w:t>)</w:t>
      </w:r>
      <w:r w:rsidR="00E7433B">
        <w:rPr>
          <w:rFonts w:asciiTheme="minorHAnsi" w:hAnsiTheme="minorHAnsi"/>
        </w:rPr>
        <w:fldChar w:fldCharType="end"/>
      </w:r>
      <w:r w:rsidR="00E7433B">
        <w:rPr>
          <w:rFonts w:asciiTheme="minorHAnsi" w:hAnsiTheme="minorHAnsi"/>
        </w:rPr>
        <w:t xml:space="preserve">, </w:t>
      </w:r>
      <w:r w:rsidR="00A36108">
        <w:rPr>
          <w:rFonts w:asciiTheme="minorHAnsi" w:hAnsiTheme="minorHAnsi"/>
        </w:rPr>
        <w:t>and a</w:t>
      </w:r>
      <w:r w:rsidR="001150FE">
        <w:rPr>
          <w:rFonts w:asciiTheme="minorHAnsi" w:hAnsiTheme="minorHAnsi"/>
        </w:rPr>
        <w:t xml:space="preserve"> report was produced in </w:t>
      </w:r>
      <w:r w:rsidR="00FD1578">
        <w:rPr>
          <w:rFonts w:asciiTheme="minorHAnsi" w:hAnsiTheme="minorHAnsi"/>
        </w:rPr>
        <w:t xml:space="preserve">2012 based on an analysis of </w:t>
      </w:r>
      <w:r w:rsidR="001150FE">
        <w:rPr>
          <w:rFonts w:asciiTheme="minorHAnsi" w:hAnsiTheme="minorHAnsi"/>
        </w:rPr>
        <w:t xml:space="preserve">preliminary </w:t>
      </w:r>
      <w:r w:rsidR="00E7433B">
        <w:rPr>
          <w:rFonts w:asciiTheme="minorHAnsi" w:hAnsiTheme="minorHAnsi"/>
        </w:rPr>
        <w:t xml:space="preserve">gambling </w:t>
      </w:r>
      <w:r w:rsidR="001150FE">
        <w:rPr>
          <w:rFonts w:asciiTheme="minorHAnsi" w:hAnsiTheme="minorHAnsi"/>
        </w:rPr>
        <w:t>data for the 2011/12 NZHS</w:t>
      </w:r>
      <w:r w:rsidR="00E7433B">
        <w:rPr>
          <w:rFonts w:asciiTheme="minorHAnsi" w:hAnsiTheme="minorHAnsi"/>
        </w:rPr>
        <w:t xml:space="preserve"> </w:t>
      </w:r>
      <w:r w:rsidR="00E7433B">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Health&lt;/Author&gt;&lt;Year&gt;2012&lt;/Year&gt;&lt;RecNum&gt;152&lt;/RecNum&gt;&lt;DisplayText&gt;(Ministry of Health, 2012c)&lt;/DisplayText&gt;&lt;record&gt;&lt;rec-number&gt;152&lt;/rec-number&gt;&lt;foreign-keys&gt;&lt;key app="EN" db-id="9pzse05rcvx956etremxfzdh9fzdxvd95rp2"&gt;152&lt;/key&gt;&lt;/foreign-keys&gt;&lt;ref-type name="Report"&gt;27&lt;/ref-type&gt;&lt;contributors&gt;&lt;authors&gt;&lt;author&gt;Ministry of Health,&lt;/author&gt;&lt;/authors&gt;&lt;/contributors&gt;&lt;titles&gt;&lt;title&gt;Problem Gambling in New Zealand: Preliminary Findings From the New Zealand Health Survey (July 2011 to March 2012)&lt;/title&gt;&lt;/titles&gt;&lt;dates&gt;&lt;year&gt;2012&lt;/year&gt;&lt;/dates&gt;&lt;pub-location&gt;Wellington&lt;/pub-location&gt;&lt;publisher&gt;Ministry of Health&lt;/publisher&gt;&lt;urls&gt;&lt;/urls&gt;&lt;/record&gt;&lt;/Cite&gt;&lt;/EndNote&gt;</w:instrText>
      </w:r>
      <w:r w:rsidR="00E7433B">
        <w:rPr>
          <w:rFonts w:asciiTheme="minorHAnsi" w:hAnsiTheme="minorHAnsi"/>
        </w:rPr>
        <w:fldChar w:fldCharType="separate"/>
      </w:r>
      <w:r w:rsidR="00E7433B">
        <w:rPr>
          <w:rFonts w:asciiTheme="minorHAnsi" w:hAnsiTheme="minorHAnsi"/>
          <w:noProof/>
        </w:rPr>
        <w:t>(</w:t>
      </w:r>
      <w:hyperlink w:anchor="_ENREF_42" w:tooltip="Ministry of Health, 2012 #152" w:history="1">
        <w:r w:rsidR="00765F46">
          <w:rPr>
            <w:rFonts w:asciiTheme="minorHAnsi" w:hAnsiTheme="minorHAnsi"/>
            <w:noProof/>
          </w:rPr>
          <w:t>Ministry of Health, 2012c</w:t>
        </w:r>
      </w:hyperlink>
      <w:r w:rsidR="00E7433B">
        <w:rPr>
          <w:rFonts w:asciiTheme="minorHAnsi" w:hAnsiTheme="minorHAnsi"/>
          <w:noProof/>
        </w:rPr>
        <w:t>)</w:t>
      </w:r>
      <w:r w:rsidR="00E7433B">
        <w:rPr>
          <w:rFonts w:asciiTheme="minorHAnsi" w:hAnsiTheme="minorHAnsi"/>
        </w:rPr>
        <w:fldChar w:fldCharType="end"/>
      </w:r>
      <w:r w:rsidR="001150FE">
        <w:rPr>
          <w:rFonts w:asciiTheme="minorHAnsi" w:hAnsiTheme="minorHAnsi"/>
        </w:rPr>
        <w:t xml:space="preserve">. </w:t>
      </w:r>
    </w:p>
    <w:p w14:paraId="64C1C4BE" w14:textId="77777777" w:rsidR="00711B6F" w:rsidRDefault="00D953AA" w:rsidP="00F061EF">
      <w:pPr>
        <w:pStyle w:val="Heading3"/>
      </w:pPr>
      <w:bookmarkStart w:id="26" w:name="_Toc403833147"/>
      <w:r>
        <w:t>Sampling and data collection</w:t>
      </w:r>
      <w:bookmarkEnd w:id="26"/>
    </w:p>
    <w:p w14:paraId="78A58EF4" w14:textId="7891871F" w:rsidR="00807505" w:rsidRDefault="001150FE" w:rsidP="00807505">
      <w:pPr>
        <w:rPr>
          <w:rFonts w:asciiTheme="minorHAnsi" w:hAnsiTheme="minorHAnsi"/>
        </w:rPr>
      </w:pPr>
      <w:r w:rsidRPr="00807505">
        <w:rPr>
          <w:rFonts w:asciiTheme="minorHAnsi" w:hAnsiTheme="minorHAnsi"/>
        </w:rPr>
        <w:t>The 2011/12 NZHS gathered data through face-to-face interviews with 12,</w:t>
      </w:r>
      <w:r w:rsidR="00807505">
        <w:rPr>
          <w:rFonts w:asciiTheme="minorHAnsi" w:hAnsiTheme="minorHAnsi"/>
        </w:rPr>
        <w:t>370</w:t>
      </w:r>
      <w:r w:rsidRPr="00807505">
        <w:rPr>
          <w:rFonts w:asciiTheme="minorHAnsi" w:hAnsiTheme="minorHAnsi"/>
        </w:rPr>
        <w:t xml:space="preserve"> randomly selected adults </w:t>
      </w:r>
      <w:r w:rsidR="006C0A81">
        <w:rPr>
          <w:rFonts w:asciiTheme="minorHAnsi" w:hAnsiTheme="minorHAnsi"/>
        </w:rPr>
        <w:t>(</w:t>
      </w:r>
      <w:r w:rsidRPr="00807505">
        <w:rPr>
          <w:rFonts w:asciiTheme="minorHAnsi" w:hAnsiTheme="minorHAnsi"/>
        </w:rPr>
        <w:t>aged 15 years and over</w:t>
      </w:r>
      <w:r w:rsidR="006C0A81">
        <w:rPr>
          <w:rFonts w:asciiTheme="minorHAnsi" w:hAnsiTheme="minorHAnsi"/>
        </w:rPr>
        <w:t>) and</w:t>
      </w:r>
      <w:r w:rsidRPr="00807505">
        <w:rPr>
          <w:rFonts w:asciiTheme="minorHAnsi" w:hAnsiTheme="minorHAnsi"/>
        </w:rPr>
        <w:t xml:space="preserve"> </w:t>
      </w:r>
      <w:r w:rsidR="00E7690D">
        <w:rPr>
          <w:rFonts w:asciiTheme="minorHAnsi" w:hAnsiTheme="minorHAnsi"/>
        </w:rPr>
        <w:t>4,478 children (aged 0-14 years)</w:t>
      </w:r>
      <w:r w:rsidR="00BD2CC9">
        <w:rPr>
          <w:rStyle w:val="FootnoteReference"/>
          <w:rFonts w:asciiTheme="minorHAnsi" w:hAnsiTheme="minorHAnsi"/>
        </w:rPr>
        <w:footnoteReference w:id="3"/>
      </w:r>
      <w:r w:rsidR="00E7690D">
        <w:rPr>
          <w:rFonts w:asciiTheme="minorHAnsi" w:hAnsiTheme="minorHAnsi"/>
        </w:rPr>
        <w:t xml:space="preserve"> </w:t>
      </w:r>
      <w:r w:rsidRPr="00807505">
        <w:rPr>
          <w:rFonts w:asciiTheme="minorHAnsi" w:hAnsiTheme="minorHAnsi"/>
        </w:rPr>
        <w:t>throughout New Zealand.</w:t>
      </w:r>
      <w:r w:rsidR="00807505">
        <w:rPr>
          <w:rFonts w:asciiTheme="minorHAnsi" w:hAnsiTheme="minorHAnsi"/>
          <w:b/>
        </w:rPr>
        <w:t xml:space="preserve">  </w:t>
      </w:r>
      <w:r w:rsidR="00807505">
        <w:rPr>
          <w:rFonts w:asciiTheme="minorHAnsi" w:hAnsiTheme="minorHAnsi"/>
        </w:rPr>
        <w:t>The target population was the usually resident population of New Zealand, which includes adults who are living in permanent dwellings, student accommodation, and aged-care facilities.  It should be noted that the sample did not include people who were living in institutions such as long-term hospital care (i.e. hospital and dementia-level services in aged-care facilities), prisons, the homeless, short-term visitors, and tourists</w:t>
      </w:r>
      <w:r w:rsidR="006D0314">
        <w:rPr>
          <w:rFonts w:asciiTheme="minorHAnsi" w:hAnsiTheme="minorHAnsi"/>
        </w:rPr>
        <w:t xml:space="preserve"> </w:t>
      </w:r>
      <w:r w:rsidR="006D0314">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Health&lt;/Author&gt;&lt;Year&gt;2012&lt;/Year&gt;&lt;RecNum&gt;929&lt;/RecNum&gt;&lt;DisplayText&gt;(Ministry of Health, 2012b)&lt;/DisplayText&gt;&lt;record&gt;&lt;rec-number&gt;929&lt;/rec-number&gt;&lt;foreign-keys&gt;&lt;key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sidR="006D0314">
        <w:rPr>
          <w:rFonts w:asciiTheme="minorHAnsi" w:hAnsiTheme="minorHAnsi"/>
        </w:rPr>
        <w:fldChar w:fldCharType="separate"/>
      </w:r>
      <w:r w:rsidR="006D0314">
        <w:rPr>
          <w:rFonts w:asciiTheme="minorHAnsi" w:hAnsiTheme="minorHAnsi"/>
          <w:noProof/>
        </w:rPr>
        <w:t>(</w:t>
      </w:r>
      <w:hyperlink w:anchor="_ENREF_41" w:tooltip="Ministry of Health, 2012 #929" w:history="1">
        <w:r w:rsidR="00765F46">
          <w:rPr>
            <w:rFonts w:asciiTheme="minorHAnsi" w:hAnsiTheme="minorHAnsi"/>
            <w:noProof/>
          </w:rPr>
          <w:t>Ministry of Health, 2012b</w:t>
        </w:r>
      </w:hyperlink>
      <w:r w:rsidR="006D0314">
        <w:rPr>
          <w:rFonts w:asciiTheme="minorHAnsi" w:hAnsiTheme="minorHAnsi"/>
          <w:noProof/>
        </w:rPr>
        <w:t>)</w:t>
      </w:r>
      <w:r w:rsidR="006D0314">
        <w:rPr>
          <w:rFonts w:asciiTheme="minorHAnsi" w:hAnsiTheme="minorHAnsi"/>
        </w:rPr>
        <w:fldChar w:fldCharType="end"/>
      </w:r>
      <w:r w:rsidR="00807505">
        <w:rPr>
          <w:rFonts w:asciiTheme="minorHAnsi" w:hAnsiTheme="minorHAnsi"/>
        </w:rPr>
        <w:t>.</w:t>
      </w:r>
    </w:p>
    <w:p w14:paraId="026A0FFE" w14:textId="72458B16" w:rsidR="00D953AA" w:rsidRDefault="00D953AA" w:rsidP="00D953AA">
      <w:pPr>
        <w:rPr>
          <w:rFonts w:asciiTheme="minorHAnsi" w:hAnsiTheme="minorHAnsi"/>
        </w:rPr>
      </w:pPr>
      <w:r>
        <w:rPr>
          <w:rFonts w:asciiTheme="minorHAnsi" w:hAnsiTheme="minorHAnsi"/>
        </w:rPr>
        <w:t xml:space="preserve">The 2011/12 NZHS used a multi-stage, stratified, </w:t>
      </w:r>
      <w:r w:rsidRPr="00887710">
        <w:rPr>
          <w:rFonts w:asciiTheme="minorHAnsi" w:hAnsiTheme="minorHAnsi"/>
        </w:rPr>
        <w:t>probability-proportional-to-size (PPS)</w:t>
      </w:r>
      <w:r w:rsidRPr="00301F0D">
        <w:rPr>
          <w:rFonts w:asciiTheme="minorHAnsi" w:hAnsiTheme="minorHAnsi"/>
        </w:rPr>
        <w:t xml:space="preserve"> </w:t>
      </w:r>
      <w:r>
        <w:rPr>
          <w:rFonts w:asciiTheme="minorHAnsi" w:hAnsiTheme="minorHAnsi"/>
        </w:rPr>
        <w:t>sampling design</w:t>
      </w:r>
      <w:r w:rsidRPr="00301F0D">
        <w:rPr>
          <w:rFonts w:asciiTheme="minorHAnsi" w:hAnsiTheme="minorHAnsi"/>
        </w:rPr>
        <w:t xml:space="preserve"> </w:t>
      </w:r>
      <w:r>
        <w:rPr>
          <w:rFonts w:asciiTheme="minorHAnsi" w:hAnsiTheme="minorHAnsi"/>
        </w:rPr>
        <w:t>which achieved a response rate of 79% for adults and 85% for children.  Participa</w:t>
      </w:r>
      <w:r w:rsidR="006D0314">
        <w:rPr>
          <w:rFonts w:asciiTheme="minorHAnsi" w:hAnsiTheme="minorHAnsi"/>
        </w:rPr>
        <w:t>n</w:t>
      </w:r>
      <w:r>
        <w:rPr>
          <w:rFonts w:asciiTheme="minorHAnsi" w:hAnsiTheme="minorHAnsi"/>
        </w:rPr>
        <w:t>ts were selected from an area-</w:t>
      </w:r>
      <w:r>
        <w:rPr>
          <w:rFonts w:asciiTheme="minorHAnsi" w:hAnsiTheme="minorHAnsi"/>
        </w:rPr>
        <w:lastRenderedPageBreak/>
        <w:t>based sample and then a list-based electoral roll sample.</w:t>
      </w:r>
      <w:r w:rsidR="00B87E4B">
        <w:rPr>
          <w:rFonts w:asciiTheme="minorHAnsi" w:hAnsiTheme="minorHAnsi"/>
        </w:rPr>
        <w:t xml:space="preserve"> </w:t>
      </w:r>
      <w:r>
        <w:rPr>
          <w:rFonts w:asciiTheme="minorHAnsi" w:hAnsiTheme="minorHAnsi"/>
        </w:rPr>
        <w:t xml:space="preserve"> This dual frame approach aimed to increase sample sizes for Māori, Pacific and Asian ethnic groups.  The sampling frame was designed to provide a sample that was nationally representative of New Zealand’s usually resident population. Further details on the sample design can be found in the Methodology report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Health&lt;/Author&gt;&lt;Year&gt;2012&lt;/Year&gt;&lt;RecNum&gt;929&lt;/RecNum&gt;&lt;DisplayText&gt;(Ministry of Health, 2012b)&lt;/DisplayText&gt;&lt;record&gt;&lt;rec-number&gt;929&lt;/rec-number&gt;&lt;foreign-keys&gt;&lt;key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41" w:tooltip="Ministry of Health, 2012 #929" w:history="1">
        <w:r w:rsidR="00765F46">
          <w:rPr>
            <w:rFonts w:asciiTheme="minorHAnsi" w:hAnsiTheme="minorHAnsi"/>
            <w:noProof/>
          </w:rPr>
          <w:t>Ministry of Health, 2012b</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p>
    <w:p w14:paraId="39F445BC" w14:textId="77FC2791" w:rsidR="00301F0D" w:rsidRDefault="00156F04" w:rsidP="00301F0D">
      <w:pPr>
        <w:rPr>
          <w:rFonts w:asciiTheme="minorHAnsi" w:hAnsiTheme="minorHAnsi"/>
        </w:rPr>
      </w:pPr>
      <w:r>
        <w:rPr>
          <w:rFonts w:asciiTheme="minorHAnsi" w:hAnsiTheme="minorHAnsi"/>
        </w:rPr>
        <w:t xml:space="preserve">Interviews were carried out with respondents in their own home and data was collected from </w:t>
      </w:r>
      <w:r w:rsidRPr="00156F04">
        <w:rPr>
          <w:rFonts w:asciiTheme="minorHAnsi" w:hAnsiTheme="minorHAnsi"/>
        </w:rPr>
        <w:t>1 July 2011 to 30 June 2012</w:t>
      </w:r>
      <w:r>
        <w:rPr>
          <w:rFonts w:asciiTheme="minorHAnsi" w:hAnsiTheme="minorHAnsi"/>
        </w:rPr>
        <w:t xml:space="preserve">.  Interviews were completed by trained surveyors from CBG Health Research Ltd, who used </w:t>
      </w:r>
      <w:r w:rsidRPr="00156F04">
        <w:rPr>
          <w:rFonts w:asciiTheme="minorHAnsi" w:hAnsiTheme="minorHAnsi"/>
        </w:rPr>
        <w:t>computer assisted personal interview (CAPI) software</w:t>
      </w:r>
      <w:r>
        <w:rPr>
          <w:rFonts w:asciiTheme="minorHAnsi" w:hAnsiTheme="minorHAnsi"/>
        </w:rPr>
        <w:t xml:space="preserve"> and typed responses directly into a laptop computer</w:t>
      </w:r>
      <w:r w:rsidR="00CE0E04">
        <w:rPr>
          <w:rFonts w:asciiTheme="minorHAnsi" w:hAnsiTheme="minorHAnsi"/>
        </w:rPr>
        <w:t xml:space="preserve"> </w:t>
      </w:r>
      <w:r w:rsidR="00CE0E04">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Health&lt;/Author&gt;&lt;Year&gt;2012&lt;/Year&gt;&lt;RecNum&gt;929&lt;/RecNum&gt;&lt;DisplayText&gt;(Ministry of Health, 2012b)&lt;/DisplayText&gt;&lt;record&gt;&lt;rec-number&gt;929&lt;/rec-number&gt;&lt;foreign-keys&gt;&lt;key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sidR="00CE0E04">
        <w:rPr>
          <w:rFonts w:asciiTheme="minorHAnsi" w:hAnsiTheme="minorHAnsi"/>
        </w:rPr>
        <w:fldChar w:fldCharType="separate"/>
      </w:r>
      <w:r w:rsidR="00CE0E04">
        <w:rPr>
          <w:rFonts w:asciiTheme="minorHAnsi" w:hAnsiTheme="minorHAnsi"/>
          <w:noProof/>
        </w:rPr>
        <w:t>(</w:t>
      </w:r>
      <w:hyperlink w:anchor="_ENREF_41" w:tooltip="Ministry of Health, 2012 #929" w:history="1">
        <w:r w:rsidR="00765F46">
          <w:rPr>
            <w:rFonts w:asciiTheme="minorHAnsi" w:hAnsiTheme="minorHAnsi"/>
            <w:noProof/>
          </w:rPr>
          <w:t>Ministry of Health, 2012b</w:t>
        </w:r>
      </w:hyperlink>
      <w:r w:rsidR="00CE0E04">
        <w:rPr>
          <w:rFonts w:asciiTheme="minorHAnsi" w:hAnsiTheme="minorHAnsi"/>
          <w:noProof/>
        </w:rPr>
        <w:t>)</w:t>
      </w:r>
      <w:r w:rsidR="00CE0E04">
        <w:rPr>
          <w:rFonts w:asciiTheme="minorHAnsi" w:hAnsiTheme="minorHAnsi"/>
        </w:rPr>
        <w:fldChar w:fldCharType="end"/>
      </w:r>
      <w:r>
        <w:rPr>
          <w:rFonts w:asciiTheme="minorHAnsi" w:hAnsiTheme="minorHAnsi"/>
        </w:rPr>
        <w:t xml:space="preserve">. </w:t>
      </w:r>
      <w:r w:rsidR="00301F0D">
        <w:rPr>
          <w:rFonts w:asciiTheme="minorHAnsi" w:hAnsiTheme="minorHAnsi"/>
        </w:rPr>
        <w:t xml:space="preserve"> </w:t>
      </w:r>
    </w:p>
    <w:p w14:paraId="6B241B8F" w14:textId="77777777" w:rsidR="00995EA9" w:rsidRDefault="00122D86" w:rsidP="00F061EF">
      <w:pPr>
        <w:pStyle w:val="Heading3"/>
      </w:pPr>
      <w:bookmarkStart w:id="27" w:name="_Toc403833148"/>
      <w:r w:rsidRPr="005254AB">
        <w:t>Interpretation of results</w:t>
      </w:r>
      <w:bookmarkEnd w:id="27"/>
    </w:p>
    <w:p w14:paraId="63421AC2" w14:textId="77777777" w:rsidR="005B5771" w:rsidRPr="005B5771" w:rsidRDefault="005B5771" w:rsidP="005B5771">
      <w:pPr>
        <w:rPr>
          <w:rFonts w:asciiTheme="minorHAnsi" w:hAnsiTheme="minorHAnsi"/>
        </w:rPr>
      </w:pPr>
      <w:r w:rsidRPr="005B5771">
        <w:rPr>
          <w:rFonts w:asciiTheme="minorHAnsi" w:hAnsiTheme="minorHAnsi"/>
        </w:rPr>
        <w:t xml:space="preserve">This section provides guidance on how to interpret the results presented in this report and an overview of the statistical methods that were employed in analysing the </w:t>
      </w:r>
      <w:r w:rsidR="006D0314">
        <w:rPr>
          <w:rFonts w:asciiTheme="minorHAnsi" w:hAnsiTheme="minorHAnsi"/>
        </w:rPr>
        <w:t xml:space="preserve">2011/12 </w:t>
      </w:r>
      <w:r w:rsidRPr="005B5771">
        <w:rPr>
          <w:rFonts w:asciiTheme="minorHAnsi" w:hAnsiTheme="minorHAnsi"/>
        </w:rPr>
        <w:t xml:space="preserve">NZHS gambling and problem gambling data. </w:t>
      </w:r>
    </w:p>
    <w:p w14:paraId="7A096E32" w14:textId="77777777" w:rsidR="000862FA" w:rsidRPr="000862FA" w:rsidRDefault="000862FA" w:rsidP="00122D86">
      <w:pPr>
        <w:pStyle w:val="Heading4"/>
      </w:pPr>
      <w:r>
        <w:t>95% confidence intervals and s</w:t>
      </w:r>
      <w:r w:rsidRPr="000862FA">
        <w:t>tatistical significance</w:t>
      </w:r>
    </w:p>
    <w:p w14:paraId="56D57FAE" w14:textId="77777777" w:rsidR="00D836B4" w:rsidRDefault="000862FA" w:rsidP="002E03BE">
      <w:pPr>
        <w:rPr>
          <w:rFonts w:asciiTheme="minorHAnsi" w:hAnsiTheme="minorHAnsi"/>
        </w:rPr>
      </w:pPr>
      <w:r w:rsidRPr="000862FA">
        <w:rPr>
          <w:rFonts w:asciiTheme="minorHAnsi" w:hAnsiTheme="minorHAnsi"/>
        </w:rPr>
        <w:t>The results in this report are frequently provided in the form of prevalence estimates (i.e. weighted percentages</w:t>
      </w:r>
      <w:r w:rsidR="00B54BB2">
        <w:rPr>
          <w:rFonts w:asciiTheme="minorHAnsi" w:hAnsiTheme="minorHAnsi"/>
        </w:rPr>
        <w:t xml:space="preserve"> -</w:t>
      </w:r>
      <w:r w:rsidRPr="000862FA">
        <w:rPr>
          <w:rFonts w:asciiTheme="minorHAnsi" w:hAnsiTheme="minorHAnsi"/>
        </w:rPr>
        <w:t xml:space="preserve"> ‘%’) and 95% confidence intervals (‘95% CI’)</w:t>
      </w:r>
      <w:r>
        <w:rPr>
          <w:rFonts w:asciiTheme="minorHAnsi" w:hAnsiTheme="minorHAnsi"/>
        </w:rPr>
        <w:t xml:space="preserve">. </w:t>
      </w:r>
      <w:r w:rsidR="00062A52">
        <w:rPr>
          <w:rFonts w:asciiTheme="minorHAnsi" w:hAnsiTheme="minorHAnsi"/>
        </w:rPr>
        <w:t xml:space="preserve"> 95% confidence intervals provide an indication of the accuracy of a prevalence estimate by providing a range in which we are relatively confident that the true value lies</w:t>
      </w:r>
      <w:r w:rsidR="00804119">
        <w:rPr>
          <w:rFonts w:asciiTheme="minorHAnsi" w:hAnsiTheme="minorHAnsi"/>
        </w:rPr>
        <w:t xml:space="preserve"> (i.e. the ‘true’ value for the population lies within this range 95% of the time). </w:t>
      </w:r>
      <w:r w:rsidR="00CA126B">
        <w:rPr>
          <w:rFonts w:asciiTheme="minorHAnsi" w:hAnsiTheme="minorHAnsi"/>
        </w:rPr>
        <w:t xml:space="preserve"> A wide confidence interval is indicative of more uncertainty than a narrow interval.  In general, when confidence intervals overlap for different groups (e.g. for different age-brackets) it is </w:t>
      </w:r>
      <w:r w:rsidR="00704AF5">
        <w:rPr>
          <w:rFonts w:asciiTheme="minorHAnsi" w:hAnsiTheme="minorHAnsi"/>
        </w:rPr>
        <w:t>un</w:t>
      </w:r>
      <w:r w:rsidR="00CA126B">
        <w:rPr>
          <w:rFonts w:asciiTheme="minorHAnsi" w:hAnsiTheme="minorHAnsi"/>
        </w:rPr>
        <w:t>likely</w:t>
      </w:r>
      <w:r w:rsidR="00704AF5">
        <w:rPr>
          <w:rFonts w:asciiTheme="minorHAnsi" w:hAnsiTheme="minorHAnsi"/>
        </w:rPr>
        <w:t>, although still possible,</w:t>
      </w:r>
      <w:r w:rsidR="00CA126B">
        <w:rPr>
          <w:rFonts w:asciiTheme="minorHAnsi" w:hAnsiTheme="minorHAnsi"/>
        </w:rPr>
        <w:t xml:space="preserve"> that a statistically significant difference exists.  </w:t>
      </w:r>
    </w:p>
    <w:p w14:paraId="57901871" w14:textId="77777777" w:rsidR="003600D5" w:rsidRDefault="003600D5" w:rsidP="00122D86">
      <w:pPr>
        <w:pStyle w:val="Heading4"/>
      </w:pPr>
      <w:r>
        <w:t>Logistic regressions and odds ratios</w:t>
      </w:r>
    </w:p>
    <w:p w14:paraId="4E0685E9" w14:textId="77777777" w:rsidR="001B332F" w:rsidRDefault="00D836B4" w:rsidP="002E03BE">
      <w:pPr>
        <w:rPr>
          <w:rFonts w:asciiTheme="minorHAnsi" w:hAnsiTheme="minorHAnsi"/>
        </w:rPr>
      </w:pPr>
      <w:r>
        <w:rPr>
          <w:rFonts w:asciiTheme="minorHAnsi" w:hAnsiTheme="minorHAnsi"/>
        </w:rPr>
        <w:t xml:space="preserve">Logistic regression models were used to investigate associations and confirm statistical significance between gambling and a number of key items.  Where applicable, these analyses controlled for demographic variables </w:t>
      </w:r>
      <w:r>
        <w:rPr>
          <w:rFonts w:asciiTheme="minorHAnsi" w:hAnsiTheme="minorHAnsi"/>
        </w:rPr>
        <w:lastRenderedPageBreak/>
        <w:t>(</w:t>
      </w:r>
      <w:r w:rsidR="00A04B05">
        <w:rPr>
          <w:rFonts w:asciiTheme="minorHAnsi" w:hAnsiTheme="minorHAnsi"/>
        </w:rPr>
        <w:t>gender</w:t>
      </w:r>
      <w:r>
        <w:rPr>
          <w:rFonts w:asciiTheme="minorHAnsi" w:hAnsiTheme="minorHAnsi"/>
        </w:rPr>
        <w:t xml:space="preserve">, age-group, ethnicity, deprivation, geography) that may confound or influence the association. </w:t>
      </w:r>
      <w:r w:rsidR="001B332F">
        <w:rPr>
          <w:rFonts w:asciiTheme="minorHAnsi" w:hAnsiTheme="minorHAnsi"/>
        </w:rPr>
        <w:t xml:space="preserve"> </w:t>
      </w:r>
      <w:r>
        <w:rPr>
          <w:rFonts w:asciiTheme="minorHAnsi" w:hAnsiTheme="minorHAnsi"/>
        </w:rPr>
        <w:t>A</w:t>
      </w:r>
      <w:r w:rsidR="00CA126B">
        <w:rPr>
          <w:rFonts w:asciiTheme="minorHAnsi" w:hAnsiTheme="minorHAnsi"/>
        </w:rPr>
        <w:t xml:space="preserve">ny significant differences have been </w:t>
      </w:r>
      <w:r w:rsidR="00704AF5">
        <w:rPr>
          <w:rFonts w:asciiTheme="minorHAnsi" w:hAnsiTheme="minorHAnsi"/>
        </w:rPr>
        <w:t>reported in the text and referred to as ‘significant’ throughout this report</w:t>
      </w:r>
      <w:r w:rsidR="00CA126B">
        <w:rPr>
          <w:rFonts w:asciiTheme="minorHAnsi" w:hAnsiTheme="minorHAnsi"/>
        </w:rPr>
        <w:t xml:space="preserve">. </w:t>
      </w:r>
      <w:r w:rsidR="00B8759D">
        <w:rPr>
          <w:rFonts w:asciiTheme="minorHAnsi" w:hAnsiTheme="minorHAnsi"/>
        </w:rPr>
        <w:t xml:space="preserve"> Statistical significance is measured at the 5% significance level (i.e. p-value</w:t>
      </w:r>
      <w:r w:rsidR="00E46DB8">
        <w:rPr>
          <w:rFonts w:asciiTheme="minorHAnsi" w:hAnsiTheme="minorHAnsi"/>
        </w:rPr>
        <w:t xml:space="preserve"> of</w:t>
      </w:r>
      <w:r w:rsidR="00B8759D">
        <w:rPr>
          <w:rFonts w:asciiTheme="minorHAnsi" w:hAnsiTheme="minorHAnsi"/>
        </w:rPr>
        <w:t xml:space="preserve"> less than 0.05)</w:t>
      </w:r>
      <w:r w:rsidR="00E46DB8">
        <w:rPr>
          <w:rFonts w:asciiTheme="minorHAnsi" w:hAnsiTheme="minorHAnsi"/>
        </w:rPr>
        <w:t xml:space="preserve">. </w:t>
      </w:r>
      <w:r>
        <w:rPr>
          <w:rFonts w:asciiTheme="minorHAnsi" w:hAnsiTheme="minorHAnsi"/>
        </w:rPr>
        <w:t xml:space="preserve"> A number of results are also reported as odds ratios. </w:t>
      </w:r>
      <w:r w:rsidR="003600D5">
        <w:rPr>
          <w:rFonts w:asciiTheme="minorHAnsi" w:hAnsiTheme="minorHAnsi"/>
        </w:rPr>
        <w:t xml:space="preserve"> In this report, </w:t>
      </w:r>
      <w:r w:rsidR="00AD4B39">
        <w:rPr>
          <w:rFonts w:asciiTheme="minorHAnsi" w:hAnsiTheme="minorHAnsi"/>
        </w:rPr>
        <w:t>odds</w:t>
      </w:r>
      <w:r w:rsidR="001B332F">
        <w:rPr>
          <w:rFonts w:asciiTheme="minorHAnsi" w:hAnsiTheme="minorHAnsi"/>
        </w:rPr>
        <w:t xml:space="preserve"> ratios provide a guide as to </w:t>
      </w:r>
      <w:r w:rsidR="003600D5">
        <w:rPr>
          <w:rFonts w:asciiTheme="minorHAnsi" w:hAnsiTheme="minorHAnsi"/>
        </w:rPr>
        <w:t xml:space="preserve">how likely different groups (e.g. males and females) are to experience </w:t>
      </w:r>
      <w:r w:rsidR="001B332F">
        <w:rPr>
          <w:rFonts w:asciiTheme="minorHAnsi" w:hAnsiTheme="minorHAnsi"/>
        </w:rPr>
        <w:t>an issue (e.g. problem gambling).  A ref</w:t>
      </w:r>
      <w:r w:rsidR="00AD4B39">
        <w:rPr>
          <w:rFonts w:asciiTheme="minorHAnsi" w:hAnsiTheme="minorHAnsi"/>
        </w:rPr>
        <w:t xml:space="preserve">erence group is assigned with </w:t>
      </w:r>
      <w:r w:rsidR="00004C86">
        <w:rPr>
          <w:rFonts w:asciiTheme="minorHAnsi" w:hAnsiTheme="minorHAnsi"/>
        </w:rPr>
        <w:t>an</w:t>
      </w:r>
      <w:r w:rsidR="00AD4B39">
        <w:rPr>
          <w:rFonts w:asciiTheme="minorHAnsi" w:hAnsiTheme="minorHAnsi"/>
        </w:rPr>
        <w:t xml:space="preserve"> odds </w:t>
      </w:r>
      <w:r w:rsidR="001B332F">
        <w:rPr>
          <w:rFonts w:asciiTheme="minorHAnsi" w:hAnsiTheme="minorHAnsi"/>
        </w:rPr>
        <w:t xml:space="preserve">ratio of one, and the </w:t>
      </w:r>
      <w:r w:rsidR="00AD4B39">
        <w:rPr>
          <w:rFonts w:asciiTheme="minorHAnsi" w:hAnsiTheme="minorHAnsi"/>
        </w:rPr>
        <w:t>odds</w:t>
      </w:r>
      <w:r w:rsidR="001B332F">
        <w:rPr>
          <w:rFonts w:asciiTheme="minorHAnsi" w:hAnsiTheme="minorHAnsi"/>
        </w:rPr>
        <w:t xml:space="preserve"> ratio for the other groups indicates if they are more or less likely to have this issue.  </w:t>
      </w:r>
      <w:r w:rsidR="00AD4B39">
        <w:rPr>
          <w:rFonts w:asciiTheme="minorHAnsi" w:hAnsiTheme="minorHAnsi"/>
        </w:rPr>
        <w:t>Odds</w:t>
      </w:r>
      <w:r w:rsidR="001B332F">
        <w:rPr>
          <w:rFonts w:asciiTheme="minorHAnsi" w:hAnsiTheme="minorHAnsi"/>
        </w:rPr>
        <w:t xml:space="preserve"> ratios of more than one indicate a greater likelihood and </w:t>
      </w:r>
      <w:r w:rsidR="00AD4B39">
        <w:rPr>
          <w:rFonts w:asciiTheme="minorHAnsi" w:hAnsiTheme="minorHAnsi"/>
        </w:rPr>
        <w:t>odds</w:t>
      </w:r>
      <w:r w:rsidR="001B332F">
        <w:rPr>
          <w:rFonts w:asciiTheme="minorHAnsi" w:hAnsiTheme="minorHAnsi"/>
        </w:rPr>
        <w:t xml:space="preserve"> ratios of less than one indicate a lesser likelihood. </w:t>
      </w:r>
    </w:p>
    <w:p w14:paraId="6B4C13D5" w14:textId="77777777" w:rsidR="00423312" w:rsidRDefault="00E31A11" w:rsidP="00122D86">
      <w:pPr>
        <w:pStyle w:val="Heading4"/>
      </w:pPr>
      <w:r>
        <w:t xml:space="preserve">Population </w:t>
      </w:r>
      <w:r w:rsidR="00423312">
        <w:t>estimates</w:t>
      </w:r>
    </w:p>
    <w:p w14:paraId="60A1CA90" w14:textId="77777777" w:rsidR="00E31A11" w:rsidRDefault="00E31A11" w:rsidP="00E31A11">
      <w:pPr>
        <w:rPr>
          <w:rFonts w:asciiTheme="minorHAnsi" w:hAnsiTheme="minorHAnsi"/>
        </w:rPr>
      </w:pPr>
      <w:r w:rsidRPr="00E31A11">
        <w:rPr>
          <w:rFonts w:asciiTheme="minorHAnsi" w:hAnsiTheme="minorHAnsi"/>
        </w:rPr>
        <w:t xml:space="preserve">Population estimates </w:t>
      </w:r>
      <w:r>
        <w:rPr>
          <w:rFonts w:asciiTheme="minorHAnsi" w:hAnsiTheme="minorHAnsi"/>
        </w:rPr>
        <w:t xml:space="preserve">(e.g. </w:t>
      </w:r>
      <w:r w:rsidRPr="00E31A11">
        <w:rPr>
          <w:rFonts w:asciiTheme="minorHAnsi" w:hAnsiTheme="minorHAnsi"/>
        </w:rPr>
        <w:t>1,850,000 adults</w:t>
      </w:r>
      <w:r>
        <w:rPr>
          <w:rFonts w:asciiTheme="minorHAnsi" w:hAnsiTheme="minorHAnsi"/>
        </w:rPr>
        <w:t xml:space="preserve">) </w:t>
      </w:r>
      <w:r w:rsidRPr="00E31A11">
        <w:rPr>
          <w:rFonts w:asciiTheme="minorHAnsi" w:hAnsiTheme="minorHAnsi"/>
        </w:rPr>
        <w:t>have been presented for some results</w:t>
      </w:r>
      <w:r>
        <w:rPr>
          <w:rFonts w:asciiTheme="minorHAnsi" w:hAnsiTheme="minorHAnsi"/>
        </w:rPr>
        <w:t xml:space="preserve">.  These estimates reflect the number of people </w:t>
      </w:r>
      <w:r w:rsidR="003A342D">
        <w:rPr>
          <w:rFonts w:asciiTheme="minorHAnsi" w:hAnsiTheme="minorHAnsi"/>
        </w:rPr>
        <w:t xml:space="preserve">affected by a certain issue in the total adult population of New Zealand.  These estimates relate to the usually resident population of New Zealand (as defined previously) and were calculated </w:t>
      </w:r>
      <w:r w:rsidR="00B325A1" w:rsidRPr="00B325A1">
        <w:rPr>
          <w:rFonts w:asciiTheme="minorHAnsi" w:hAnsiTheme="minorHAnsi"/>
        </w:rPr>
        <w:t>using New Zealand 2006 Census data.</w:t>
      </w:r>
    </w:p>
    <w:p w14:paraId="39E4DDA4" w14:textId="77777777" w:rsidR="00CE395B" w:rsidRDefault="00CE395B" w:rsidP="00CE395B">
      <w:pPr>
        <w:pStyle w:val="Heading4"/>
      </w:pPr>
      <w:r>
        <w:t>Age standardisation</w:t>
      </w:r>
    </w:p>
    <w:p w14:paraId="49518236" w14:textId="5474C15B" w:rsidR="003409DA" w:rsidRPr="005B5851" w:rsidRDefault="0062430E" w:rsidP="003409DA">
      <w:pPr>
        <w:rPr>
          <w:rFonts w:asciiTheme="minorHAnsi" w:hAnsiTheme="minorHAnsi"/>
        </w:rPr>
      </w:pPr>
      <w:r>
        <w:rPr>
          <w:rFonts w:asciiTheme="minorHAnsi" w:hAnsiTheme="minorHAnsi"/>
        </w:rPr>
        <w:t xml:space="preserve">This report presents unadjusted rates for prevalence estimates of age, gender, neighbourhood deprivation and geographic location. </w:t>
      </w:r>
      <w:r w:rsidR="004D3E48">
        <w:rPr>
          <w:rFonts w:asciiTheme="minorHAnsi" w:hAnsiTheme="minorHAnsi"/>
        </w:rPr>
        <w:t xml:space="preserve"> However, age is an important determinant of health status, so populations with different age structures (e.g. Pacific and European/Other) may have different </w:t>
      </w:r>
      <w:r w:rsidR="00B8279F">
        <w:rPr>
          <w:rFonts w:asciiTheme="minorHAnsi" w:hAnsiTheme="minorHAnsi"/>
        </w:rPr>
        <w:t xml:space="preserve">rates due to age differences. </w:t>
      </w:r>
      <w:r w:rsidR="00F12CD2">
        <w:rPr>
          <w:rFonts w:asciiTheme="minorHAnsi" w:hAnsiTheme="minorHAnsi"/>
        </w:rPr>
        <w:t xml:space="preserve"> To adjust for the effects of any age differences, p</w:t>
      </w:r>
      <w:r w:rsidR="00F12CD2" w:rsidRPr="00CE395B">
        <w:rPr>
          <w:rFonts w:asciiTheme="minorHAnsi" w:hAnsiTheme="minorHAnsi"/>
        </w:rPr>
        <w:t xml:space="preserve">ercentages and 95% confidence intervals have been age-standardised in accordance with World Health Organisation (WHO) age population distributions </w:t>
      </w:r>
      <w:r w:rsidR="00F12CD2" w:rsidRPr="005B5851">
        <w:rPr>
          <w:rFonts w:asciiTheme="minorHAnsi" w:hAnsiTheme="minorHAnsi"/>
        </w:rPr>
        <w:fldChar w:fldCharType="begin"/>
      </w:r>
      <w:r w:rsidR="00A34C5E" w:rsidRPr="005B5851">
        <w:rPr>
          <w:rFonts w:asciiTheme="minorHAnsi" w:hAnsiTheme="minorHAnsi"/>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F12CD2" w:rsidRPr="005B5851">
        <w:rPr>
          <w:rFonts w:asciiTheme="minorHAnsi" w:hAnsiTheme="minorHAnsi"/>
        </w:rPr>
        <w:fldChar w:fldCharType="separate"/>
      </w:r>
      <w:r w:rsidR="00F12CD2" w:rsidRPr="005B5851">
        <w:rPr>
          <w:rFonts w:asciiTheme="minorHAnsi" w:hAnsiTheme="minorHAnsi"/>
          <w:noProof/>
        </w:rPr>
        <w:t>(</w:t>
      </w:r>
      <w:hyperlink w:anchor="_ENREF_10" w:tooltip="Ahmad, 2001 #912" w:history="1">
        <w:r w:rsidR="00765F46" w:rsidRPr="005B5851">
          <w:rPr>
            <w:rFonts w:asciiTheme="minorHAnsi" w:hAnsiTheme="minorHAnsi"/>
            <w:noProof/>
          </w:rPr>
          <w:t>Ahmad et al., 2001</w:t>
        </w:r>
      </w:hyperlink>
      <w:r w:rsidR="00F12CD2" w:rsidRPr="005B5851">
        <w:rPr>
          <w:rFonts w:asciiTheme="minorHAnsi" w:hAnsiTheme="minorHAnsi"/>
          <w:noProof/>
        </w:rPr>
        <w:t>)</w:t>
      </w:r>
      <w:r w:rsidR="00F12CD2" w:rsidRPr="005B5851">
        <w:rPr>
          <w:rFonts w:asciiTheme="minorHAnsi" w:hAnsiTheme="minorHAnsi"/>
        </w:rPr>
        <w:fldChar w:fldCharType="end"/>
      </w:r>
      <w:r w:rsidR="00F12CD2" w:rsidRPr="005B5851">
        <w:rPr>
          <w:rFonts w:asciiTheme="minorHAnsi" w:hAnsiTheme="minorHAnsi"/>
        </w:rPr>
        <w:t xml:space="preserve">.  Age standardisation has been carried out in relation to ethnicity throughout the report and for analyses relating to changes over time (i.e. comparison of results from the 2002/03, 2006/07 and 2011/12 NZHS). </w:t>
      </w:r>
      <w:r w:rsidR="003409DA" w:rsidRPr="005B5851">
        <w:rPr>
          <w:rFonts w:asciiTheme="minorHAnsi" w:hAnsiTheme="minorHAnsi"/>
        </w:rPr>
        <w:t xml:space="preserve"> As such, some of the 2011/12 NZHS results that are reported in the ‘changes over time’ </w:t>
      </w:r>
      <w:proofErr w:type="gramStart"/>
      <w:r w:rsidR="003409DA" w:rsidRPr="005B5851">
        <w:rPr>
          <w:rFonts w:asciiTheme="minorHAnsi" w:hAnsiTheme="minorHAnsi"/>
        </w:rPr>
        <w:t>sections,</w:t>
      </w:r>
      <w:proofErr w:type="gramEnd"/>
      <w:r w:rsidR="003409DA" w:rsidRPr="005B5851">
        <w:rPr>
          <w:rFonts w:asciiTheme="minorHAnsi" w:hAnsiTheme="minorHAnsi"/>
        </w:rPr>
        <w:t xml:space="preserve"> may differ slightly to those that are specified elsewhere in this report. For example, while it is reported that 52.3% of the adult population had </w:t>
      </w:r>
      <w:r w:rsidR="003409DA" w:rsidRPr="005B5851">
        <w:rPr>
          <w:rFonts w:asciiTheme="minorHAnsi" w:hAnsiTheme="minorHAnsi"/>
        </w:rPr>
        <w:lastRenderedPageBreak/>
        <w:t xml:space="preserve">gambled over the past-year in 2011/12, the </w:t>
      </w:r>
      <w:r w:rsidR="003409DA" w:rsidRPr="005B5851">
        <w:rPr>
          <w:rFonts w:asciiTheme="minorHAnsi" w:hAnsiTheme="minorHAnsi"/>
          <w:i/>
        </w:rPr>
        <w:t>age-adjusted</w:t>
      </w:r>
      <w:r w:rsidR="003409DA" w:rsidRPr="005B5851">
        <w:rPr>
          <w:rFonts w:asciiTheme="minorHAnsi" w:hAnsiTheme="minorHAnsi"/>
        </w:rPr>
        <w:t xml:space="preserve"> rate for past-year gambling in 2011/12 that is reported when comparing trends over time is 45.7%. </w:t>
      </w:r>
    </w:p>
    <w:p w14:paraId="51C43AD0" w14:textId="77777777" w:rsidR="00DE1EE9" w:rsidRPr="005B5851" w:rsidRDefault="00DE1EE9" w:rsidP="00DE1EE9">
      <w:pPr>
        <w:pStyle w:val="Heading4"/>
      </w:pPr>
      <w:r w:rsidRPr="005B5851">
        <w:t>Weighting</w:t>
      </w:r>
    </w:p>
    <w:p w14:paraId="701128DB" w14:textId="77777777" w:rsidR="00DC29D9" w:rsidRPr="005B5851" w:rsidRDefault="004F40E2" w:rsidP="00DC29D9">
      <w:pPr>
        <w:rPr>
          <w:rFonts w:asciiTheme="minorHAnsi" w:hAnsiTheme="minorHAnsi"/>
        </w:rPr>
      </w:pPr>
      <w:r w:rsidRPr="005B5851">
        <w:rPr>
          <w:rFonts w:asciiTheme="minorHAnsi" w:hAnsiTheme="minorHAnsi"/>
        </w:rPr>
        <w:t xml:space="preserve">All of the results presented in this report were subject to statistical weighting </w:t>
      </w:r>
      <w:r w:rsidR="00DC29D9" w:rsidRPr="005B5851">
        <w:rPr>
          <w:rFonts w:asciiTheme="minorHAnsi" w:hAnsiTheme="minorHAnsi"/>
        </w:rPr>
        <w:t xml:space="preserve">to ensure </w:t>
      </w:r>
      <w:r w:rsidRPr="005B5851">
        <w:rPr>
          <w:rFonts w:asciiTheme="minorHAnsi" w:hAnsiTheme="minorHAnsi"/>
        </w:rPr>
        <w:t xml:space="preserve">that they are representative of the total </w:t>
      </w:r>
      <w:r w:rsidR="00AB4C2A" w:rsidRPr="005B5851">
        <w:rPr>
          <w:rFonts w:asciiTheme="minorHAnsi" w:hAnsiTheme="minorHAnsi"/>
        </w:rPr>
        <w:t xml:space="preserve">adult </w:t>
      </w:r>
      <w:r w:rsidRPr="005B5851">
        <w:rPr>
          <w:rFonts w:asciiTheme="minorHAnsi" w:hAnsiTheme="minorHAnsi"/>
        </w:rPr>
        <w:t>population aged 15 years and over</w:t>
      </w:r>
      <w:r w:rsidR="00A245F0" w:rsidRPr="005B5851">
        <w:rPr>
          <w:rFonts w:asciiTheme="minorHAnsi" w:hAnsiTheme="minorHAnsi"/>
        </w:rPr>
        <w:t>: “</w:t>
      </w:r>
      <w:r w:rsidR="00DC29D9" w:rsidRPr="005B5851">
        <w:rPr>
          <w:rFonts w:asciiTheme="minorHAnsi" w:hAnsiTheme="minorHAnsi"/>
        </w:rPr>
        <w:t xml:space="preserve">The NZHS uses the calibrated weighting method to: </w:t>
      </w:r>
    </w:p>
    <w:p w14:paraId="5D595DF5" w14:textId="77777777" w:rsidR="00DC29D9" w:rsidRPr="00DC29D9" w:rsidRDefault="00DC29D9" w:rsidP="00DC29D9">
      <w:pPr>
        <w:ind w:left="993" w:hanging="284"/>
        <w:rPr>
          <w:rFonts w:asciiTheme="minorHAnsi" w:hAnsiTheme="minorHAnsi"/>
        </w:rPr>
      </w:pPr>
      <w:r w:rsidRPr="005B5851">
        <w:rPr>
          <w:rFonts w:asciiTheme="minorHAnsi" w:hAnsiTheme="minorHAnsi"/>
        </w:rPr>
        <w:t xml:space="preserve">• </w:t>
      </w:r>
      <w:r w:rsidRPr="005B5851">
        <w:rPr>
          <w:rFonts w:asciiTheme="minorHAnsi" w:hAnsiTheme="minorHAnsi"/>
        </w:rPr>
        <w:tab/>
        <w:t>reflect</w:t>
      </w:r>
      <w:r w:rsidRPr="00DC29D9">
        <w:rPr>
          <w:rFonts w:asciiTheme="minorHAnsi" w:hAnsiTheme="minorHAnsi"/>
        </w:rPr>
        <w:t xml:space="preserve"> the probabilities of selection of each respondent </w:t>
      </w:r>
    </w:p>
    <w:p w14:paraId="48765858" w14:textId="77777777" w:rsidR="00DC29D9" w:rsidRDefault="00DC29D9" w:rsidP="00DC29D9">
      <w:pPr>
        <w:ind w:left="993" w:hanging="284"/>
        <w:rPr>
          <w:rFonts w:asciiTheme="minorHAnsi" w:hAnsiTheme="minorHAnsi"/>
        </w:rPr>
      </w:pPr>
      <w:r w:rsidRPr="00DC29D9">
        <w:rPr>
          <w:rFonts w:asciiTheme="minorHAnsi" w:hAnsiTheme="minorHAnsi"/>
        </w:rPr>
        <w:t xml:space="preserve">• </w:t>
      </w:r>
      <w:r>
        <w:rPr>
          <w:rFonts w:asciiTheme="minorHAnsi" w:hAnsiTheme="minorHAnsi"/>
        </w:rPr>
        <w:tab/>
      </w:r>
      <w:r w:rsidRPr="00DC29D9">
        <w:rPr>
          <w:rFonts w:asciiTheme="minorHAnsi" w:hAnsiTheme="minorHAnsi"/>
        </w:rPr>
        <w:t>make use of external population benchmarks (typically obtained from a population Census) to correct for any discrepancies between the sample and the population benchmarks. This improves the precision of estimates and re</w:t>
      </w:r>
      <w:r w:rsidR="00AB4C2A">
        <w:rPr>
          <w:rFonts w:asciiTheme="minorHAnsi" w:hAnsiTheme="minorHAnsi"/>
        </w:rPr>
        <w:t>duces bias due to non-response.</w:t>
      </w:r>
      <w:r w:rsidR="00004C86">
        <w:rPr>
          <w:rFonts w:asciiTheme="minorHAnsi" w:hAnsiTheme="minorHAnsi"/>
        </w:rPr>
        <w:t>”</w:t>
      </w:r>
    </w:p>
    <w:p w14:paraId="7F2807B9" w14:textId="35938ACE" w:rsidR="00DC29D9" w:rsidRPr="00DC29D9" w:rsidRDefault="00DC29D9" w:rsidP="00DC29D9">
      <w:pPr>
        <w:ind w:left="993" w:hanging="284"/>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Health&lt;/Author&gt;&lt;Year&gt;2012&lt;/Year&gt;&lt;RecNum&gt;929&lt;/RecNum&gt;&lt;Suffix&gt;`, p.13&lt;/Suffix&gt;&lt;DisplayText&gt;(Ministry of Health, 2012b, p.13)&lt;/DisplayText&gt;&lt;record&gt;&lt;rec-number&gt;929&lt;/rec-number&gt;&lt;foreign-keys&gt;&lt;key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41" w:tooltip="Ministry of Health, 2012 #929" w:history="1">
        <w:r w:rsidR="00765F46">
          <w:rPr>
            <w:rFonts w:asciiTheme="minorHAnsi" w:hAnsiTheme="minorHAnsi"/>
            <w:noProof/>
          </w:rPr>
          <w:t>Ministry of Health, 2012b, p.13</w:t>
        </w:r>
      </w:hyperlink>
      <w:r>
        <w:rPr>
          <w:rFonts w:asciiTheme="minorHAnsi" w:hAnsiTheme="minorHAnsi"/>
          <w:noProof/>
        </w:rPr>
        <w:t>)</w:t>
      </w:r>
      <w:r>
        <w:rPr>
          <w:rFonts w:asciiTheme="minorHAnsi" w:hAnsiTheme="minorHAnsi"/>
        </w:rPr>
        <w:fldChar w:fldCharType="end"/>
      </w:r>
    </w:p>
    <w:p w14:paraId="3DBD49A8" w14:textId="601CFDD9" w:rsidR="00DD04BC" w:rsidRDefault="00DC29D9" w:rsidP="00DC29D9">
      <w:pPr>
        <w:rPr>
          <w:rFonts w:asciiTheme="minorHAnsi" w:hAnsiTheme="minorHAnsi"/>
        </w:rPr>
      </w:pPr>
      <w:r>
        <w:rPr>
          <w:rFonts w:asciiTheme="minorHAnsi" w:hAnsiTheme="minorHAnsi"/>
        </w:rPr>
        <w:t xml:space="preserve">A comprehensive description of the weighting procedures developed for use with the NZHS is available in the Methodology report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Health&lt;/Author&gt;&lt;Year&gt;2012&lt;/Year&gt;&lt;RecNum&gt;929&lt;/RecNum&gt;&lt;DisplayText&gt;(Ministry of Health, 2012b)&lt;/DisplayText&gt;&lt;record&gt;&lt;rec-number&gt;929&lt;/rec-number&gt;&lt;foreign-keys&gt;&lt;key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41" w:tooltip="Ministry of Health, 2012 #929" w:history="1">
        <w:r w:rsidR="00765F46">
          <w:rPr>
            <w:rFonts w:asciiTheme="minorHAnsi" w:hAnsiTheme="minorHAnsi"/>
            <w:noProof/>
          </w:rPr>
          <w:t>Ministry of Health, 2012b</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p>
    <w:p w14:paraId="21BF78D7" w14:textId="77777777" w:rsidR="00DF47C4" w:rsidRDefault="00DF47C4" w:rsidP="00DF47C4">
      <w:pPr>
        <w:pStyle w:val="Heading4"/>
      </w:pPr>
      <w:r>
        <w:t>Small numbers</w:t>
      </w:r>
    </w:p>
    <w:p w14:paraId="498B9C88" w14:textId="77777777" w:rsidR="000A6F54" w:rsidRDefault="00936FF5" w:rsidP="00DC29D9">
      <w:pPr>
        <w:rPr>
          <w:rFonts w:asciiTheme="minorHAnsi" w:hAnsiTheme="minorHAnsi"/>
        </w:rPr>
      </w:pPr>
      <w:r w:rsidRPr="00936FF5">
        <w:rPr>
          <w:rFonts w:asciiTheme="minorHAnsi" w:hAnsiTheme="minorHAnsi"/>
        </w:rPr>
        <w:t xml:space="preserve">In accordance with the requirements of </w:t>
      </w:r>
      <w:r w:rsidRPr="0037440F">
        <w:rPr>
          <w:rFonts w:ascii="Calibri" w:hAnsi="Calibri"/>
          <w:szCs w:val="22"/>
        </w:rPr>
        <w:t>Statistics New Zealand</w:t>
      </w:r>
      <w:r w:rsidRPr="00936FF5">
        <w:rPr>
          <w:rFonts w:asciiTheme="minorHAnsi" w:hAnsiTheme="minorHAnsi"/>
        </w:rPr>
        <w:t xml:space="preserve"> </w:t>
      </w:r>
      <w:proofErr w:type="spellStart"/>
      <w:r>
        <w:rPr>
          <w:rFonts w:ascii="Calibri" w:hAnsi="Calibri"/>
          <w:szCs w:val="22"/>
        </w:rPr>
        <w:t>Confidentialised</w:t>
      </w:r>
      <w:proofErr w:type="spellEnd"/>
      <w:r>
        <w:rPr>
          <w:rFonts w:ascii="Calibri" w:hAnsi="Calibri"/>
          <w:szCs w:val="22"/>
        </w:rPr>
        <w:t xml:space="preserve"> Unit Record File (CURF) process</w:t>
      </w:r>
      <w:r w:rsidRPr="00936FF5">
        <w:rPr>
          <w:rFonts w:asciiTheme="minorHAnsi" w:hAnsiTheme="minorHAnsi"/>
        </w:rPr>
        <w:t xml:space="preserve">, results with denominators/cell-sizes of </w:t>
      </w:r>
      <w:r w:rsidR="00425158">
        <w:rPr>
          <w:rFonts w:asciiTheme="minorHAnsi" w:hAnsiTheme="minorHAnsi"/>
        </w:rPr>
        <w:t>‘</w:t>
      </w:r>
      <w:r w:rsidRPr="00936FF5">
        <w:rPr>
          <w:rFonts w:asciiTheme="minorHAnsi" w:hAnsiTheme="minorHAnsi"/>
        </w:rPr>
        <w:t>30 or less</w:t>
      </w:r>
      <w:r w:rsidR="00425158">
        <w:rPr>
          <w:rFonts w:asciiTheme="minorHAnsi" w:hAnsiTheme="minorHAnsi"/>
        </w:rPr>
        <w:t>’</w:t>
      </w:r>
      <w:r w:rsidRPr="00936FF5">
        <w:rPr>
          <w:rFonts w:asciiTheme="minorHAnsi" w:hAnsiTheme="minorHAnsi"/>
        </w:rPr>
        <w:t xml:space="preserve"> have been supressed throughout this report.</w:t>
      </w:r>
      <w:r>
        <w:rPr>
          <w:rFonts w:asciiTheme="minorHAnsi" w:hAnsiTheme="minorHAnsi"/>
        </w:rPr>
        <w:t xml:space="preserve">  </w:t>
      </w:r>
      <w:r w:rsidR="000A6F54">
        <w:rPr>
          <w:rFonts w:asciiTheme="minorHAnsi" w:hAnsiTheme="minorHAnsi"/>
        </w:rPr>
        <w:t xml:space="preserve">This has been signified by the following entries in results tables: ‘&lt;30’ </w:t>
      </w:r>
      <w:r w:rsidR="00425158">
        <w:rPr>
          <w:rFonts w:asciiTheme="minorHAnsi" w:hAnsiTheme="minorHAnsi"/>
        </w:rPr>
        <w:t xml:space="preserve">in the column titled </w:t>
      </w:r>
      <w:r w:rsidR="000A6F54">
        <w:rPr>
          <w:rFonts w:asciiTheme="minorHAnsi" w:hAnsiTheme="minorHAnsi"/>
        </w:rPr>
        <w:t>‘n’</w:t>
      </w:r>
      <w:r w:rsidR="00BE629A">
        <w:rPr>
          <w:rFonts w:asciiTheme="minorHAnsi" w:hAnsiTheme="minorHAnsi"/>
        </w:rPr>
        <w:t>,</w:t>
      </w:r>
      <w:r w:rsidR="000A6F54">
        <w:rPr>
          <w:rFonts w:asciiTheme="minorHAnsi" w:hAnsiTheme="minorHAnsi"/>
        </w:rPr>
        <w:t xml:space="preserve"> and ‘-</w:t>
      </w:r>
      <w:proofErr w:type="gramStart"/>
      <w:r w:rsidR="000A6F54">
        <w:rPr>
          <w:rFonts w:asciiTheme="minorHAnsi" w:hAnsiTheme="minorHAnsi"/>
        </w:rPr>
        <w:t xml:space="preserve">‘ </w:t>
      </w:r>
      <w:r w:rsidR="00425158">
        <w:rPr>
          <w:rFonts w:asciiTheme="minorHAnsi" w:hAnsiTheme="minorHAnsi"/>
        </w:rPr>
        <w:t>in</w:t>
      </w:r>
      <w:proofErr w:type="gramEnd"/>
      <w:r w:rsidR="00425158">
        <w:rPr>
          <w:rFonts w:asciiTheme="minorHAnsi" w:hAnsiTheme="minorHAnsi"/>
        </w:rPr>
        <w:t xml:space="preserve"> the column titled </w:t>
      </w:r>
      <w:r w:rsidR="00BE629A">
        <w:rPr>
          <w:rFonts w:asciiTheme="minorHAnsi" w:hAnsiTheme="minorHAnsi"/>
        </w:rPr>
        <w:t>‘% (95%CI)’</w:t>
      </w:r>
      <w:r w:rsidR="000A6F54">
        <w:rPr>
          <w:rFonts w:asciiTheme="minorHAnsi" w:hAnsiTheme="minorHAnsi"/>
        </w:rPr>
        <w:t xml:space="preserve">. </w:t>
      </w:r>
    </w:p>
    <w:p w14:paraId="0C00F1BD" w14:textId="77777777" w:rsidR="00AB4C2A" w:rsidRPr="00CA35D7" w:rsidRDefault="005254AB" w:rsidP="00F061EF">
      <w:pPr>
        <w:pStyle w:val="Heading3"/>
      </w:pPr>
      <w:bookmarkStart w:id="28" w:name="_Toc403833149"/>
      <w:r w:rsidRPr="00CA35D7">
        <w:t>Definitions</w:t>
      </w:r>
      <w:bookmarkEnd w:id="28"/>
    </w:p>
    <w:p w14:paraId="1B469B75" w14:textId="77777777" w:rsidR="0062430E" w:rsidRDefault="00474C81" w:rsidP="00423312">
      <w:pPr>
        <w:rPr>
          <w:rFonts w:asciiTheme="minorHAnsi" w:hAnsiTheme="minorHAnsi"/>
        </w:rPr>
      </w:pPr>
      <w:r>
        <w:rPr>
          <w:rFonts w:asciiTheme="minorHAnsi" w:hAnsiTheme="minorHAnsi"/>
        </w:rPr>
        <w:t>The following section provides information on the measurement</w:t>
      </w:r>
      <w:r w:rsidR="00D716C9">
        <w:rPr>
          <w:rFonts w:asciiTheme="minorHAnsi" w:hAnsiTheme="minorHAnsi"/>
        </w:rPr>
        <w:t>s</w:t>
      </w:r>
      <w:r>
        <w:rPr>
          <w:rFonts w:asciiTheme="minorHAnsi" w:hAnsiTheme="minorHAnsi"/>
        </w:rPr>
        <w:t xml:space="preserve"> and definitions employed for ethnicity, neighbourhood deprivation, gender and problem gambling. </w:t>
      </w:r>
    </w:p>
    <w:p w14:paraId="7EC68907" w14:textId="77777777" w:rsidR="005254AB" w:rsidRDefault="005254AB" w:rsidP="005254AB">
      <w:pPr>
        <w:pStyle w:val="Heading4"/>
      </w:pPr>
      <w:r>
        <w:lastRenderedPageBreak/>
        <w:t>Ethnicity</w:t>
      </w:r>
    </w:p>
    <w:p w14:paraId="2183D438" w14:textId="674B6B6B" w:rsidR="007A2FE1" w:rsidRPr="00CE395B" w:rsidRDefault="000B44D1" w:rsidP="007A2FE1">
      <w:pPr>
        <w:rPr>
          <w:rFonts w:asciiTheme="minorHAnsi" w:hAnsiTheme="minorHAnsi"/>
        </w:rPr>
      </w:pPr>
      <w:r>
        <w:rPr>
          <w:rFonts w:asciiTheme="minorHAnsi" w:hAnsiTheme="minorHAnsi"/>
        </w:rPr>
        <w:t xml:space="preserve">As with the 2006/07 NZHS gambling report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Pr>
          <w:rFonts w:asciiTheme="minorHAnsi" w:hAnsiTheme="minorHAnsi"/>
          <w:noProof/>
        </w:rPr>
        <w:t>)</w:t>
      </w:r>
      <w:r>
        <w:rPr>
          <w:rFonts w:asciiTheme="minorHAnsi" w:hAnsiTheme="minorHAnsi"/>
        </w:rPr>
        <w:fldChar w:fldCharType="end"/>
      </w:r>
      <w:r>
        <w:rPr>
          <w:rFonts w:asciiTheme="minorHAnsi" w:hAnsiTheme="minorHAnsi"/>
        </w:rPr>
        <w:t>, t</w:t>
      </w:r>
      <w:r w:rsidR="007A2FE1">
        <w:rPr>
          <w:rFonts w:asciiTheme="minorHAnsi" w:hAnsiTheme="minorHAnsi"/>
        </w:rPr>
        <w:t xml:space="preserve">his report uses total ethnic reporting </w:t>
      </w:r>
      <w:r w:rsidR="004D3C77">
        <w:rPr>
          <w:rFonts w:asciiTheme="minorHAnsi" w:hAnsiTheme="minorHAnsi"/>
        </w:rPr>
        <w:t>to define ethnicity.  This means that r</w:t>
      </w:r>
      <w:r w:rsidR="007A2FE1" w:rsidRPr="00CE395B">
        <w:rPr>
          <w:rFonts w:asciiTheme="minorHAnsi" w:hAnsiTheme="minorHAnsi"/>
        </w:rPr>
        <w:t xml:space="preserve">espondents are counted in each of the ethnic groups that are applicable to them; respondents who identify with more than one ethnic grouping are included in each of the relevant groups. </w:t>
      </w:r>
      <w:r w:rsidR="007A2FE1">
        <w:rPr>
          <w:rFonts w:asciiTheme="minorHAnsi" w:hAnsiTheme="minorHAnsi"/>
        </w:rPr>
        <w:t xml:space="preserve"> </w:t>
      </w:r>
      <w:r w:rsidR="007A2FE1" w:rsidRPr="00CE395B">
        <w:rPr>
          <w:rFonts w:asciiTheme="minorHAnsi" w:hAnsiTheme="minorHAnsi"/>
        </w:rPr>
        <w:t xml:space="preserve">As </w:t>
      </w:r>
      <w:r w:rsidR="004D3C77">
        <w:rPr>
          <w:rFonts w:asciiTheme="minorHAnsi" w:hAnsiTheme="minorHAnsi"/>
        </w:rPr>
        <w:t>people can appear in more than one ethnic group</w:t>
      </w:r>
      <w:r w:rsidR="007A2FE1" w:rsidRPr="00CE395B">
        <w:rPr>
          <w:rFonts w:asciiTheme="minorHAnsi" w:hAnsiTheme="minorHAnsi"/>
        </w:rPr>
        <w:t xml:space="preserve"> it is inappropriate to compare these ethnic-specific proportions as mutually exclusive categories.  </w:t>
      </w:r>
    </w:p>
    <w:p w14:paraId="597139CA" w14:textId="77777777" w:rsidR="005254AB" w:rsidRDefault="005254AB" w:rsidP="005254AB">
      <w:pPr>
        <w:pStyle w:val="Heading4"/>
      </w:pPr>
      <w:r>
        <w:t>Neighbourhood deprivation (NZDep2006</w:t>
      </w:r>
      <w:r w:rsidR="008E23F4">
        <w:t xml:space="preserve"> quintile</w:t>
      </w:r>
      <w:r>
        <w:t>)</w:t>
      </w:r>
    </w:p>
    <w:p w14:paraId="67C2E53A" w14:textId="02AE745C" w:rsidR="008E23F4" w:rsidRPr="00474C81" w:rsidRDefault="008E23F4" w:rsidP="005254AB">
      <w:pPr>
        <w:rPr>
          <w:rFonts w:asciiTheme="minorHAnsi" w:hAnsiTheme="minorHAnsi"/>
        </w:rPr>
      </w:pPr>
      <w:r w:rsidRPr="008E23F4">
        <w:rPr>
          <w:rFonts w:asciiTheme="minorHAnsi" w:hAnsiTheme="minorHAnsi"/>
        </w:rPr>
        <w:t>Neighbourhood deprivation refers to the New Zealand Index of Deprivation 2006 (NZDep2006)</w:t>
      </w:r>
      <w:r>
        <w:rPr>
          <w:rFonts w:asciiTheme="minorHAnsi" w:hAnsiTheme="minorHAnsi"/>
        </w:rPr>
        <w:t>.  The NZDep2006 is a commonly used measure of socioeconomic deprivation for each neighbourhood</w:t>
      </w:r>
      <w:r w:rsidR="00994F12">
        <w:rPr>
          <w:rFonts w:asciiTheme="minorHAnsi" w:hAnsiTheme="minorHAnsi"/>
        </w:rPr>
        <w:t>. It i</w:t>
      </w:r>
      <w:r>
        <w:rPr>
          <w:rFonts w:asciiTheme="minorHAnsi" w:hAnsiTheme="minorHAnsi"/>
        </w:rPr>
        <w:t xml:space="preserve">s calculated using the following 2006 Census variables: income, benefit receipt, access to transport (car), household crowding, home ownership, employment status, qualifications, support (sole-parent families) and access to a telephone </w:t>
      </w:r>
      <w:r>
        <w:rPr>
          <w:rFonts w:asciiTheme="minorHAnsi" w:hAnsiTheme="minorHAnsi"/>
        </w:rPr>
        <w:fldChar w:fldCharType="begin"/>
      </w:r>
      <w:r w:rsidR="00A34C5E">
        <w:rPr>
          <w:rFonts w:asciiTheme="minorHAnsi" w:hAnsiTheme="minorHAnsi"/>
        </w:rPr>
        <w:instrText xml:space="preserve"> ADDIN EN.CITE &lt;EndNote&gt;&lt;Cite&gt;&lt;Author&gt;Salmond&lt;/Author&gt;&lt;Year&gt;2007&lt;/Year&gt;&lt;RecNum&gt;113&lt;/RecNum&gt;&lt;DisplayText&gt;(Salmond, Crampton, &amp;amp; Atkinson, 2007)&lt;/DisplayText&gt;&lt;record&gt;&lt;rec-number&gt;113&lt;/rec-number&gt;&lt;foreign-keys&gt;&lt;key app="EN" db-id="9pzse05rcvx956etremxfzdh9fzdxvd95rp2"&gt;113&lt;/key&gt;&lt;/foreign-keys&gt;&lt;ref-type name="Report"&gt;27&lt;/ref-type&gt;&lt;contributors&gt;&lt;authors&gt;&lt;author&gt;Salmond, C&lt;/author&gt;&lt;author&gt;Crampton, P&lt;/author&gt;&lt;author&gt;Atkinson, J&lt;/author&gt;&lt;/authors&gt;&lt;/contributors&gt;&lt;titles&gt;&lt;title&gt;&lt;style face="italic" font="default" size="100%"&gt;NZDep2006 Index of Deprivation&lt;/style&gt;&lt;/title&gt;&lt;/titles&gt;&lt;dates&gt;&lt;year&gt;2007&lt;/year&gt;&lt;/dates&gt;&lt;publisher&gt;Department of Public Health,  University of Otago&lt;/publisher&gt;&lt;urls&gt;&lt;/urls&gt;&lt;/record&gt;&lt;/Cite&gt;&lt;/EndNote&gt;</w:instrText>
      </w:r>
      <w:r>
        <w:rPr>
          <w:rFonts w:asciiTheme="minorHAnsi" w:hAnsiTheme="minorHAnsi"/>
        </w:rPr>
        <w:fldChar w:fldCharType="separate"/>
      </w:r>
      <w:r>
        <w:rPr>
          <w:rFonts w:asciiTheme="minorHAnsi" w:hAnsiTheme="minorHAnsi"/>
          <w:noProof/>
        </w:rPr>
        <w:t>(</w:t>
      </w:r>
      <w:hyperlink w:anchor="_ENREF_54" w:tooltip="Salmond, 2007 #113" w:history="1">
        <w:r w:rsidR="00765F46">
          <w:rPr>
            <w:rFonts w:asciiTheme="minorHAnsi" w:hAnsiTheme="minorHAnsi"/>
            <w:noProof/>
          </w:rPr>
          <w:t>Salmond, Crampton, &amp; Atkinson, 2007</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r w:rsidR="00AB477E">
        <w:rPr>
          <w:rFonts w:asciiTheme="minorHAnsi" w:hAnsiTheme="minorHAnsi"/>
        </w:rPr>
        <w:t xml:space="preserve"> Results for NZDep2006 are presented in quintiles (quintile one to quintile five) for this report.  Quintile 1 represents the</w:t>
      </w:r>
      <w:r w:rsidR="00474C81">
        <w:rPr>
          <w:rFonts w:asciiTheme="minorHAnsi" w:hAnsiTheme="minorHAnsi"/>
        </w:rPr>
        <w:t xml:space="preserve"> 20% of neighbourhoods with the</w:t>
      </w:r>
      <w:r w:rsidR="00AB477E">
        <w:rPr>
          <w:rFonts w:asciiTheme="minorHAnsi" w:hAnsiTheme="minorHAnsi"/>
        </w:rPr>
        <w:t xml:space="preserve"> </w:t>
      </w:r>
      <w:r w:rsidR="00474C81">
        <w:rPr>
          <w:rFonts w:asciiTheme="minorHAnsi" w:hAnsiTheme="minorHAnsi"/>
        </w:rPr>
        <w:t xml:space="preserve">lowest levels of deprivation (i.e. the </w:t>
      </w:r>
      <w:r w:rsidR="00AB477E">
        <w:rPr>
          <w:rFonts w:asciiTheme="minorHAnsi" w:hAnsiTheme="minorHAnsi"/>
        </w:rPr>
        <w:t>least deprived neighbourhoods</w:t>
      </w:r>
      <w:r w:rsidR="00474C81">
        <w:rPr>
          <w:rFonts w:asciiTheme="minorHAnsi" w:hAnsiTheme="minorHAnsi"/>
        </w:rPr>
        <w:t>)</w:t>
      </w:r>
      <w:r w:rsidR="00AB477E">
        <w:rPr>
          <w:rFonts w:asciiTheme="minorHAnsi" w:hAnsiTheme="minorHAnsi"/>
        </w:rPr>
        <w:t xml:space="preserve"> and quintile 5 represents the</w:t>
      </w:r>
      <w:r w:rsidR="00474C81">
        <w:rPr>
          <w:rFonts w:asciiTheme="minorHAnsi" w:hAnsiTheme="minorHAnsi"/>
        </w:rPr>
        <w:t xml:space="preserve"> 20% of neighbourhoods with the highest level</w:t>
      </w:r>
      <w:r w:rsidR="00DA417C">
        <w:rPr>
          <w:rFonts w:asciiTheme="minorHAnsi" w:hAnsiTheme="minorHAnsi"/>
        </w:rPr>
        <w:t>s</w:t>
      </w:r>
      <w:r w:rsidR="00474C81">
        <w:rPr>
          <w:rFonts w:asciiTheme="minorHAnsi" w:hAnsiTheme="minorHAnsi"/>
        </w:rPr>
        <w:t xml:space="preserve"> of deprivation (i.e. the </w:t>
      </w:r>
      <w:r w:rsidR="00AB477E">
        <w:rPr>
          <w:rFonts w:asciiTheme="minorHAnsi" w:hAnsiTheme="minorHAnsi"/>
        </w:rPr>
        <w:t>most deprived neighbourhoods</w:t>
      </w:r>
      <w:r w:rsidR="00474C81">
        <w:rPr>
          <w:rFonts w:asciiTheme="minorHAnsi" w:hAnsiTheme="minorHAnsi"/>
        </w:rPr>
        <w:t xml:space="preserve">) </w:t>
      </w:r>
      <w:r w:rsidR="00474C81">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Health&lt;/Author&gt;&lt;Year&gt;2012&lt;/Year&gt;&lt;RecNum&gt;929&lt;/RecNum&gt;&lt;DisplayText&gt;(Ministry of Health, 2012b)&lt;/DisplayText&gt;&lt;record&gt;&lt;rec-number&gt;929&lt;/rec-number&gt;&lt;foreign-keys&gt;&lt;key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sidR="00474C81">
        <w:rPr>
          <w:rFonts w:asciiTheme="minorHAnsi" w:hAnsiTheme="minorHAnsi"/>
        </w:rPr>
        <w:fldChar w:fldCharType="separate"/>
      </w:r>
      <w:r w:rsidR="00474C81">
        <w:rPr>
          <w:rFonts w:asciiTheme="minorHAnsi" w:hAnsiTheme="minorHAnsi"/>
          <w:noProof/>
        </w:rPr>
        <w:t>(</w:t>
      </w:r>
      <w:hyperlink w:anchor="_ENREF_41" w:tooltip="Ministry of Health, 2012 #929" w:history="1">
        <w:r w:rsidR="00765F46">
          <w:rPr>
            <w:rFonts w:asciiTheme="minorHAnsi" w:hAnsiTheme="minorHAnsi"/>
            <w:noProof/>
          </w:rPr>
          <w:t>Ministry of Health, 2012b</w:t>
        </w:r>
      </w:hyperlink>
      <w:r w:rsidR="00474C81">
        <w:rPr>
          <w:rFonts w:asciiTheme="minorHAnsi" w:hAnsiTheme="minorHAnsi"/>
          <w:noProof/>
        </w:rPr>
        <w:t>)</w:t>
      </w:r>
      <w:r w:rsidR="00474C81">
        <w:rPr>
          <w:rFonts w:asciiTheme="minorHAnsi" w:hAnsiTheme="minorHAnsi"/>
        </w:rPr>
        <w:fldChar w:fldCharType="end"/>
      </w:r>
      <w:r w:rsidR="00474C81">
        <w:rPr>
          <w:rFonts w:asciiTheme="minorHAnsi" w:hAnsiTheme="minorHAnsi"/>
        </w:rPr>
        <w:t xml:space="preserve">. </w:t>
      </w:r>
    </w:p>
    <w:p w14:paraId="3AE0E306" w14:textId="77777777" w:rsidR="005254AB" w:rsidRDefault="005254AB" w:rsidP="005254AB">
      <w:pPr>
        <w:pStyle w:val="Heading4"/>
      </w:pPr>
      <w:r>
        <w:t>Gender</w:t>
      </w:r>
    </w:p>
    <w:p w14:paraId="607227CE" w14:textId="0F54B0C1" w:rsidR="00C01833" w:rsidRDefault="00FE3B99" w:rsidP="005254AB">
      <w:pPr>
        <w:rPr>
          <w:rFonts w:asciiTheme="minorHAnsi" w:hAnsiTheme="minorHAnsi"/>
        </w:rPr>
      </w:pPr>
      <w:r w:rsidRPr="00FE3B99">
        <w:rPr>
          <w:rFonts w:asciiTheme="minorHAnsi" w:hAnsiTheme="minorHAnsi"/>
        </w:rPr>
        <w:t xml:space="preserve">All respondents </w:t>
      </w:r>
      <w:r w:rsidR="00A30C28">
        <w:rPr>
          <w:rFonts w:asciiTheme="minorHAnsi" w:hAnsiTheme="minorHAnsi"/>
        </w:rPr>
        <w:t xml:space="preserve">in the 2011/12 NZHS </w:t>
      </w:r>
      <w:r w:rsidRPr="00FE3B99">
        <w:rPr>
          <w:rFonts w:asciiTheme="minorHAnsi" w:hAnsiTheme="minorHAnsi"/>
        </w:rPr>
        <w:t>were asked “Are you male or female?”</w:t>
      </w:r>
      <w:r>
        <w:rPr>
          <w:rFonts w:asciiTheme="minorHAnsi" w:hAnsiTheme="minorHAnsi"/>
        </w:rPr>
        <w:t xml:space="preserve">  </w:t>
      </w:r>
      <w:r w:rsidR="00FE71F1">
        <w:rPr>
          <w:rFonts w:asciiTheme="minorHAnsi" w:hAnsiTheme="minorHAnsi"/>
        </w:rPr>
        <w:t>For the sake of consistency with previous NZHS gambling reports, results relating to this item have been presented under the title of ‘gender’.  However, t</w:t>
      </w:r>
      <w:r>
        <w:rPr>
          <w:rFonts w:asciiTheme="minorHAnsi" w:hAnsiTheme="minorHAnsi"/>
        </w:rPr>
        <w:t xml:space="preserve">he author of this report </w:t>
      </w:r>
      <w:r w:rsidR="00FE71F1">
        <w:rPr>
          <w:rFonts w:asciiTheme="minorHAnsi" w:hAnsiTheme="minorHAnsi"/>
        </w:rPr>
        <w:t xml:space="preserve">wishes to </w:t>
      </w:r>
      <w:r>
        <w:rPr>
          <w:rFonts w:asciiTheme="minorHAnsi" w:hAnsiTheme="minorHAnsi"/>
        </w:rPr>
        <w:t xml:space="preserve">acknowledge that this question </w:t>
      </w:r>
      <w:r w:rsidR="0087295C">
        <w:rPr>
          <w:rFonts w:asciiTheme="minorHAnsi" w:hAnsiTheme="minorHAnsi"/>
        </w:rPr>
        <w:t xml:space="preserve">is more suitable for </w:t>
      </w:r>
      <w:r w:rsidR="00FE71F1">
        <w:rPr>
          <w:rFonts w:asciiTheme="minorHAnsi" w:hAnsiTheme="minorHAnsi"/>
        </w:rPr>
        <w:t>establish</w:t>
      </w:r>
      <w:r w:rsidR="0087295C">
        <w:rPr>
          <w:rFonts w:asciiTheme="minorHAnsi" w:hAnsiTheme="minorHAnsi"/>
        </w:rPr>
        <w:t>ing</w:t>
      </w:r>
      <w:r w:rsidR="00FE71F1">
        <w:rPr>
          <w:rFonts w:asciiTheme="minorHAnsi" w:hAnsiTheme="minorHAnsi"/>
        </w:rPr>
        <w:t xml:space="preserve"> the </w:t>
      </w:r>
      <w:r>
        <w:rPr>
          <w:rFonts w:asciiTheme="minorHAnsi" w:hAnsiTheme="minorHAnsi"/>
        </w:rPr>
        <w:t>sex</w:t>
      </w:r>
      <w:r w:rsidR="00FE71F1">
        <w:rPr>
          <w:rFonts w:asciiTheme="minorHAnsi" w:hAnsiTheme="minorHAnsi"/>
        </w:rPr>
        <w:t xml:space="preserve"> of a respondent,</w:t>
      </w:r>
      <w:r w:rsidR="00A30C28">
        <w:rPr>
          <w:rFonts w:asciiTheme="minorHAnsi" w:hAnsiTheme="minorHAnsi"/>
        </w:rPr>
        <w:t xml:space="preserve"> which is defined by biological and physical characteristics</w:t>
      </w:r>
      <w:r w:rsidR="00FE71F1">
        <w:rPr>
          <w:rFonts w:asciiTheme="minorHAnsi" w:hAnsiTheme="minorHAnsi"/>
        </w:rPr>
        <w:t xml:space="preserve"> that define men and women,</w:t>
      </w:r>
      <w:r w:rsidR="00A30C28">
        <w:rPr>
          <w:rFonts w:asciiTheme="minorHAnsi" w:hAnsiTheme="minorHAnsi"/>
        </w:rPr>
        <w:t xml:space="preserve"> rather than</w:t>
      </w:r>
      <w:r>
        <w:rPr>
          <w:rFonts w:asciiTheme="minorHAnsi" w:hAnsiTheme="minorHAnsi"/>
        </w:rPr>
        <w:t xml:space="preserve"> gender</w:t>
      </w:r>
      <w:r w:rsidR="00C01833">
        <w:rPr>
          <w:rFonts w:asciiTheme="minorHAnsi" w:hAnsiTheme="minorHAnsi"/>
        </w:rPr>
        <w:t xml:space="preserve">, which </w:t>
      </w:r>
      <w:r w:rsidR="00A30C28">
        <w:rPr>
          <w:rFonts w:asciiTheme="minorHAnsi" w:hAnsiTheme="minorHAnsi"/>
        </w:rPr>
        <w:t>is</w:t>
      </w:r>
      <w:r w:rsidR="00FE71F1">
        <w:rPr>
          <w:rFonts w:asciiTheme="minorHAnsi" w:hAnsiTheme="minorHAnsi"/>
        </w:rPr>
        <w:t xml:space="preserve"> a</w:t>
      </w:r>
      <w:r w:rsidR="00A30C28">
        <w:rPr>
          <w:rFonts w:asciiTheme="minorHAnsi" w:hAnsiTheme="minorHAnsi"/>
        </w:rPr>
        <w:t xml:space="preserve"> </w:t>
      </w:r>
      <w:r w:rsidR="00C01833">
        <w:rPr>
          <w:rFonts w:asciiTheme="minorHAnsi" w:hAnsiTheme="minorHAnsi"/>
        </w:rPr>
        <w:t>social</w:t>
      </w:r>
      <w:r w:rsidR="00FE71F1">
        <w:rPr>
          <w:rFonts w:asciiTheme="minorHAnsi" w:hAnsiTheme="minorHAnsi"/>
        </w:rPr>
        <w:t xml:space="preserve">ly constructed category that reflects roles, behaviours and attributes </w:t>
      </w:r>
      <w:r w:rsidR="00FE71F1">
        <w:rPr>
          <w:rFonts w:asciiTheme="minorHAnsi" w:hAnsiTheme="minorHAnsi"/>
        </w:rPr>
        <w:fldChar w:fldCharType="begin"/>
      </w:r>
      <w:r w:rsidR="00A34C5E">
        <w:rPr>
          <w:rFonts w:asciiTheme="minorHAnsi" w:hAnsiTheme="minorHAnsi"/>
        </w:rPr>
        <w:instrText xml:space="preserve"> ADDIN EN.CITE &lt;EndNote&gt;&lt;Cite&gt;&lt;Author&gt;World Health Organisation&lt;/Author&gt;&lt;Year&gt;2014&lt;/Year&gt;&lt;RecNum&gt;945&lt;/RecNum&gt;&lt;DisplayText&gt;(Statistics New Zealand, 2014; World Health Organisation, 2014)&lt;/DisplayText&gt;&lt;record&gt;&lt;rec-number&gt;945&lt;/rec-number&gt;&lt;foreign-keys&gt;&lt;key app="EN" db-id="9pzse05rcvx956etremxfzdh9fzdxvd95rp2"&gt;945&lt;/key&gt;&lt;/foreign-keys&gt;&lt;ref-type name="Web Page"&gt;12&lt;/ref-type&gt;&lt;contributors&gt;&lt;authors&gt;&lt;author&gt;World Health Organisation,&lt;/author&gt;&lt;/authors&gt;&lt;/contributors&gt;&lt;titles&gt;&lt;title&gt;What do we mean by &amp;quot;sex&amp;quot; and &amp;quot;gender&amp;quot;?&lt;/title&gt;&lt;/titles&gt;&lt;volume&gt;2014&lt;/volume&gt;&lt;number&gt;10 October&lt;/number&gt;&lt;dates&gt;&lt;year&gt;2014&lt;/year&gt;&lt;/dates&gt;&lt;urls&gt;&lt;related-urls&gt;&lt;url&gt;http://www.who.int/gender/whatisgender/en/&lt;/url&gt;&lt;/related-urls&gt;&lt;/urls&gt;&lt;/record&gt;&lt;/Cite&gt;&lt;Cite&gt;&lt;Author&gt;Statistics New Zealand&lt;/Author&gt;&lt;Year&gt;2014&lt;/Year&gt;&lt;RecNum&gt;946&lt;/RecNum&gt;&lt;record&gt;&lt;rec-number&gt;946&lt;/rec-number&gt;&lt;foreign-keys&gt;&lt;key app="EN" db-id="9pzse05rcvx956etremxfzdh9fzdxvd95rp2"&gt;946&lt;/key&gt;&lt;/foreign-keys&gt;&lt;ref-type name="Web Page"&gt;12&lt;/ref-type&gt;&lt;contributors&gt;&lt;authors&gt;&lt;author&gt;Statistics New Zealand,&lt;/author&gt;&lt;/authors&gt;&lt;/contributors&gt;&lt;titles&gt;&lt;title&gt;Classifications and related statistical standards - Sex&lt;/title&gt;&lt;/titles&gt;&lt;volume&gt;2014&lt;/volume&gt;&lt;number&gt;10 October&lt;/number&gt;&lt;dates&gt;&lt;year&gt;2014&lt;/year&gt;&lt;/dates&gt;&lt;urls&gt;&lt;related-urls&gt;&lt;url&gt;http://www.stats.govt.nz/methods/classifications-and-standards/classification-related-stats-standards/sex/definition.aspx&lt;/url&gt;&lt;/related-urls&gt;&lt;/urls&gt;&lt;/record&gt;&lt;/Cite&gt;&lt;/EndNote&gt;</w:instrText>
      </w:r>
      <w:r w:rsidR="00FE71F1">
        <w:rPr>
          <w:rFonts w:asciiTheme="minorHAnsi" w:hAnsiTheme="minorHAnsi"/>
        </w:rPr>
        <w:fldChar w:fldCharType="separate"/>
      </w:r>
      <w:r w:rsidR="001E5F4B">
        <w:rPr>
          <w:rFonts w:asciiTheme="minorHAnsi" w:hAnsiTheme="minorHAnsi"/>
          <w:noProof/>
        </w:rPr>
        <w:t>(</w:t>
      </w:r>
      <w:hyperlink w:anchor="_ENREF_57" w:tooltip="Statistics New Zealand, 2014 #946" w:history="1">
        <w:r w:rsidR="00765F46">
          <w:rPr>
            <w:rFonts w:asciiTheme="minorHAnsi" w:hAnsiTheme="minorHAnsi"/>
            <w:noProof/>
          </w:rPr>
          <w:t>Statistics New Zealand, 2014</w:t>
        </w:r>
      </w:hyperlink>
      <w:r w:rsidR="001E5F4B">
        <w:rPr>
          <w:rFonts w:asciiTheme="minorHAnsi" w:hAnsiTheme="minorHAnsi"/>
          <w:noProof/>
        </w:rPr>
        <w:t xml:space="preserve">; </w:t>
      </w:r>
      <w:hyperlink w:anchor="_ENREF_66" w:tooltip="World Health Organisation, 2014 #945" w:history="1">
        <w:r w:rsidR="00765F46">
          <w:rPr>
            <w:rFonts w:asciiTheme="minorHAnsi" w:hAnsiTheme="minorHAnsi"/>
            <w:noProof/>
          </w:rPr>
          <w:t>World Health Organisation, 2014</w:t>
        </w:r>
      </w:hyperlink>
      <w:r w:rsidR="001E5F4B">
        <w:rPr>
          <w:rFonts w:asciiTheme="minorHAnsi" w:hAnsiTheme="minorHAnsi"/>
          <w:noProof/>
        </w:rPr>
        <w:t>)</w:t>
      </w:r>
      <w:r w:rsidR="00FE71F1">
        <w:rPr>
          <w:rFonts w:asciiTheme="minorHAnsi" w:hAnsiTheme="minorHAnsi"/>
        </w:rPr>
        <w:fldChar w:fldCharType="end"/>
      </w:r>
      <w:r w:rsidR="009F73EE">
        <w:rPr>
          <w:rFonts w:asciiTheme="minorHAnsi" w:hAnsiTheme="minorHAnsi"/>
        </w:rPr>
        <w:t xml:space="preserve">. </w:t>
      </w:r>
    </w:p>
    <w:p w14:paraId="166E06BF" w14:textId="77777777" w:rsidR="005254AB" w:rsidRDefault="005254AB" w:rsidP="005254AB">
      <w:pPr>
        <w:pStyle w:val="Heading4"/>
      </w:pPr>
      <w:r>
        <w:lastRenderedPageBreak/>
        <w:t>Measuring problem gambling</w:t>
      </w:r>
    </w:p>
    <w:p w14:paraId="160578FF" w14:textId="315ACAA1" w:rsidR="004D16D6" w:rsidRDefault="00C80187" w:rsidP="004D16D6">
      <w:pPr>
        <w:rPr>
          <w:rFonts w:asciiTheme="minorHAnsi" w:hAnsiTheme="minorHAnsi"/>
        </w:rPr>
      </w:pPr>
      <w:r>
        <w:rPr>
          <w:rFonts w:asciiTheme="minorHAnsi" w:hAnsiTheme="minorHAnsi"/>
        </w:rPr>
        <w:t xml:space="preserve">The Problem Gambling Severity Index (PGSI) is a </w:t>
      </w:r>
      <w:r w:rsidRPr="00285E69">
        <w:rPr>
          <w:rFonts w:asciiTheme="minorHAnsi" w:hAnsiTheme="minorHAnsi"/>
        </w:rPr>
        <w:t>standardised measure of problem gambling</w:t>
      </w:r>
      <w:r>
        <w:rPr>
          <w:rFonts w:asciiTheme="minorHAnsi" w:hAnsiTheme="minorHAnsi"/>
        </w:rPr>
        <w:t xml:space="preserve"> </w:t>
      </w:r>
      <w:r>
        <w:rPr>
          <w:rFonts w:asciiTheme="minorHAnsi" w:hAnsiTheme="minorHAnsi"/>
        </w:rPr>
        <w:fldChar w:fldCharType="begin"/>
      </w:r>
      <w:r w:rsidR="00A34C5E">
        <w:rPr>
          <w:rFonts w:asciiTheme="minorHAnsi" w:hAnsiTheme="minorHAnsi"/>
        </w:rPr>
        <w:instrText xml:space="preserve"> ADDIN EN.CITE &lt;EndNote&gt;&lt;Cite&gt;&lt;Author&gt;Ferris&lt;/Author&gt;&lt;Year&gt;2001&lt;/Year&gt;&lt;RecNum&gt;913&lt;/RecNum&gt;&lt;DisplayText&gt;(Ferris &amp;amp; Wynne, 2001)&lt;/DisplayText&gt;&lt;record&gt;&lt;rec-number&gt;913&lt;/rec-number&gt;&lt;foreign-keys&gt;&lt;key app="EN" db-id="9pzse05rcvx956etremxfzdh9fzdxvd95rp2"&gt;913&lt;/key&gt;&lt;/foreign-keys&gt;&lt;ref-type name="Report"&gt;27&lt;/ref-type&gt;&lt;contributors&gt;&lt;authors&gt;&lt;author&gt;Ferris, J.&lt;/author&gt;&lt;author&gt;Wynne, H.&lt;/author&gt;&lt;/authors&gt;&lt;/contributors&gt;&lt;titles&gt;&lt;title&gt;The Canadian Problem Gambling Index: Final Report&lt;/title&gt;&lt;/titles&gt;&lt;dates&gt;&lt;year&gt;2001&lt;/year&gt;&lt;/dates&gt;&lt;pub-location&gt;Ottawa&lt;/pub-location&gt;&lt;publisher&gt;Canadian Centre on Substance Abuse&lt;/publisher&gt;&lt;urls&gt;&lt;/urls&gt;&lt;/record&gt;&lt;/Cite&gt;&lt;/EndNote&gt;</w:instrText>
      </w:r>
      <w:r>
        <w:rPr>
          <w:rFonts w:asciiTheme="minorHAnsi" w:hAnsiTheme="minorHAnsi"/>
        </w:rPr>
        <w:fldChar w:fldCharType="separate"/>
      </w:r>
      <w:r>
        <w:rPr>
          <w:rFonts w:asciiTheme="minorHAnsi" w:hAnsiTheme="minorHAnsi"/>
          <w:noProof/>
        </w:rPr>
        <w:t>(</w:t>
      </w:r>
      <w:hyperlink w:anchor="_ENREF_25" w:tooltip="Ferris, 2001 #913" w:history="1">
        <w:r w:rsidR="00765F46">
          <w:rPr>
            <w:rFonts w:asciiTheme="minorHAnsi" w:hAnsiTheme="minorHAnsi"/>
            <w:noProof/>
          </w:rPr>
          <w:t>Ferris &amp; Wynne, 2001</w:t>
        </w:r>
      </w:hyperlink>
      <w:r>
        <w:rPr>
          <w:rFonts w:asciiTheme="minorHAnsi" w:hAnsiTheme="minorHAnsi"/>
          <w:noProof/>
        </w:rPr>
        <w:t>)</w:t>
      </w:r>
      <w:r>
        <w:rPr>
          <w:rFonts w:asciiTheme="minorHAnsi" w:hAnsiTheme="minorHAnsi"/>
        </w:rPr>
        <w:fldChar w:fldCharType="end"/>
      </w:r>
      <w:r>
        <w:rPr>
          <w:rFonts w:asciiTheme="minorHAnsi" w:hAnsiTheme="minorHAnsi"/>
        </w:rPr>
        <w:t xml:space="preserve"> that was included in both the </w:t>
      </w:r>
      <w:r w:rsidRPr="00285E69">
        <w:rPr>
          <w:rFonts w:asciiTheme="minorHAnsi" w:hAnsiTheme="minorHAnsi"/>
        </w:rPr>
        <w:t>2006/07</w:t>
      </w:r>
      <w:r>
        <w:rPr>
          <w:rFonts w:asciiTheme="minorHAnsi" w:hAnsiTheme="minorHAnsi"/>
        </w:rPr>
        <w:t xml:space="preserve"> and 2011/12 </w:t>
      </w:r>
      <w:r w:rsidRPr="00285E69">
        <w:rPr>
          <w:rFonts w:asciiTheme="minorHAnsi" w:hAnsiTheme="minorHAnsi"/>
        </w:rPr>
        <w:t>wave</w:t>
      </w:r>
      <w:r>
        <w:rPr>
          <w:rFonts w:asciiTheme="minorHAnsi" w:hAnsiTheme="minorHAnsi"/>
        </w:rPr>
        <w:t xml:space="preserve">s of the NZHS.  The PGSI is a nine-item screen that </w:t>
      </w:r>
      <w:r w:rsidRPr="00C31689">
        <w:rPr>
          <w:rFonts w:asciiTheme="minorHAnsi" w:hAnsiTheme="minorHAnsi"/>
        </w:rPr>
        <w:t xml:space="preserve">has been validated in New Zealand for use with males, females, Māori, Pacific, Asian and European populations </w:t>
      </w:r>
      <w:r w:rsidRPr="00C31689">
        <w:rPr>
          <w:rFonts w:asciiTheme="minorHAnsi" w:hAnsiTheme="minorHAnsi"/>
        </w:rPr>
        <w:fldChar w:fldCharType="begin"/>
      </w:r>
      <w:r w:rsidR="00A34C5E">
        <w:rPr>
          <w:rFonts w:asciiTheme="minorHAnsi" w:hAnsiTheme="minorHAnsi"/>
        </w:rPr>
        <w:instrText xml:space="preserve"> ADDIN EN.CITE &lt;EndNote&gt;&lt;Cite&gt;&lt;Author&gt;Devlin&lt;/Author&gt;&lt;Year&gt;2012&lt;/Year&gt;&lt;RecNum&gt;918&lt;/RecNum&gt;&lt;DisplayText&gt;(Devlin &amp;amp; Walton, 2012)&lt;/DisplayText&gt;&lt;record&gt;&lt;rec-number&gt;918&lt;/rec-number&gt;&lt;foreign-keys&gt;&lt;key app="EN" db-id="9pzse05rcvx956etremxfzdh9fzdxvd95rp2"&gt;918&lt;/key&gt;&lt;/foreign-keys&gt;&lt;ref-type name="Journal Article"&gt;17&lt;/ref-type&gt;&lt;contributors&gt;&lt;authors&gt;&lt;author&gt;Devlin, M.&lt;/author&gt;&lt;author&gt;Walton, D.&lt;/author&gt;&lt;/authors&gt;&lt;/contributors&gt;&lt;titles&gt;&lt;title&gt;The prevalence of problem gambling in New Zealand as measured by the PGSI: Adjusting prevalence estimates using meta-analysis&lt;/title&gt;&lt;secondary-title&gt;International Gambling Studies&lt;/secondary-title&gt;&lt;/titles&gt;&lt;pages&gt;177-197&lt;/pages&gt;&lt;volume&gt;12&lt;/volume&gt;&lt;number&gt;2&lt;/number&gt;&lt;dates&gt;&lt;year&gt;2012&lt;/year&gt;&lt;/dates&gt;&lt;urls&gt;&lt;/urls&gt;&lt;/record&gt;&lt;/Cite&gt;&lt;/EndNote&gt;</w:instrText>
      </w:r>
      <w:r w:rsidRPr="00C31689">
        <w:rPr>
          <w:rFonts w:asciiTheme="minorHAnsi" w:hAnsiTheme="minorHAnsi"/>
        </w:rPr>
        <w:fldChar w:fldCharType="separate"/>
      </w:r>
      <w:r w:rsidRPr="00C31689">
        <w:rPr>
          <w:rFonts w:asciiTheme="minorHAnsi" w:hAnsiTheme="minorHAnsi"/>
          <w:noProof/>
        </w:rPr>
        <w:t>(</w:t>
      </w:r>
      <w:hyperlink w:anchor="_ENREF_20" w:tooltip="Devlin, 2012 #918" w:history="1">
        <w:r w:rsidR="00765F46" w:rsidRPr="00C31689">
          <w:rPr>
            <w:rFonts w:asciiTheme="minorHAnsi" w:hAnsiTheme="minorHAnsi"/>
            <w:noProof/>
          </w:rPr>
          <w:t>Devlin &amp; Walton, 2012</w:t>
        </w:r>
      </w:hyperlink>
      <w:r w:rsidRPr="00C31689">
        <w:rPr>
          <w:rFonts w:asciiTheme="minorHAnsi" w:hAnsiTheme="minorHAnsi"/>
          <w:noProof/>
        </w:rPr>
        <w:t>)</w:t>
      </w:r>
      <w:r w:rsidRPr="00C31689">
        <w:rPr>
          <w:rFonts w:asciiTheme="minorHAnsi" w:hAnsiTheme="minorHAnsi"/>
        </w:rPr>
        <w:fldChar w:fldCharType="end"/>
      </w:r>
      <w:r w:rsidRPr="00C31689">
        <w:rPr>
          <w:rFonts w:asciiTheme="minorHAnsi" w:hAnsiTheme="minorHAnsi"/>
        </w:rPr>
        <w:t>.</w:t>
      </w:r>
      <w:r>
        <w:rPr>
          <w:rFonts w:asciiTheme="minorHAnsi" w:hAnsiTheme="minorHAnsi"/>
        </w:rPr>
        <w:t xml:space="preserve"> </w:t>
      </w:r>
      <w:r w:rsidRPr="00C31689">
        <w:rPr>
          <w:rFonts w:asciiTheme="minorHAnsi" w:hAnsiTheme="minorHAnsi"/>
        </w:rPr>
        <w:t xml:space="preserve"> It </w:t>
      </w:r>
      <w:r>
        <w:rPr>
          <w:rFonts w:asciiTheme="minorHAnsi" w:hAnsiTheme="minorHAnsi"/>
        </w:rPr>
        <w:t>enquires about the following aspects of gambling behaviour over the last 12 months: l</w:t>
      </w:r>
      <w:r w:rsidRPr="001D0617">
        <w:rPr>
          <w:rFonts w:asciiTheme="minorHAnsi" w:hAnsiTheme="minorHAnsi"/>
        </w:rPr>
        <w:t>oss of control</w:t>
      </w:r>
      <w:r>
        <w:rPr>
          <w:rFonts w:asciiTheme="minorHAnsi" w:hAnsiTheme="minorHAnsi"/>
        </w:rPr>
        <w:t>; f</w:t>
      </w:r>
      <w:r w:rsidRPr="001D0617">
        <w:rPr>
          <w:rFonts w:asciiTheme="minorHAnsi" w:hAnsiTheme="minorHAnsi"/>
        </w:rPr>
        <w:t>eelings of guilt</w:t>
      </w:r>
      <w:r>
        <w:rPr>
          <w:rFonts w:asciiTheme="minorHAnsi" w:hAnsiTheme="minorHAnsi"/>
        </w:rPr>
        <w:t>; c</w:t>
      </w:r>
      <w:r w:rsidRPr="001D0617">
        <w:rPr>
          <w:rFonts w:asciiTheme="minorHAnsi" w:hAnsiTheme="minorHAnsi"/>
        </w:rPr>
        <w:t>hasing losses</w:t>
      </w:r>
      <w:r>
        <w:rPr>
          <w:rFonts w:asciiTheme="minorHAnsi" w:hAnsiTheme="minorHAnsi"/>
        </w:rPr>
        <w:t>; problem recognition; c</w:t>
      </w:r>
      <w:r w:rsidRPr="001D0617">
        <w:rPr>
          <w:rFonts w:asciiTheme="minorHAnsi" w:hAnsiTheme="minorHAnsi"/>
        </w:rPr>
        <w:t>riticism</w:t>
      </w:r>
      <w:r>
        <w:rPr>
          <w:rFonts w:asciiTheme="minorHAnsi" w:hAnsiTheme="minorHAnsi"/>
        </w:rPr>
        <w:t>; n</w:t>
      </w:r>
      <w:r w:rsidRPr="001D0617">
        <w:rPr>
          <w:rFonts w:asciiTheme="minorHAnsi" w:hAnsiTheme="minorHAnsi"/>
        </w:rPr>
        <w:t>egative effects on health</w:t>
      </w:r>
      <w:r>
        <w:rPr>
          <w:rFonts w:asciiTheme="minorHAnsi" w:hAnsiTheme="minorHAnsi"/>
        </w:rPr>
        <w:t>; m</w:t>
      </w:r>
      <w:r w:rsidRPr="001D0617">
        <w:rPr>
          <w:rFonts w:asciiTheme="minorHAnsi" w:hAnsiTheme="minorHAnsi"/>
        </w:rPr>
        <w:t>otivation</w:t>
      </w:r>
      <w:r>
        <w:rPr>
          <w:rFonts w:asciiTheme="minorHAnsi" w:hAnsiTheme="minorHAnsi"/>
        </w:rPr>
        <w:t>; f</w:t>
      </w:r>
      <w:r w:rsidRPr="001D0617">
        <w:rPr>
          <w:rFonts w:asciiTheme="minorHAnsi" w:hAnsiTheme="minorHAnsi"/>
        </w:rPr>
        <w:t>inancial problems</w:t>
      </w:r>
      <w:r>
        <w:rPr>
          <w:rFonts w:asciiTheme="minorHAnsi" w:hAnsiTheme="minorHAnsi"/>
        </w:rPr>
        <w:t>; and, b</w:t>
      </w:r>
      <w:r w:rsidRPr="001D0617">
        <w:rPr>
          <w:rFonts w:asciiTheme="minorHAnsi" w:hAnsiTheme="minorHAnsi"/>
        </w:rPr>
        <w:t>orrowing</w:t>
      </w:r>
      <w:r>
        <w:rPr>
          <w:rFonts w:asciiTheme="minorHAnsi" w:hAnsiTheme="minorHAnsi"/>
        </w:rPr>
        <w:t xml:space="preserve">.  </w:t>
      </w:r>
      <w:r w:rsidR="002E165E">
        <w:rPr>
          <w:rFonts w:asciiTheme="minorHAnsi" w:hAnsiTheme="minorHAnsi"/>
        </w:rPr>
        <w:t>A f</w:t>
      </w:r>
      <w:r>
        <w:rPr>
          <w:rFonts w:asciiTheme="minorHAnsi" w:hAnsiTheme="minorHAnsi"/>
        </w:rPr>
        <w:t>inal score</w:t>
      </w:r>
      <w:r w:rsidR="002E165E">
        <w:rPr>
          <w:rFonts w:asciiTheme="minorHAnsi" w:hAnsiTheme="minorHAnsi"/>
        </w:rPr>
        <w:t xml:space="preserve"> is calculated and can</w:t>
      </w:r>
      <w:r>
        <w:rPr>
          <w:rFonts w:asciiTheme="minorHAnsi" w:hAnsiTheme="minorHAnsi"/>
        </w:rPr>
        <w:t xml:space="preserve"> range from zero through to a maximum of 27, with higher scores being indicative of a greater risk of problematic gambling.  </w:t>
      </w:r>
      <w:r w:rsidR="00041B69">
        <w:rPr>
          <w:rFonts w:asciiTheme="minorHAnsi" w:hAnsiTheme="minorHAnsi"/>
        </w:rPr>
        <w:t>Table 2</w:t>
      </w:r>
      <w:r w:rsidR="004D16D6">
        <w:rPr>
          <w:rFonts w:asciiTheme="minorHAnsi" w:hAnsiTheme="minorHAnsi"/>
        </w:rPr>
        <w:t xml:space="preserve"> outlines the four </w:t>
      </w:r>
      <w:r w:rsidR="002D2C59">
        <w:rPr>
          <w:rFonts w:asciiTheme="minorHAnsi" w:hAnsiTheme="minorHAnsi"/>
        </w:rPr>
        <w:t>categories</w:t>
      </w:r>
      <w:r w:rsidR="004D16D6">
        <w:rPr>
          <w:rFonts w:asciiTheme="minorHAnsi" w:hAnsiTheme="minorHAnsi"/>
        </w:rPr>
        <w:t xml:space="preserve"> of gambling that people can be </w:t>
      </w:r>
      <w:r w:rsidR="002D2C59">
        <w:rPr>
          <w:rFonts w:asciiTheme="minorHAnsi" w:hAnsiTheme="minorHAnsi"/>
        </w:rPr>
        <w:t>grouped</w:t>
      </w:r>
      <w:r w:rsidR="004D16D6">
        <w:rPr>
          <w:rFonts w:asciiTheme="minorHAnsi" w:hAnsiTheme="minorHAnsi"/>
        </w:rPr>
        <w:t xml:space="preserve"> under according to PGSI scores.</w:t>
      </w:r>
    </w:p>
    <w:p w14:paraId="6AFF9D89" w14:textId="77777777" w:rsidR="004D16D6" w:rsidRPr="00AF3A24" w:rsidRDefault="004D16D6" w:rsidP="004D16D6">
      <w:pPr>
        <w:pStyle w:val="Caption"/>
        <w:keepNext/>
        <w:spacing w:line="276" w:lineRule="auto"/>
        <w:ind w:left="993" w:hanging="993"/>
        <w:rPr>
          <w:rFonts w:asciiTheme="minorHAnsi" w:hAnsiTheme="minorHAnsi" w:cstheme="minorHAnsi"/>
          <w:i/>
        </w:rPr>
      </w:pPr>
      <w:bookmarkStart w:id="29" w:name="_Ref400796341"/>
      <w:bookmarkStart w:id="30" w:name="_Toc425426869"/>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w:t>
      </w:r>
      <w:r w:rsidRPr="00AF3A24">
        <w:rPr>
          <w:rFonts w:asciiTheme="minorHAnsi" w:hAnsiTheme="minorHAnsi"/>
          <w:i/>
        </w:rPr>
        <w:fldChar w:fldCharType="end"/>
      </w:r>
      <w:bookmarkEnd w:id="29"/>
      <w:r w:rsidRPr="00AF3A24">
        <w:rPr>
          <w:rFonts w:asciiTheme="minorHAnsi" w:hAnsiTheme="minorHAnsi"/>
          <w:i/>
        </w:rPr>
        <w:t>:</w:t>
      </w:r>
      <w:r w:rsidRPr="00AF3A24">
        <w:rPr>
          <w:rFonts w:asciiTheme="minorHAnsi" w:hAnsiTheme="minorHAnsi" w:cstheme="minorHAnsi"/>
          <w:i/>
        </w:rPr>
        <w:tab/>
      </w:r>
      <w:r>
        <w:rPr>
          <w:rFonts w:asciiTheme="minorHAnsi" w:hAnsiTheme="minorHAnsi" w:cstheme="minorHAnsi"/>
          <w:i/>
        </w:rPr>
        <w:t>PGSI scores and categorisation</w:t>
      </w:r>
      <w:bookmarkEnd w:id="30"/>
    </w:p>
    <w:tbl>
      <w:tblPr>
        <w:tblStyle w:val="TableGrid"/>
        <w:tblW w:w="0" w:type="auto"/>
        <w:jc w:val="center"/>
        <w:tblLayout w:type="fixed"/>
        <w:tblLook w:val="04A0" w:firstRow="1" w:lastRow="0" w:firstColumn="1" w:lastColumn="0" w:noHBand="0" w:noVBand="1"/>
      </w:tblPr>
      <w:tblGrid>
        <w:gridCol w:w="1512"/>
        <w:gridCol w:w="3402"/>
        <w:gridCol w:w="4394"/>
      </w:tblGrid>
      <w:tr w:rsidR="004D16D6" w:rsidRPr="008E0AFA" w14:paraId="4C5DFC4C" w14:textId="77777777" w:rsidTr="00AB477E">
        <w:trPr>
          <w:trHeight w:val="561"/>
          <w:jc w:val="center"/>
        </w:trPr>
        <w:tc>
          <w:tcPr>
            <w:tcW w:w="1512" w:type="dxa"/>
            <w:shd w:val="clear" w:color="auto" w:fill="92CDDC" w:themeFill="accent5" w:themeFillTint="99"/>
            <w:vAlign w:val="center"/>
          </w:tcPr>
          <w:p w14:paraId="6B4B74DF" w14:textId="77777777" w:rsidR="004D16D6" w:rsidRPr="008E0AFA" w:rsidRDefault="004D16D6" w:rsidP="00AB477E">
            <w:pPr>
              <w:spacing w:before="0" w:line="240" w:lineRule="auto"/>
              <w:jc w:val="left"/>
              <w:rPr>
                <w:rFonts w:asciiTheme="minorHAnsi" w:hAnsiTheme="minorHAnsi" w:cstheme="minorHAnsi"/>
                <w:b/>
                <w:szCs w:val="22"/>
              </w:rPr>
            </w:pPr>
            <w:r w:rsidRPr="008E0AFA">
              <w:rPr>
                <w:rFonts w:asciiTheme="minorHAnsi" w:hAnsiTheme="minorHAnsi" w:cstheme="minorHAnsi"/>
                <w:b/>
                <w:szCs w:val="22"/>
              </w:rPr>
              <w:t>PGSI SCORE</w:t>
            </w:r>
          </w:p>
        </w:tc>
        <w:tc>
          <w:tcPr>
            <w:tcW w:w="3402" w:type="dxa"/>
            <w:shd w:val="clear" w:color="auto" w:fill="92CDDC" w:themeFill="accent5" w:themeFillTint="99"/>
            <w:vAlign w:val="center"/>
          </w:tcPr>
          <w:p w14:paraId="48CF82A0" w14:textId="77777777" w:rsidR="004D16D6" w:rsidRPr="008E0AFA" w:rsidRDefault="004D16D6" w:rsidP="00AB477E">
            <w:pPr>
              <w:spacing w:before="0" w:line="240" w:lineRule="auto"/>
              <w:jc w:val="left"/>
              <w:rPr>
                <w:rFonts w:asciiTheme="minorHAnsi" w:hAnsiTheme="minorHAnsi" w:cstheme="minorHAnsi"/>
                <w:b/>
                <w:szCs w:val="22"/>
              </w:rPr>
            </w:pPr>
            <w:r>
              <w:rPr>
                <w:rFonts w:asciiTheme="minorHAnsi" w:hAnsiTheme="minorHAnsi" w:cstheme="minorHAnsi"/>
                <w:b/>
                <w:szCs w:val="22"/>
              </w:rPr>
              <w:t>PGSI CATEGORISATION</w:t>
            </w:r>
          </w:p>
        </w:tc>
        <w:tc>
          <w:tcPr>
            <w:tcW w:w="4394" w:type="dxa"/>
            <w:shd w:val="clear" w:color="auto" w:fill="92CDDC" w:themeFill="accent5" w:themeFillTint="99"/>
            <w:vAlign w:val="center"/>
          </w:tcPr>
          <w:p w14:paraId="5BD31874" w14:textId="77777777" w:rsidR="004D16D6" w:rsidRPr="008E0AFA" w:rsidRDefault="004D16D6" w:rsidP="00AB477E">
            <w:pPr>
              <w:spacing w:before="0" w:line="240" w:lineRule="auto"/>
              <w:jc w:val="left"/>
              <w:rPr>
                <w:rFonts w:asciiTheme="minorHAnsi" w:hAnsiTheme="minorHAnsi" w:cstheme="minorHAnsi"/>
                <w:b/>
                <w:szCs w:val="22"/>
              </w:rPr>
            </w:pPr>
            <w:r w:rsidRPr="008E0AFA">
              <w:rPr>
                <w:rFonts w:asciiTheme="minorHAnsi" w:hAnsiTheme="minorHAnsi" w:cstheme="minorHAnsi"/>
                <w:b/>
                <w:szCs w:val="22"/>
              </w:rPr>
              <w:t>DEFINING CHARACTERISITCS</w:t>
            </w:r>
          </w:p>
        </w:tc>
      </w:tr>
      <w:tr w:rsidR="004D16D6" w:rsidRPr="008E0AFA" w14:paraId="2ACFDD93" w14:textId="77777777" w:rsidTr="00AB477E">
        <w:trPr>
          <w:jc w:val="center"/>
        </w:trPr>
        <w:tc>
          <w:tcPr>
            <w:tcW w:w="1512" w:type="dxa"/>
            <w:tcBorders>
              <w:bottom w:val="nil"/>
            </w:tcBorders>
            <w:shd w:val="clear" w:color="auto" w:fill="DAEEF3" w:themeFill="accent5" w:themeFillTint="33"/>
            <w:vAlign w:val="center"/>
          </w:tcPr>
          <w:p w14:paraId="4CA4C780"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0</w:t>
            </w:r>
          </w:p>
        </w:tc>
        <w:tc>
          <w:tcPr>
            <w:tcW w:w="3402" w:type="dxa"/>
            <w:tcBorders>
              <w:bottom w:val="nil"/>
            </w:tcBorders>
            <w:shd w:val="clear" w:color="auto" w:fill="DAEEF3" w:themeFill="accent5" w:themeFillTint="33"/>
            <w:vAlign w:val="center"/>
          </w:tcPr>
          <w:p w14:paraId="688655CF" w14:textId="77777777" w:rsidR="004D16D6" w:rsidRPr="008E0AFA" w:rsidRDefault="004D16D6" w:rsidP="00AB477E">
            <w:pPr>
              <w:spacing w:before="0" w:line="240" w:lineRule="auto"/>
              <w:ind w:left="176" w:hanging="88"/>
              <w:jc w:val="left"/>
              <w:rPr>
                <w:rFonts w:asciiTheme="minorHAnsi" w:hAnsiTheme="minorHAnsi"/>
                <w:szCs w:val="22"/>
              </w:rPr>
            </w:pPr>
            <w:r w:rsidRPr="008E0AFA">
              <w:rPr>
                <w:rFonts w:asciiTheme="minorHAnsi" w:hAnsiTheme="minorHAnsi"/>
                <w:szCs w:val="22"/>
              </w:rPr>
              <w:t>Non-problematic / recreational gambling</w:t>
            </w:r>
          </w:p>
        </w:tc>
        <w:tc>
          <w:tcPr>
            <w:tcW w:w="4394" w:type="dxa"/>
            <w:tcBorders>
              <w:bottom w:val="nil"/>
            </w:tcBorders>
            <w:shd w:val="clear" w:color="auto" w:fill="DAEEF3" w:themeFill="accent5" w:themeFillTint="33"/>
          </w:tcPr>
          <w:p w14:paraId="0496DE03" w14:textId="77777777" w:rsidR="004D16D6" w:rsidRPr="008E0AFA" w:rsidRDefault="004D16D6" w:rsidP="00AB477E">
            <w:pPr>
              <w:spacing w:before="0" w:line="240" w:lineRule="auto"/>
              <w:ind w:left="176" w:hanging="142"/>
              <w:jc w:val="left"/>
              <w:rPr>
                <w:rFonts w:asciiTheme="minorHAnsi" w:hAnsiTheme="minorHAnsi"/>
                <w:szCs w:val="22"/>
              </w:rPr>
            </w:pPr>
            <w:r w:rsidRPr="008E0AFA">
              <w:rPr>
                <w:rFonts w:asciiTheme="minorHAnsi" w:hAnsiTheme="minorHAnsi"/>
                <w:szCs w:val="22"/>
              </w:rPr>
              <w:t>Gambling with no associated problems or negative impacts</w:t>
            </w:r>
          </w:p>
        </w:tc>
      </w:tr>
      <w:tr w:rsidR="004D16D6" w:rsidRPr="008E0AFA" w14:paraId="0287A0D8" w14:textId="77777777" w:rsidTr="00AB477E">
        <w:trPr>
          <w:jc w:val="center"/>
        </w:trPr>
        <w:tc>
          <w:tcPr>
            <w:tcW w:w="1512" w:type="dxa"/>
            <w:tcBorders>
              <w:top w:val="nil"/>
              <w:bottom w:val="nil"/>
            </w:tcBorders>
            <w:shd w:val="clear" w:color="auto" w:fill="DAEEF3" w:themeFill="accent5" w:themeFillTint="33"/>
            <w:vAlign w:val="center"/>
          </w:tcPr>
          <w:p w14:paraId="03742AFF"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1 or 2</w:t>
            </w:r>
          </w:p>
        </w:tc>
        <w:tc>
          <w:tcPr>
            <w:tcW w:w="3402" w:type="dxa"/>
            <w:tcBorders>
              <w:top w:val="nil"/>
              <w:bottom w:val="nil"/>
            </w:tcBorders>
            <w:shd w:val="clear" w:color="auto" w:fill="DAEEF3" w:themeFill="accent5" w:themeFillTint="33"/>
            <w:vAlign w:val="center"/>
          </w:tcPr>
          <w:p w14:paraId="1AA21CE8"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szCs w:val="22"/>
              </w:rPr>
              <w:t>Low-risk gambling</w:t>
            </w:r>
          </w:p>
        </w:tc>
        <w:tc>
          <w:tcPr>
            <w:tcW w:w="4394" w:type="dxa"/>
            <w:tcBorders>
              <w:top w:val="nil"/>
              <w:bottom w:val="nil"/>
            </w:tcBorders>
            <w:shd w:val="clear" w:color="auto" w:fill="DAEEF3" w:themeFill="accent5" w:themeFillTint="33"/>
          </w:tcPr>
          <w:p w14:paraId="583BA076" w14:textId="77777777" w:rsidR="004D16D6" w:rsidRPr="008E0AFA" w:rsidRDefault="004D16D6" w:rsidP="00AB477E">
            <w:pPr>
              <w:spacing w:before="0" w:line="240" w:lineRule="auto"/>
              <w:ind w:left="176" w:hanging="142"/>
              <w:jc w:val="left"/>
              <w:rPr>
                <w:rFonts w:asciiTheme="minorHAnsi" w:hAnsiTheme="minorHAnsi"/>
                <w:szCs w:val="22"/>
              </w:rPr>
            </w:pPr>
            <w:r w:rsidRPr="008E0AFA">
              <w:rPr>
                <w:rFonts w:asciiTheme="minorHAnsi" w:hAnsiTheme="minorHAnsi"/>
                <w:szCs w:val="22"/>
              </w:rPr>
              <w:t>Low level of problems with few or no identified negative consequences</w:t>
            </w:r>
          </w:p>
        </w:tc>
      </w:tr>
      <w:tr w:rsidR="004D16D6" w:rsidRPr="008E0AFA" w14:paraId="7A900004" w14:textId="77777777" w:rsidTr="00AB477E">
        <w:trPr>
          <w:jc w:val="center"/>
        </w:trPr>
        <w:tc>
          <w:tcPr>
            <w:tcW w:w="1512" w:type="dxa"/>
            <w:tcBorders>
              <w:top w:val="nil"/>
              <w:bottom w:val="nil"/>
            </w:tcBorders>
            <w:shd w:val="clear" w:color="auto" w:fill="DAEEF3" w:themeFill="accent5" w:themeFillTint="33"/>
            <w:vAlign w:val="center"/>
          </w:tcPr>
          <w:p w14:paraId="28322702"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3 to 7</w:t>
            </w:r>
          </w:p>
        </w:tc>
        <w:tc>
          <w:tcPr>
            <w:tcW w:w="3402" w:type="dxa"/>
            <w:tcBorders>
              <w:top w:val="nil"/>
              <w:bottom w:val="nil"/>
            </w:tcBorders>
            <w:shd w:val="clear" w:color="auto" w:fill="DAEEF3" w:themeFill="accent5" w:themeFillTint="33"/>
            <w:vAlign w:val="center"/>
          </w:tcPr>
          <w:p w14:paraId="270F3579"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Moderate-risk gambling</w:t>
            </w:r>
          </w:p>
        </w:tc>
        <w:tc>
          <w:tcPr>
            <w:tcW w:w="4394" w:type="dxa"/>
            <w:tcBorders>
              <w:top w:val="nil"/>
              <w:bottom w:val="nil"/>
            </w:tcBorders>
            <w:shd w:val="clear" w:color="auto" w:fill="DAEEF3" w:themeFill="accent5" w:themeFillTint="33"/>
          </w:tcPr>
          <w:p w14:paraId="0D8320DA" w14:textId="77777777" w:rsidR="004D16D6" w:rsidRPr="008E0AFA" w:rsidRDefault="004D16D6" w:rsidP="00AB477E">
            <w:pPr>
              <w:spacing w:before="0" w:line="240" w:lineRule="auto"/>
              <w:ind w:left="176" w:hanging="142"/>
              <w:jc w:val="left"/>
              <w:rPr>
                <w:rFonts w:asciiTheme="minorHAnsi" w:hAnsiTheme="minorHAnsi" w:cstheme="minorHAnsi"/>
                <w:szCs w:val="22"/>
              </w:rPr>
            </w:pPr>
            <w:r w:rsidRPr="008E0AFA">
              <w:rPr>
                <w:rFonts w:asciiTheme="minorHAnsi" w:hAnsiTheme="minorHAnsi" w:cstheme="minorHAnsi"/>
                <w:szCs w:val="22"/>
              </w:rPr>
              <w:t>Moderate level of problems leading to some negative consequences</w:t>
            </w:r>
          </w:p>
        </w:tc>
      </w:tr>
      <w:tr w:rsidR="004D16D6" w:rsidRPr="008E0AFA" w14:paraId="62299D4C" w14:textId="77777777" w:rsidTr="00AB477E">
        <w:trPr>
          <w:jc w:val="center"/>
        </w:trPr>
        <w:tc>
          <w:tcPr>
            <w:tcW w:w="1512" w:type="dxa"/>
            <w:tcBorders>
              <w:top w:val="nil"/>
              <w:bottom w:val="single" w:sz="4" w:space="0" w:color="auto"/>
            </w:tcBorders>
            <w:shd w:val="clear" w:color="auto" w:fill="DAEEF3" w:themeFill="accent5" w:themeFillTint="33"/>
            <w:vAlign w:val="center"/>
          </w:tcPr>
          <w:p w14:paraId="015D9BD5"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8 or more</w:t>
            </w:r>
          </w:p>
        </w:tc>
        <w:tc>
          <w:tcPr>
            <w:tcW w:w="3402" w:type="dxa"/>
            <w:tcBorders>
              <w:top w:val="nil"/>
              <w:bottom w:val="single" w:sz="4" w:space="0" w:color="auto"/>
            </w:tcBorders>
            <w:shd w:val="clear" w:color="auto" w:fill="DAEEF3" w:themeFill="accent5" w:themeFillTint="33"/>
            <w:vAlign w:val="center"/>
          </w:tcPr>
          <w:p w14:paraId="7F2FEFF3" w14:textId="77777777" w:rsidR="004D16D6" w:rsidRPr="008E0AFA" w:rsidRDefault="004D16D6" w:rsidP="00AB477E">
            <w:pPr>
              <w:spacing w:before="0" w:line="240" w:lineRule="auto"/>
              <w:ind w:left="78"/>
              <w:jc w:val="left"/>
              <w:rPr>
                <w:rFonts w:asciiTheme="minorHAnsi" w:hAnsiTheme="minorHAnsi" w:cstheme="minorHAnsi"/>
                <w:szCs w:val="22"/>
              </w:rPr>
            </w:pPr>
            <w:r w:rsidRPr="008E0AFA">
              <w:rPr>
                <w:rFonts w:asciiTheme="minorHAnsi" w:hAnsiTheme="minorHAnsi" w:cstheme="minorHAnsi"/>
                <w:szCs w:val="22"/>
              </w:rPr>
              <w:t>Problem gambling</w:t>
            </w:r>
          </w:p>
        </w:tc>
        <w:tc>
          <w:tcPr>
            <w:tcW w:w="4394" w:type="dxa"/>
            <w:tcBorders>
              <w:top w:val="nil"/>
              <w:bottom w:val="single" w:sz="4" w:space="0" w:color="auto"/>
            </w:tcBorders>
            <w:shd w:val="clear" w:color="auto" w:fill="DAEEF3" w:themeFill="accent5" w:themeFillTint="33"/>
          </w:tcPr>
          <w:p w14:paraId="6D15389C" w14:textId="77777777" w:rsidR="004D16D6" w:rsidRPr="008E0AFA" w:rsidRDefault="004D16D6" w:rsidP="00AB477E">
            <w:pPr>
              <w:spacing w:before="0" w:line="240" w:lineRule="auto"/>
              <w:ind w:left="176" w:hanging="142"/>
              <w:jc w:val="left"/>
              <w:rPr>
                <w:rFonts w:asciiTheme="minorHAnsi" w:hAnsiTheme="minorHAnsi" w:cstheme="minorHAnsi"/>
                <w:szCs w:val="22"/>
              </w:rPr>
            </w:pPr>
            <w:r w:rsidRPr="008E0AFA">
              <w:rPr>
                <w:rFonts w:asciiTheme="minorHAnsi" w:hAnsiTheme="minorHAnsi" w:cstheme="minorHAnsi"/>
                <w:szCs w:val="22"/>
              </w:rPr>
              <w:t>Problem gambling with negative consequences and a possible loss of control</w:t>
            </w:r>
          </w:p>
        </w:tc>
      </w:tr>
    </w:tbl>
    <w:p w14:paraId="71846AB6" w14:textId="77777777" w:rsidR="00995EA9" w:rsidRPr="00E31A11" w:rsidRDefault="00995EA9" w:rsidP="002E03BE">
      <w:pPr>
        <w:rPr>
          <w:rFonts w:asciiTheme="minorHAnsi" w:hAnsiTheme="minorHAnsi"/>
        </w:rPr>
      </w:pPr>
    </w:p>
    <w:p w14:paraId="7FFEBCDA" w14:textId="77777777" w:rsidR="002E582E" w:rsidRPr="002E582E" w:rsidRDefault="002E582E" w:rsidP="00F061EF">
      <w:pPr>
        <w:pStyle w:val="Heading2"/>
      </w:pPr>
      <w:bookmarkStart w:id="31" w:name="_Toc403833150"/>
      <w:r w:rsidRPr="002E582E">
        <w:t xml:space="preserve">Analysis of </w:t>
      </w:r>
      <w:r>
        <w:t>g</w:t>
      </w:r>
      <w:r w:rsidRPr="002E582E">
        <w:t xml:space="preserve">ambling and </w:t>
      </w:r>
      <w:r>
        <w:t>p</w:t>
      </w:r>
      <w:r w:rsidRPr="002E582E">
        <w:t xml:space="preserve">roblem </w:t>
      </w:r>
      <w:r>
        <w:t>gambling d</w:t>
      </w:r>
      <w:r w:rsidRPr="002E582E">
        <w:t>ata</w:t>
      </w:r>
      <w:r w:rsidR="009F0656">
        <w:t xml:space="preserve"> from the 2011/12 New Zealand Health Survey</w:t>
      </w:r>
      <w:bookmarkEnd w:id="31"/>
      <w:r w:rsidR="009F0656" w:rsidRPr="002E582E">
        <w:t xml:space="preserve">  </w:t>
      </w:r>
    </w:p>
    <w:p w14:paraId="6A9FF765" w14:textId="77777777" w:rsidR="004C3514" w:rsidRPr="004C3514" w:rsidRDefault="009F0656" w:rsidP="004C3514">
      <w:pPr>
        <w:rPr>
          <w:rFonts w:asciiTheme="minorHAnsi" w:hAnsiTheme="minorHAnsi"/>
        </w:rPr>
      </w:pPr>
      <w:r w:rsidRPr="00A26BE3">
        <w:rPr>
          <w:rFonts w:asciiTheme="minorHAnsi" w:hAnsiTheme="minorHAnsi"/>
        </w:rPr>
        <w:t xml:space="preserve">This report </w:t>
      </w:r>
      <w:r w:rsidR="009051ED" w:rsidRPr="00A26BE3">
        <w:rPr>
          <w:rFonts w:asciiTheme="minorHAnsi" w:hAnsiTheme="minorHAnsi"/>
        </w:rPr>
        <w:t>provides</w:t>
      </w:r>
      <w:r w:rsidR="002E582E" w:rsidRPr="00A26BE3">
        <w:rPr>
          <w:rFonts w:asciiTheme="minorHAnsi" w:hAnsiTheme="minorHAnsi"/>
        </w:rPr>
        <w:t xml:space="preserve"> a comprehensive analysis of the 2011/12 </w:t>
      </w:r>
      <w:r w:rsidR="00CF60F8" w:rsidRPr="00A26BE3">
        <w:rPr>
          <w:rFonts w:asciiTheme="minorHAnsi" w:hAnsiTheme="minorHAnsi"/>
        </w:rPr>
        <w:t xml:space="preserve">NZHS </w:t>
      </w:r>
      <w:r w:rsidR="002E582E" w:rsidRPr="00A26BE3">
        <w:rPr>
          <w:rFonts w:asciiTheme="minorHAnsi" w:hAnsiTheme="minorHAnsi"/>
        </w:rPr>
        <w:t xml:space="preserve">gambling and problem gambling data. </w:t>
      </w:r>
      <w:r w:rsidR="004C3514">
        <w:rPr>
          <w:rFonts w:asciiTheme="minorHAnsi" w:hAnsiTheme="minorHAnsi"/>
        </w:rPr>
        <w:t xml:space="preserve"> </w:t>
      </w:r>
      <w:r w:rsidR="007F4EAC" w:rsidRPr="00F6074F">
        <w:rPr>
          <w:rFonts w:asciiTheme="minorHAnsi" w:hAnsiTheme="minorHAnsi"/>
        </w:rPr>
        <w:t xml:space="preserve">NZHS datasets were obtained from Statistics New Zealand following completion of the </w:t>
      </w:r>
      <w:proofErr w:type="spellStart"/>
      <w:r w:rsidR="007F4EAC" w:rsidRPr="00F6074F">
        <w:rPr>
          <w:rFonts w:asciiTheme="minorHAnsi" w:hAnsiTheme="minorHAnsi"/>
        </w:rPr>
        <w:t>Confidentialised</w:t>
      </w:r>
      <w:proofErr w:type="spellEnd"/>
      <w:r w:rsidR="007F4EAC" w:rsidRPr="00F6074F">
        <w:rPr>
          <w:rFonts w:asciiTheme="minorHAnsi" w:hAnsiTheme="minorHAnsi"/>
        </w:rPr>
        <w:t xml:space="preserve"> Unit Record File (CURF) process.  Following data extraction</w:t>
      </w:r>
      <w:r w:rsidR="00BA6872">
        <w:rPr>
          <w:rFonts w:asciiTheme="minorHAnsi" w:hAnsiTheme="minorHAnsi"/>
        </w:rPr>
        <w:t>,</w:t>
      </w:r>
      <w:r w:rsidR="007F4EAC" w:rsidRPr="00F6074F">
        <w:rPr>
          <w:rFonts w:asciiTheme="minorHAnsi" w:hAnsiTheme="minorHAnsi"/>
        </w:rPr>
        <w:t xml:space="preserve"> t</w:t>
      </w:r>
      <w:r w:rsidR="004C3514">
        <w:rPr>
          <w:rFonts w:asciiTheme="minorHAnsi" w:hAnsiTheme="minorHAnsi"/>
        </w:rPr>
        <w:t xml:space="preserve">he analysis </w:t>
      </w:r>
      <w:r w:rsidR="004C3514" w:rsidRPr="004C3514">
        <w:rPr>
          <w:rFonts w:asciiTheme="minorHAnsi" w:hAnsiTheme="minorHAnsi"/>
        </w:rPr>
        <w:t>consisted of three stages which can be summarised as:</w:t>
      </w:r>
    </w:p>
    <w:p w14:paraId="15E2D5CE" w14:textId="77777777" w:rsidR="004C3514" w:rsidRPr="004C3514" w:rsidRDefault="004C3514" w:rsidP="004F129A">
      <w:pPr>
        <w:pStyle w:val="ListParagraph"/>
        <w:numPr>
          <w:ilvl w:val="0"/>
          <w:numId w:val="75"/>
        </w:numPr>
        <w:rPr>
          <w:rFonts w:asciiTheme="minorHAnsi" w:hAnsiTheme="minorHAnsi"/>
        </w:rPr>
      </w:pPr>
      <w:r w:rsidRPr="004C3514">
        <w:rPr>
          <w:rFonts w:asciiTheme="minorHAnsi" w:hAnsiTheme="minorHAnsi"/>
          <w:i/>
        </w:rPr>
        <w:t>Descriptive data:</w:t>
      </w:r>
      <w:r w:rsidRPr="004C3514">
        <w:rPr>
          <w:rFonts w:asciiTheme="minorHAnsi" w:hAnsiTheme="minorHAnsi"/>
        </w:rPr>
        <w:t xml:space="preserve"> </w:t>
      </w:r>
      <w:r>
        <w:rPr>
          <w:rFonts w:asciiTheme="minorHAnsi" w:hAnsiTheme="minorHAnsi"/>
        </w:rPr>
        <w:t xml:space="preserve"> </w:t>
      </w:r>
      <w:r w:rsidRPr="004C3514">
        <w:rPr>
          <w:rFonts w:asciiTheme="minorHAnsi" w:hAnsiTheme="minorHAnsi"/>
        </w:rPr>
        <w:t>This stage involve</w:t>
      </w:r>
      <w:r w:rsidR="00BA6872">
        <w:rPr>
          <w:rFonts w:asciiTheme="minorHAnsi" w:hAnsiTheme="minorHAnsi"/>
        </w:rPr>
        <w:t>d</w:t>
      </w:r>
      <w:r w:rsidRPr="004C3514">
        <w:rPr>
          <w:rFonts w:asciiTheme="minorHAnsi" w:hAnsiTheme="minorHAnsi"/>
        </w:rPr>
        <w:t xml:space="preserve"> the completion of in-depth descriptive analyses for each of the gambling and problem gambling questions from the NZHS 2011/12 survey. </w:t>
      </w:r>
      <w:r w:rsidR="00423312">
        <w:rPr>
          <w:rFonts w:asciiTheme="minorHAnsi" w:hAnsiTheme="minorHAnsi"/>
        </w:rPr>
        <w:t xml:space="preserve"> </w:t>
      </w:r>
      <w:r w:rsidRPr="004C3514">
        <w:rPr>
          <w:rFonts w:asciiTheme="minorHAnsi" w:hAnsiTheme="minorHAnsi"/>
        </w:rPr>
        <w:t xml:space="preserve">Results </w:t>
      </w:r>
      <w:r>
        <w:rPr>
          <w:rFonts w:asciiTheme="minorHAnsi" w:hAnsiTheme="minorHAnsi"/>
        </w:rPr>
        <w:t>have been</w:t>
      </w:r>
      <w:r w:rsidRPr="004C3514">
        <w:rPr>
          <w:rFonts w:asciiTheme="minorHAnsi" w:hAnsiTheme="minorHAnsi"/>
        </w:rPr>
        <w:t xml:space="preserve"> reported </w:t>
      </w:r>
      <w:r w:rsidRPr="004C3514">
        <w:rPr>
          <w:rFonts w:asciiTheme="minorHAnsi" w:hAnsiTheme="minorHAnsi"/>
        </w:rPr>
        <w:lastRenderedPageBreak/>
        <w:t>as overall estimates for each item and broken down by major socio-demographic measures</w:t>
      </w:r>
      <w:r w:rsidRPr="004C3514">
        <w:rPr>
          <w:vertAlign w:val="superscript"/>
        </w:rPr>
        <w:footnoteReference w:id="4"/>
      </w:r>
      <w:r w:rsidRPr="004C3514">
        <w:rPr>
          <w:rFonts w:asciiTheme="minorHAnsi" w:hAnsiTheme="minorHAnsi"/>
        </w:rPr>
        <w:t xml:space="preserve">: age, </w:t>
      </w:r>
      <w:r>
        <w:rPr>
          <w:rFonts w:asciiTheme="minorHAnsi" w:hAnsiTheme="minorHAnsi"/>
        </w:rPr>
        <w:t>gender</w:t>
      </w:r>
      <w:r w:rsidRPr="004C3514">
        <w:rPr>
          <w:rFonts w:asciiTheme="minorHAnsi" w:hAnsiTheme="minorHAnsi"/>
        </w:rPr>
        <w:t>, ethnicity, socio-economic status/deprivation</w:t>
      </w:r>
      <w:r>
        <w:rPr>
          <w:rFonts w:asciiTheme="minorHAnsi" w:hAnsiTheme="minorHAnsi"/>
        </w:rPr>
        <w:t>, and geography (living in an urban/rural location)</w:t>
      </w:r>
      <w:r w:rsidRPr="004C3514">
        <w:rPr>
          <w:rFonts w:asciiTheme="minorHAnsi" w:hAnsiTheme="minorHAnsi"/>
        </w:rPr>
        <w:t xml:space="preserve">. The resulting statistics include prevalence estimates (i.e. estimated numbers, weighted percentages and 95% confidence intervals). </w:t>
      </w:r>
    </w:p>
    <w:p w14:paraId="3A30F9D5" w14:textId="77777777" w:rsidR="004C3514" w:rsidRPr="00810DFE" w:rsidRDefault="004C3514" w:rsidP="004F129A">
      <w:pPr>
        <w:pStyle w:val="ListParagraph"/>
        <w:numPr>
          <w:ilvl w:val="0"/>
          <w:numId w:val="75"/>
        </w:numPr>
        <w:rPr>
          <w:rFonts w:asciiTheme="minorHAnsi" w:hAnsiTheme="minorHAnsi"/>
        </w:rPr>
      </w:pPr>
      <w:r w:rsidRPr="00FF4243">
        <w:rPr>
          <w:rFonts w:asciiTheme="minorHAnsi" w:hAnsiTheme="minorHAnsi"/>
          <w:i/>
        </w:rPr>
        <w:t xml:space="preserve">Exploration of correlates:  </w:t>
      </w:r>
      <w:r w:rsidRPr="00FF4243">
        <w:rPr>
          <w:rFonts w:asciiTheme="minorHAnsi" w:hAnsiTheme="minorHAnsi"/>
        </w:rPr>
        <w:t>This second stage of analysis employ</w:t>
      </w:r>
      <w:r w:rsidR="00FF4243" w:rsidRPr="00FF4243">
        <w:rPr>
          <w:rFonts w:asciiTheme="minorHAnsi" w:hAnsiTheme="minorHAnsi"/>
        </w:rPr>
        <w:t>ed</w:t>
      </w:r>
      <w:r w:rsidRPr="00FF4243">
        <w:rPr>
          <w:rFonts w:asciiTheme="minorHAnsi" w:hAnsiTheme="minorHAnsi"/>
        </w:rPr>
        <w:t xml:space="preserve"> logistic regression models to investigate associations between </w:t>
      </w:r>
      <w:r w:rsidR="001E4885">
        <w:rPr>
          <w:rFonts w:asciiTheme="minorHAnsi" w:hAnsiTheme="minorHAnsi"/>
        </w:rPr>
        <w:t xml:space="preserve">PGSI </w:t>
      </w:r>
      <w:r w:rsidRPr="00FF4243">
        <w:rPr>
          <w:rFonts w:asciiTheme="minorHAnsi" w:hAnsiTheme="minorHAnsi"/>
        </w:rPr>
        <w:t xml:space="preserve">gambling status (i.e. </w:t>
      </w:r>
      <w:r w:rsidR="00FF4243" w:rsidRPr="00FF4243">
        <w:rPr>
          <w:rFonts w:asciiTheme="minorHAnsi" w:hAnsiTheme="minorHAnsi"/>
        </w:rPr>
        <w:t>non-gambler, non-problem/recreational</w:t>
      </w:r>
      <w:r w:rsidRPr="00FF4243">
        <w:rPr>
          <w:rFonts w:asciiTheme="minorHAnsi" w:hAnsiTheme="minorHAnsi"/>
        </w:rPr>
        <w:t>, low-risk, moderate-risk, or problem gambler), major demographic measures, and potential risk/resiliency factors</w:t>
      </w:r>
      <w:r w:rsidR="00FF4243" w:rsidRPr="00FF4243">
        <w:rPr>
          <w:rFonts w:asciiTheme="minorHAnsi" w:hAnsiTheme="minorHAnsi"/>
        </w:rPr>
        <w:t>:</w:t>
      </w:r>
      <w:r w:rsidRPr="00FF4243">
        <w:rPr>
          <w:rFonts w:asciiTheme="minorHAnsi" w:hAnsiTheme="minorHAnsi"/>
        </w:rPr>
        <w:t xml:space="preserve"> </w:t>
      </w:r>
      <w:r w:rsidR="00FF4243" w:rsidRPr="00FF4243">
        <w:rPr>
          <w:rFonts w:asciiTheme="minorHAnsi" w:hAnsiTheme="minorHAnsi"/>
        </w:rPr>
        <w:t>socio-demographic variables; other dangerous consumptions</w:t>
      </w:r>
      <w:r w:rsidRPr="00FF4243">
        <w:rPr>
          <w:rFonts w:asciiTheme="minorHAnsi" w:hAnsiTheme="minorHAnsi"/>
        </w:rPr>
        <w:t xml:space="preserve">; </w:t>
      </w:r>
      <w:r w:rsidR="00FF4243" w:rsidRPr="00FF4243">
        <w:rPr>
          <w:rFonts w:asciiTheme="minorHAnsi" w:hAnsiTheme="minorHAnsi"/>
        </w:rPr>
        <w:t>health and gambling (self-rated health, psychological distress and diagnosis of a common</w:t>
      </w:r>
      <w:r w:rsidRPr="00FF4243">
        <w:rPr>
          <w:rFonts w:asciiTheme="minorHAnsi" w:hAnsiTheme="minorHAnsi"/>
        </w:rPr>
        <w:t xml:space="preserve"> mental health condition</w:t>
      </w:r>
      <w:r w:rsidR="00FF4243" w:rsidRPr="00FF4243">
        <w:rPr>
          <w:rFonts w:asciiTheme="minorHAnsi" w:hAnsiTheme="minorHAnsi"/>
        </w:rPr>
        <w:t xml:space="preserve">); and use of </w:t>
      </w:r>
      <w:r w:rsidRPr="00FF4243">
        <w:rPr>
          <w:rFonts w:asciiTheme="minorHAnsi" w:hAnsiTheme="minorHAnsi"/>
        </w:rPr>
        <w:t>health</w:t>
      </w:r>
      <w:r w:rsidR="00FF4243" w:rsidRPr="00FF4243">
        <w:rPr>
          <w:rFonts w:asciiTheme="minorHAnsi" w:hAnsiTheme="minorHAnsi"/>
        </w:rPr>
        <w:t xml:space="preserve"> services</w:t>
      </w:r>
      <w:r w:rsidRPr="00FF4243">
        <w:rPr>
          <w:rFonts w:asciiTheme="minorHAnsi" w:hAnsiTheme="minorHAnsi"/>
        </w:rPr>
        <w:t xml:space="preserve">. </w:t>
      </w:r>
      <w:r w:rsidR="00FF4243" w:rsidRPr="00FF4243">
        <w:rPr>
          <w:rFonts w:asciiTheme="minorHAnsi" w:hAnsiTheme="minorHAnsi"/>
        </w:rPr>
        <w:t xml:space="preserve"> Prevalence estimates (i.e. weighted percentages and 95% </w:t>
      </w:r>
      <w:r w:rsidR="00FF4243" w:rsidRPr="00810DFE">
        <w:rPr>
          <w:rFonts w:asciiTheme="minorHAnsi" w:hAnsiTheme="minorHAnsi"/>
        </w:rPr>
        <w:t>confidence intervals) have been reported alongside m</w:t>
      </w:r>
      <w:r w:rsidRPr="00810DFE">
        <w:rPr>
          <w:rFonts w:asciiTheme="minorHAnsi" w:hAnsiTheme="minorHAnsi"/>
        </w:rPr>
        <w:t>easures of statistical significance (p-value</w:t>
      </w:r>
      <w:r w:rsidR="00FF4243" w:rsidRPr="00810DFE">
        <w:rPr>
          <w:rFonts w:asciiTheme="minorHAnsi" w:hAnsiTheme="minorHAnsi"/>
        </w:rPr>
        <w:t>s and odds ratios).</w:t>
      </w:r>
    </w:p>
    <w:p w14:paraId="6D107634" w14:textId="77777777" w:rsidR="003409DA" w:rsidRPr="003409DA" w:rsidRDefault="004C3514" w:rsidP="003409DA">
      <w:pPr>
        <w:pStyle w:val="BodyText"/>
        <w:numPr>
          <w:ilvl w:val="0"/>
          <w:numId w:val="75"/>
        </w:numPr>
        <w:spacing w:line="480" w:lineRule="auto"/>
        <w:rPr>
          <w:rFonts w:ascii="Calibri" w:hAnsi="Calibri"/>
        </w:rPr>
      </w:pPr>
      <w:r w:rsidRPr="00810DFE">
        <w:rPr>
          <w:i/>
        </w:rPr>
        <w:t>Time-series trends</w:t>
      </w:r>
      <w:r w:rsidRPr="00810DFE">
        <w:t xml:space="preserve">:  Finally, analysis of trends over time </w:t>
      </w:r>
      <w:r w:rsidR="00694F2F" w:rsidRPr="00810DFE">
        <w:t>have</w:t>
      </w:r>
      <w:r w:rsidRPr="00810DFE">
        <w:t xml:space="preserve"> be</w:t>
      </w:r>
      <w:r w:rsidR="00694F2F" w:rsidRPr="00810DFE">
        <w:t>en</w:t>
      </w:r>
      <w:r w:rsidRPr="00810DFE">
        <w:t xml:space="preserve"> carried out on gambling related items that are comparable across the three NZHS waves (2002/03, 2006/07 and 2011/12). </w:t>
      </w:r>
      <w:r w:rsidR="00423312" w:rsidRPr="00810DFE">
        <w:t xml:space="preserve"> </w:t>
      </w:r>
      <w:r w:rsidRPr="00810DFE">
        <w:t xml:space="preserve">Results </w:t>
      </w:r>
      <w:r w:rsidR="00694F2F" w:rsidRPr="00810DFE">
        <w:t>have</w:t>
      </w:r>
      <w:r w:rsidRPr="00810DFE">
        <w:t xml:space="preserve"> be</w:t>
      </w:r>
      <w:r w:rsidR="00694F2F" w:rsidRPr="00810DFE">
        <w:t>en</w:t>
      </w:r>
      <w:r w:rsidRPr="00810DFE">
        <w:t xml:space="preserve"> reported as o</w:t>
      </w:r>
      <w:r w:rsidR="00497083" w:rsidRPr="00810DFE">
        <w:t>verall estimates for each item</w:t>
      </w:r>
      <w:r w:rsidR="009B3A57" w:rsidRPr="00810DFE">
        <w:t xml:space="preserve"> and i</w:t>
      </w:r>
      <w:r w:rsidRPr="00810DFE">
        <w:t xml:space="preserve">nclude </w:t>
      </w:r>
      <w:r w:rsidR="00E728E6" w:rsidRPr="00810DFE">
        <w:t>prevalence estimates (i.e. weighted</w:t>
      </w:r>
      <w:r w:rsidR="00E728E6" w:rsidRPr="00FF4243">
        <w:t xml:space="preserve"> percentages and 95% confidence intervals) </w:t>
      </w:r>
      <w:r w:rsidR="00E728E6">
        <w:t>and m</w:t>
      </w:r>
      <w:r w:rsidR="00E728E6" w:rsidRPr="00FF4243">
        <w:t>easures of statistical significance (p-value</w:t>
      </w:r>
      <w:r w:rsidR="00E728E6">
        <w:t>s and odds ratios).</w:t>
      </w:r>
    </w:p>
    <w:p w14:paraId="3C83A32D" w14:textId="2B93A280" w:rsidR="004E17C8" w:rsidRDefault="003409DA" w:rsidP="003409DA">
      <w:pPr>
        <w:pStyle w:val="BodyText"/>
        <w:spacing w:line="480" w:lineRule="auto"/>
        <w:rPr>
          <w:rFonts w:ascii="Calibri" w:hAnsi="Calibri"/>
        </w:rPr>
      </w:pPr>
      <w:r w:rsidRPr="00A910A4">
        <w:rPr>
          <w:rFonts w:ascii="Calibri" w:hAnsi="Calibri"/>
        </w:rPr>
        <w:t xml:space="preserve"> </w:t>
      </w:r>
      <w:r w:rsidR="004E17C8" w:rsidRPr="00A910A4">
        <w:rPr>
          <w:rFonts w:ascii="Calibri" w:hAnsi="Calibri"/>
        </w:rPr>
        <w:t xml:space="preserve">Statistical analyses were carried out using SAS </w:t>
      </w:r>
      <w:r w:rsidR="004E17C8" w:rsidRPr="00A910A4">
        <w:rPr>
          <w:rFonts w:ascii="Calibri" w:hAnsi="Calibri"/>
        </w:rPr>
        <w:fldChar w:fldCharType="begin"/>
      </w:r>
      <w:r w:rsidR="00A34C5E">
        <w:rPr>
          <w:rFonts w:ascii="Calibri" w:hAnsi="Calibri"/>
        </w:rPr>
        <w:instrText xml:space="preserve"> ADDIN EN.CITE &lt;EndNote&gt;&lt;Cite&gt;&lt;Author&gt;SAS Institute Inc.&lt;/Author&gt;&lt;Year&gt;2011&lt;/Year&gt;&lt;RecNum&gt;121&lt;/RecNum&gt;&lt;DisplayText&gt;(SAS Institute Inc., 2011)&lt;/DisplayText&gt;&lt;record&gt;&lt;rec-number&gt;121&lt;/rec-number&gt;&lt;foreign-keys&gt;&lt;key app="EN" db-id="9pzse05rcvx956etremxfzdh9fzdxvd95rp2"&gt;121&lt;/key&gt;&lt;/foreign-keys&gt;&lt;ref-type name="Book"&gt;6&lt;/ref-type&gt;&lt;contributors&gt;&lt;authors&gt;&lt;author&gt;SAS Institute Inc.,&lt;/author&gt;&lt;/authors&gt;&lt;/contributors&gt;&lt;titles&gt;&lt;title&gt;SAS/STAT Software (Version 9.3)&lt;/title&gt;&lt;/titles&gt;&lt;dates&gt;&lt;year&gt;2011&lt;/year&gt;&lt;/dates&gt;&lt;pub-location&gt;Cary, NC&lt;/pub-location&gt;&lt;publisher&gt;SAS International&lt;/publisher&gt;&lt;urls&gt;&lt;/urls&gt;&lt;/record&gt;&lt;/Cite&gt;&lt;/EndNote&gt;</w:instrText>
      </w:r>
      <w:r w:rsidR="004E17C8" w:rsidRPr="00A910A4">
        <w:rPr>
          <w:rFonts w:ascii="Calibri" w:hAnsi="Calibri"/>
        </w:rPr>
        <w:fldChar w:fldCharType="separate"/>
      </w:r>
      <w:r w:rsidR="004E17C8" w:rsidRPr="00A910A4">
        <w:rPr>
          <w:rFonts w:ascii="Calibri" w:hAnsi="Calibri"/>
          <w:noProof/>
        </w:rPr>
        <w:t>(</w:t>
      </w:r>
      <w:hyperlink w:anchor="_ENREF_55" w:tooltip="SAS Institute Inc., 2011 #121" w:history="1">
        <w:r w:rsidR="00765F46" w:rsidRPr="00A910A4">
          <w:rPr>
            <w:rFonts w:ascii="Calibri" w:hAnsi="Calibri"/>
            <w:noProof/>
          </w:rPr>
          <w:t>SAS Institute Inc., 2011</w:t>
        </w:r>
      </w:hyperlink>
      <w:r w:rsidR="004E17C8" w:rsidRPr="00A910A4">
        <w:rPr>
          <w:rFonts w:ascii="Calibri" w:hAnsi="Calibri"/>
          <w:noProof/>
        </w:rPr>
        <w:t>)</w:t>
      </w:r>
      <w:r w:rsidR="004E17C8" w:rsidRPr="00A910A4">
        <w:rPr>
          <w:rFonts w:ascii="Calibri" w:hAnsi="Calibri"/>
        </w:rPr>
        <w:fldChar w:fldCharType="end"/>
      </w:r>
      <w:r w:rsidR="00DA5373" w:rsidRPr="00A910A4">
        <w:rPr>
          <w:rFonts w:ascii="Calibri" w:hAnsi="Calibri"/>
        </w:rPr>
        <w:t xml:space="preserve"> and </w:t>
      </w:r>
      <w:r w:rsidR="00AB737F" w:rsidRPr="00A910A4">
        <w:rPr>
          <w:rFonts w:ascii="Calibri" w:hAnsi="Calibri"/>
        </w:rPr>
        <w:t xml:space="preserve">STATA </w:t>
      </w:r>
      <w:r w:rsidR="00DA5373" w:rsidRPr="00A910A4">
        <w:rPr>
          <w:rFonts w:ascii="Calibri" w:hAnsi="Calibri"/>
        </w:rPr>
        <w:t>software</w:t>
      </w:r>
      <w:r w:rsidR="004E17C8" w:rsidRPr="00A910A4">
        <w:rPr>
          <w:rFonts w:ascii="Calibri" w:hAnsi="Calibri"/>
        </w:rPr>
        <w:t xml:space="preserve">. </w:t>
      </w:r>
      <w:r w:rsidR="00A910A4">
        <w:rPr>
          <w:rFonts w:ascii="Calibri" w:hAnsi="Calibri"/>
        </w:rPr>
        <w:t xml:space="preserve"> </w:t>
      </w:r>
      <w:r w:rsidR="004E17C8" w:rsidRPr="00A910A4">
        <w:rPr>
          <w:rFonts w:ascii="Calibri" w:hAnsi="Calibri"/>
        </w:rPr>
        <w:t xml:space="preserve">NZHS survey </w:t>
      </w:r>
      <w:r w:rsidR="00A910A4">
        <w:rPr>
          <w:rFonts w:ascii="Calibri" w:hAnsi="Calibri"/>
        </w:rPr>
        <w:t>weights were</w:t>
      </w:r>
      <w:r w:rsidR="004E17C8" w:rsidRPr="00A910A4">
        <w:rPr>
          <w:rFonts w:ascii="Calibri" w:hAnsi="Calibri"/>
        </w:rPr>
        <w:t xml:space="preserve"> used to account for survey design and to ensure that all estimates are representative of New Zealand’s total resident adult population.</w:t>
      </w:r>
      <w:r w:rsidR="00845592">
        <w:rPr>
          <w:rFonts w:ascii="Calibri" w:hAnsi="Calibri"/>
        </w:rPr>
        <w:t xml:space="preserve">  </w:t>
      </w:r>
    </w:p>
    <w:p w14:paraId="2117BDCE" w14:textId="77777777" w:rsidR="00C14F1D" w:rsidRDefault="002333B4" w:rsidP="00A26BE3">
      <w:pPr>
        <w:rPr>
          <w:rFonts w:asciiTheme="minorHAnsi" w:hAnsiTheme="minorHAnsi"/>
        </w:rPr>
      </w:pPr>
      <w:r>
        <w:rPr>
          <w:rFonts w:asciiTheme="minorHAnsi" w:hAnsiTheme="minorHAnsi"/>
        </w:rPr>
        <w:t xml:space="preserve">Figure 5 </w:t>
      </w:r>
      <w:r w:rsidR="002E582E" w:rsidRPr="00C14F1D">
        <w:rPr>
          <w:rFonts w:asciiTheme="minorHAnsi" w:hAnsiTheme="minorHAnsi"/>
        </w:rPr>
        <w:t>provides a</w:t>
      </w:r>
      <w:r w:rsidR="002E582E" w:rsidRPr="00A26BE3">
        <w:rPr>
          <w:rFonts w:asciiTheme="minorHAnsi" w:hAnsiTheme="minorHAnsi"/>
        </w:rPr>
        <w:t xml:space="preserve"> diagrammatic overview of key </w:t>
      </w:r>
      <w:r w:rsidR="00AB737F">
        <w:rPr>
          <w:rFonts w:asciiTheme="minorHAnsi" w:hAnsiTheme="minorHAnsi"/>
        </w:rPr>
        <w:t>topic areas</w:t>
      </w:r>
      <w:r w:rsidR="00AB737F" w:rsidRPr="00A26BE3">
        <w:rPr>
          <w:rFonts w:asciiTheme="minorHAnsi" w:hAnsiTheme="minorHAnsi"/>
        </w:rPr>
        <w:t xml:space="preserve"> </w:t>
      </w:r>
      <w:r w:rsidR="00AB737F">
        <w:rPr>
          <w:rFonts w:asciiTheme="minorHAnsi" w:hAnsiTheme="minorHAnsi"/>
        </w:rPr>
        <w:t xml:space="preserve">and variables from the </w:t>
      </w:r>
      <w:r w:rsidR="002E582E" w:rsidRPr="00A26BE3">
        <w:rPr>
          <w:rFonts w:asciiTheme="minorHAnsi" w:hAnsiTheme="minorHAnsi"/>
        </w:rPr>
        <w:t>N</w:t>
      </w:r>
      <w:r w:rsidR="00C14F1D">
        <w:rPr>
          <w:rFonts w:asciiTheme="minorHAnsi" w:hAnsiTheme="minorHAnsi"/>
        </w:rPr>
        <w:t>ZHS that were</w:t>
      </w:r>
      <w:r w:rsidR="002E582E" w:rsidRPr="00A26BE3">
        <w:rPr>
          <w:rFonts w:asciiTheme="minorHAnsi" w:hAnsiTheme="minorHAnsi"/>
        </w:rPr>
        <w:t xml:space="preserve"> </w:t>
      </w:r>
      <w:r w:rsidR="00C14F1D">
        <w:rPr>
          <w:rFonts w:asciiTheme="minorHAnsi" w:hAnsiTheme="minorHAnsi"/>
        </w:rPr>
        <w:t xml:space="preserve">analysed in relation to gambling and problem gambling for this report. </w:t>
      </w:r>
      <w:r w:rsidR="00AB737F">
        <w:rPr>
          <w:rFonts w:asciiTheme="minorHAnsi" w:hAnsiTheme="minorHAnsi"/>
        </w:rPr>
        <w:t xml:space="preserve"> These </w:t>
      </w:r>
      <w:r w:rsidR="00C14F1D">
        <w:rPr>
          <w:rFonts w:asciiTheme="minorHAnsi" w:hAnsiTheme="minorHAnsi"/>
        </w:rPr>
        <w:t xml:space="preserve">variables were identified </w:t>
      </w:r>
      <w:r w:rsidR="002E582E" w:rsidRPr="00A26BE3">
        <w:rPr>
          <w:rFonts w:asciiTheme="minorHAnsi" w:hAnsiTheme="minorHAnsi"/>
        </w:rPr>
        <w:t xml:space="preserve">through </w:t>
      </w:r>
      <w:r w:rsidR="002E582E" w:rsidRPr="00A26BE3">
        <w:rPr>
          <w:rFonts w:asciiTheme="minorHAnsi" w:hAnsiTheme="minorHAnsi"/>
        </w:rPr>
        <w:lastRenderedPageBreak/>
        <w:t xml:space="preserve">consultation with the </w:t>
      </w:r>
      <w:r w:rsidR="00C14F1D">
        <w:rPr>
          <w:rFonts w:asciiTheme="minorHAnsi" w:hAnsiTheme="minorHAnsi"/>
        </w:rPr>
        <w:t xml:space="preserve">expert advisory group that was convened for this project.  Members of the group </w:t>
      </w:r>
      <w:r w:rsidR="004E17C8">
        <w:rPr>
          <w:rFonts w:asciiTheme="minorHAnsi" w:hAnsiTheme="minorHAnsi"/>
        </w:rPr>
        <w:t>included representatives from the Ministry of Health, Department of Internal Affairs, University of Auckland, Problem Gambling Foundation of New Zealand and the Auckland University of Technology’s</w:t>
      </w:r>
      <w:r w:rsidR="004E17C8" w:rsidRPr="004E17C8">
        <w:rPr>
          <w:rFonts w:asciiTheme="minorHAnsi" w:hAnsiTheme="minorHAnsi"/>
        </w:rPr>
        <w:t xml:space="preserve"> </w:t>
      </w:r>
      <w:r w:rsidR="004E17C8">
        <w:rPr>
          <w:rFonts w:asciiTheme="minorHAnsi" w:hAnsiTheme="minorHAnsi"/>
        </w:rPr>
        <w:t>National Gambling Study</w:t>
      </w:r>
      <w:r w:rsidR="00803AD7">
        <w:rPr>
          <w:rFonts w:asciiTheme="minorHAnsi" w:hAnsiTheme="minorHAnsi"/>
        </w:rPr>
        <w:t xml:space="preserve"> team</w:t>
      </w:r>
      <w:r w:rsidR="004E17C8">
        <w:rPr>
          <w:rFonts w:asciiTheme="minorHAnsi" w:hAnsiTheme="minorHAnsi"/>
        </w:rPr>
        <w:t xml:space="preserve">.  The advisory group </w:t>
      </w:r>
      <w:r w:rsidR="00DB233B">
        <w:rPr>
          <w:rFonts w:asciiTheme="minorHAnsi" w:hAnsiTheme="minorHAnsi"/>
        </w:rPr>
        <w:t xml:space="preserve">provided </w:t>
      </w:r>
      <w:r w:rsidR="00A774CB">
        <w:rPr>
          <w:rFonts w:asciiTheme="minorHAnsi" w:hAnsiTheme="minorHAnsi"/>
        </w:rPr>
        <w:t xml:space="preserve">expertise and guidance on content (gambling and </w:t>
      </w:r>
      <w:r w:rsidR="00DB233B">
        <w:rPr>
          <w:rFonts w:asciiTheme="minorHAnsi" w:hAnsiTheme="minorHAnsi"/>
        </w:rPr>
        <w:t>problem gambling</w:t>
      </w:r>
      <w:r w:rsidR="00A774CB">
        <w:rPr>
          <w:rFonts w:asciiTheme="minorHAnsi" w:hAnsiTheme="minorHAnsi"/>
        </w:rPr>
        <w:t xml:space="preserve"> research and intervention), analysis of population-based </w:t>
      </w:r>
      <w:r w:rsidR="00DB233B">
        <w:rPr>
          <w:rFonts w:asciiTheme="minorHAnsi" w:hAnsiTheme="minorHAnsi"/>
        </w:rPr>
        <w:t xml:space="preserve">statistical </w:t>
      </w:r>
      <w:r w:rsidR="00A774CB">
        <w:rPr>
          <w:rFonts w:asciiTheme="minorHAnsi" w:hAnsiTheme="minorHAnsi"/>
        </w:rPr>
        <w:t>data,</w:t>
      </w:r>
      <w:r w:rsidR="00DB233B">
        <w:rPr>
          <w:rFonts w:asciiTheme="minorHAnsi" w:hAnsiTheme="minorHAnsi"/>
        </w:rPr>
        <w:t xml:space="preserve"> and </w:t>
      </w:r>
      <w:r w:rsidR="004E17C8">
        <w:rPr>
          <w:rFonts w:asciiTheme="minorHAnsi" w:hAnsiTheme="minorHAnsi"/>
        </w:rPr>
        <w:t xml:space="preserve">included Māori, Pacific and Asian representation.  </w:t>
      </w:r>
    </w:p>
    <w:p w14:paraId="26D9541D" w14:textId="77777777" w:rsidR="002E582E" w:rsidRPr="00DC0682" w:rsidRDefault="002E582E" w:rsidP="009A771A">
      <w:pPr>
        <w:pStyle w:val="Caption"/>
        <w:keepNext/>
        <w:spacing w:after="0" w:line="360" w:lineRule="auto"/>
        <w:rPr>
          <w:rFonts w:ascii="Calibri" w:hAnsi="Calibri"/>
          <w:i/>
          <w:sz w:val="24"/>
          <w:szCs w:val="24"/>
        </w:rPr>
      </w:pPr>
      <w:bookmarkStart w:id="32" w:name="_Ref400732653"/>
      <w:bookmarkStart w:id="33" w:name="_Toc425426978"/>
      <w:r w:rsidRPr="00DC0682">
        <w:rPr>
          <w:rFonts w:ascii="Calibri" w:hAnsi="Calibri"/>
          <w:i/>
        </w:rPr>
        <w:t xml:space="preserve">Figure </w:t>
      </w:r>
      <w:r w:rsidRPr="00DC0682">
        <w:rPr>
          <w:rFonts w:ascii="Calibri" w:hAnsi="Calibri"/>
          <w:i/>
        </w:rPr>
        <w:fldChar w:fldCharType="begin"/>
      </w:r>
      <w:r w:rsidRPr="00DC0682">
        <w:rPr>
          <w:rFonts w:ascii="Calibri" w:hAnsi="Calibri"/>
          <w:i/>
        </w:rPr>
        <w:instrText xml:space="preserve"> SEQ Figure \* ARABIC </w:instrText>
      </w:r>
      <w:r w:rsidRPr="00DC0682">
        <w:rPr>
          <w:rFonts w:ascii="Calibri" w:hAnsi="Calibri"/>
          <w:i/>
        </w:rPr>
        <w:fldChar w:fldCharType="separate"/>
      </w:r>
      <w:r w:rsidR="00D71107" w:rsidRPr="00DC0682">
        <w:rPr>
          <w:rFonts w:ascii="Calibri" w:hAnsi="Calibri"/>
          <w:i/>
          <w:noProof/>
        </w:rPr>
        <w:t>5</w:t>
      </w:r>
      <w:r w:rsidRPr="00DC0682">
        <w:rPr>
          <w:rFonts w:ascii="Calibri" w:hAnsi="Calibri"/>
          <w:i/>
        </w:rPr>
        <w:fldChar w:fldCharType="end"/>
      </w:r>
      <w:bookmarkEnd w:id="32"/>
      <w:r w:rsidRPr="00DC0682">
        <w:rPr>
          <w:rFonts w:ascii="Calibri" w:hAnsi="Calibri"/>
          <w:i/>
        </w:rPr>
        <w:t xml:space="preserve">: </w:t>
      </w:r>
      <w:r w:rsidR="00FB0414" w:rsidRPr="00DC0682">
        <w:rPr>
          <w:rFonts w:ascii="Calibri" w:hAnsi="Calibri"/>
          <w:i/>
        </w:rPr>
        <w:tab/>
      </w:r>
      <w:r w:rsidR="0087490B" w:rsidRPr="00DC0682">
        <w:rPr>
          <w:rFonts w:ascii="Calibri" w:hAnsi="Calibri"/>
          <w:i/>
        </w:rPr>
        <w:t>Analysis of NZHS gambling and problem gambling data – key variables</w:t>
      </w:r>
      <w:bookmarkEnd w:id="33"/>
      <w:r w:rsidRPr="00DC0682">
        <w:rPr>
          <w:rFonts w:ascii="Calibri" w:hAnsi="Calibri"/>
          <w:i/>
        </w:rPr>
        <w:t xml:space="preserve"> </w:t>
      </w:r>
    </w:p>
    <w:p w14:paraId="7A7CB2ED" w14:textId="77777777" w:rsidR="009A771A" w:rsidRDefault="009A771A" w:rsidP="009A771A">
      <w:pPr>
        <w:pStyle w:val="Proposalbody"/>
        <w:spacing w:before="0" w:line="240" w:lineRule="auto"/>
        <w:jc w:val="center"/>
        <w:rPr>
          <w:noProof/>
          <w:lang w:val="en-NZ" w:eastAsia="en-NZ"/>
        </w:rPr>
      </w:pPr>
      <w:r>
        <w:rPr>
          <w:noProof/>
          <w:lang w:val="en-NZ" w:eastAsia="en-NZ"/>
        </w:rPr>
        <w:drawing>
          <wp:inline distT="0" distB="0" distL="0" distR="0" wp14:anchorId="61A4B416" wp14:editId="069D92FA">
            <wp:extent cx="5358809" cy="3519377"/>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2462" t="2835" r="2084" b="3312"/>
                    <a:stretch/>
                  </pic:blipFill>
                  <pic:spPr bwMode="auto">
                    <a:xfrm>
                      <a:off x="0" y="0"/>
                      <a:ext cx="5368696" cy="3525870"/>
                    </a:xfrm>
                    <a:prstGeom prst="rect">
                      <a:avLst/>
                    </a:prstGeom>
                    <a:noFill/>
                    <a:ln>
                      <a:noFill/>
                    </a:ln>
                    <a:extLst>
                      <a:ext uri="{53640926-AAD7-44D8-BBD7-CCE9431645EC}">
                        <a14:shadowObscured xmlns:a14="http://schemas.microsoft.com/office/drawing/2010/main"/>
                      </a:ext>
                    </a:extLst>
                  </pic:spPr>
                </pic:pic>
              </a:graphicData>
            </a:graphic>
          </wp:inline>
        </w:drawing>
      </w:r>
    </w:p>
    <w:p w14:paraId="57092C19" w14:textId="77777777" w:rsidR="002E582E" w:rsidRPr="004549BA" w:rsidRDefault="002E582E" w:rsidP="004549BA">
      <w:pPr>
        <w:pStyle w:val="Proposalbody"/>
        <w:spacing w:before="0"/>
        <w:jc w:val="center"/>
        <w:rPr>
          <w:noProof/>
          <w:highlight w:val="yellow"/>
          <w:lang w:val="en-NZ" w:eastAsia="en-NZ"/>
        </w:rPr>
      </w:pPr>
    </w:p>
    <w:p w14:paraId="15EDA3C2" w14:textId="77777777" w:rsidR="00043311" w:rsidRPr="00E201F8" w:rsidRDefault="00043311" w:rsidP="0042130F">
      <w:pPr>
        <w:pStyle w:val="Heading1"/>
        <w:rPr>
          <w:rFonts w:asciiTheme="minorHAnsi" w:hAnsiTheme="minorHAnsi" w:cstheme="minorHAnsi"/>
        </w:rPr>
      </w:pPr>
      <w:bookmarkStart w:id="34" w:name="_Toc403833151"/>
      <w:r w:rsidRPr="00E201F8">
        <w:rPr>
          <w:rFonts w:asciiTheme="minorHAnsi" w:hAnsiTheme="minorHAnsi" w:cstheme="minorHAnsi"/>
        </w:rPr>
        <w:lastRenderedPageBreak/>
        <w:t>RESULTS</w:t>
      </w:r>
      <w:bookmarkEnd w:id="0"/>
      <w:bookmarkEnd w:id="34"/>
    </w:p>
    <w:p w14:paraId="58B019CC" w14:textId="77777777" w:rsidR="00AC5E43" w:rsidRDefault="00AC5E43" w:rsidP="00465FB7">
      <w:pPr>
        <w:pStyle w:val="BodyText"/>
        <w:spacing w:line="480" w:lineRule="auto"/>
      </w:pPr>
      <w:r>
        <w:t xml:space="preserve">The following chapters (Chapter </w:t>
      </w:r>
      <w:r w:rsidR="002333B4">
        <w:t>4</w:t>
      </w:r>
      <w:r>
        <w:t xml:space="preserve"> to Chapter</w:t>
      </w:r>
      <w:r w:rsidR="00E60034">
        <w:t xml:space="preserve"> 7</w:t>
      </w:r>
      <w:r>
        <w:t xml:space="preserve">) </w:t>
      </w:r>
      <w:r w:rsidR="00465FB7">
        <w:t>present</w:t>
      </w:r>
      <w:r>
        <w:t xml:space="preserve"> results </w:t>
      </w:r>
      <w:r w:rsidR="00E201F8">
        <w:t xml:space="preserve">from the analysis of gambling items included in the 2011/12 </w:t>
      </w:r>
      <w:r w:rsidR="00B80A26">
        <w:t>NZHS</w:t>
      </w:r>
      <w:r w:rsidR="00E201F8">
        <w:t xml:space="preserve">.  These results provide data on the </w:t>
      </w:r>
      <w:r>
        <w:t xml:space="preserve">impacts of gambling and problem gambling </w:t>
      </w:r>
      <w:r w:rsidR="00E201F8">
        <w:t xml:space="preserve">on adult New Zealanders </w:t>
      </w:r>
      <w:r w:rsidR="003E1224">
        <w:t>and include an examination of changes over time (based on data from the 2002/03</w:t>
      </w:r>
      <w:r w:rsidR="00B80A26">
        <w:t>,</w:t>
      </w:r>
      <w:r w:rsidR="003E1224">
        <w:t xml:space="preserve"> 2006/07</w:t>
      </w:r>
      <w:r w:rsidR="00B80A26">
        <w:t xml:space="preserve"> and 2011/12</w:t>
      </w:r>
      <w:r w:rsidR="003E1224">
        <w:t xml:space="preserve"> Health Surveys)</w:t>
      </w:r>
      <w:r>
        <w:t xml:space="preserve">. </w:t>
      </w:r>
      <w:r w:rsidR="00570757">
        <w:t xml:space="preserve"> Results are reported under the following headings: </w:t>
      </w:r>
    </w:p>
    <w:p w14:paraId="76DA9C85" w14:textId="77777777" w:rsidR="00570757" w:rsidRDefault="00570757" w:rsidP="004F129A">
      <w:pPr>
        <w:pStyle w:val="BodyText"/>
        <w:numPr>
          <w:ilvl w:val="0"/>
          <w:numId w:val="65"/>
        </w:numPr>
      </w:pPr>
      <w:r>
        <w:t>Past year gambling participation (Chapter</w:t>
      </w:r>
      <w:r w:rsidR="002333B4">
        <w:t xml:space="preserve"> 4</w:t>
      </w:r>
      <w:r>
        <w:t>);</w:t>
      </w:r>
    </w:p>
    <w:p w14:paraId="3BB38C5C" w14:textId="77777777" w:rsidR="00570757" w:rsidRDefault="00570757" w:rsidP="004F129A">
      <w:pPr>
        <w:pStyle w:val="BodyText"/>
        <w:numPr>
          <w:ilvl w:val="0"/>
          <w:numId w:val="65"/>
        </w:numPr>
      </w:pPr>
      <w:r>
        <w:t>Problematic gambling (Chapter</w:t>
      </w:r>
      <w:r w:rsidR="002333B4">
        <w:t xml:space="preserve"> 5</w:t>
      </w:r>
      <w:r>
        <w:t>);</w:t>
      </w:r>
    </w:p>
    <w:p w14:paraId="721C6A94" w14:textId="77777777" w:rsidR="00570757" w:rsidRDefault="00570757" w:rsidP="004F129A">
      <w:pPr>
        <w:pStyle w:val="BodyText"/>
        <w:numPr>
          <w:ilvl w:val="0"/>
          <w:numId w:val="65"/>
        </w:numPr>
      </w:pPr>
      <w:r>
        <w:t xml:space="preserve">Ecological factors and problematic gambling (Chapter </w:t>
      </w:r>
      <w:r w:rsidR="002333B4">
        <w:t>6</w:t>
      </w:r>
      <w:r>
        <w:t xml:space="preserve">); and, </w:t>
      </w:r>
    </w:p>
    <w:p w14:paraId="4731A2B5" w14:textId="77777777" w:rsidR="00AC5E43" w:rsidRPr="00AF3A24" w:rsidRDefault="00E559EE" w:rsidP="004F129A">
      <w:pPr>
        <w:pStyle w:val="BodyText"/>
        <w:numPr>
          <w:ilvl w:val="0"/>
          <w:numId w:val="65"/>
        </w:numPr>
      </w:pPr>
      <w:r>
        <w:t>Experiencing problems due to some</w:t>
      </w:r>
      <w:r w:rsidR="00570757">
        <w:t xml:space="preserve">one else’s gambling (Chapter </w:t>
      </w:r>
      <w:r w:rsidR="002333B4">
        <w:t>7</w:t>
      </w:r>
      <w:r w:rsidR="00570757">
        <w:t>).</w:t>
      </w:r>
    </w:p>
    <w:p w14:paraId="563BC5CE" w14:textId="77777777" w:rsidR="00043311" w:rsidRPr="00AF3A24" w:rsidRDefault="006E6024" w:rsidP="0042130F">
      <w:pPr>
        <w:pStyle w:val="Heading1"/>
        <w:rPr>
          <w:rFonts w:asciiTheme="minorHAnsi" w:hAnsiTheme="minorHAnsi" w:cstheme="minorHAnsi"/>
        </w:rPr>
      </w:pPr>
      <w:bookmarkStart w:id="35" w:name="_Ref400549380"/>
      <w:bookmarkStart w:id="36" w:name="_Ref400549631"/>
      <w:bookmarkStart w:id="37" w:name="_Toc403833152"/>
      <w:r>
        <w:rPr>
          <w:rFonts w:asciiTheme="minorHAnsi" w:hAnsiTheme="minorHAnsi" w:cstheme="minorHAnsi"/>
          <w:caps w:val="0"/>
        </w:rPr>
        <w:lastRenderedPageBreak/>
        <w:t xml:space="preserve">RESULTS: </w:t>
      </w:r>
      <w:r w:rsidR="00703E9E" w:rsidRPr="00AF3A24">
        <w:rPr>
          <w:rFonts w:asciiTheme="minorHAnsi" w:hAnsiTheme="minorHAnsi" w:cstheme="minorHAnsi"/>
          <w:caps w:val="0"/>
        </w:rPr>
        <w:t>PAST YEAR GAMBLING PARTICIPATION</w:t>
      </w:r>
      <w:bookmarkEnd w:id="35"/>
      <w:bookmarkEnd w:id="36"/>
      <w:bookmarkEnd w:id="37"/>
    </w:p>
    <w:p w14:paraId="4E2057B0" w14:textId="77777777" w:rsidR="00EB78E1" w:rsidRDefault="00043311" w:rsidP="0096668C">
      <w:pPr>
        <w:pStyle w:val="BodyText"/>
        <w:spacing w:line="480" w:lineRule="auto"/>
      </w:pPr>
      <w:r w:rsidRPr="00AF3A24">
        <w:t xml:space="preserve">The following section outlines results that relate to the level of </w:t>
      </w:r>
      <w:r w:rsidR="00906F36" w:rsidRPr="00AF3A24">
        <w:t>involvement</w:t>
      </w:r>
      <w:r w:rsidRPr="00AF3A24">
        <w:t xml:space="preserve"> </w:t>
      </w:r>
      <w:r w:rsidR="009276E1">
        <w:t xml:space="preserve">in gambling that was reported by </w:t>
      </w:r>
      <w:r w:rsidR="00906F36" w:rsidRPr="00AF3A24">
        <w:t>adults</w:t>
      </w:r>
      <w:r w:rsidR="009276E1">
        <w:t xml:space="preserve"> aged 15 and over in New Zealand</w:t>
      </w:r>
      <w:r w:rsidR="00906F36" w:rsidRPr="00AF3A24">
        <w:t>.</w:t>
      </w:r>
      <w:r w:rsidR="00E17DEE">
        <w:t xml:space="preserve"> </w:t>
      </w:r>
      <w:r w:rsidR="00906F36" w:rsidRPr="00AF3A24">
        <w:t xml:space="preserve"> Results</w:t>
      </w:r>
      <w:r w:rsidR="009276E1">
        <w:t xml:space="preserve"> in this section</w:t>
      </w:r>
      <w:r w:rsidR="00906F36" w:rsidRPr="00AF3A24">
        <w:t xml:space="preserve"> have been </w:t>
      </w:r>
      <w:r w:rsidR="009276E1">
        <w:t>reported under</w:t>
      </w:r>
      <w:r w:rsidR="00906F36" w:rsidRPr="00AF3A24">
        <w:t xml:space="preserve"> the following </w:t>
      </w:r>
      <w:r w:rsidR="0096668C">
        <w:t>topic headings</w:t>
      </w:r>
      <w:r w:rsidRPr="00AF3A24">
        <w:t>:</w:t>
      </w:r>
      <w:r w:rsidR="0096668C">
        <w:t xml:space="preserve"> </w:t>
      </w:r>
      <w:r w:rsidR="009276E1">
        <w:t>Involvement in gambling</w:t>
      </w:r>
      <w:r w:rsidR="00906F36" w:rsidRPr="00AF3A24">
        <w:t>;</w:t>
      </w:r>
      <w:r w:rsidR="0096668C">
        <w:t xml:space="preserve"> </w:t>
      </w:r>
      <w:r w:rsidR="009276E1">
        <w:t>Activities that adults gamble on;</w:t>
      </w:r>
      <w:r w:rsidR="0096668C">
        <w:t xml:space="preserve"> </w:t>
      </w:r>
      <w:r w:rsidR="009276E1">
        <w:t xml:space="preserve">Number of gambling activities; and, </w:t>
      </w:r>
      <w:proofErr w:type="gramStart"/>
      <w:r w:rsidR="009276E1">
        <w:t>Preferred</w:t>
      </w:r>
      <w:proofErr w:type="gramEnd"/>
      <w:r w:rsidR="009276E1">
        <w:t xml:space="preserve"> gambling activity. </w:t>
      </w:r>
    </w:p>
    <w:p w14:paraId="6A157842" w14:textId="77777777" w:rsidR="00043311" w:rsidRPr="00AF3A24" w:rsidRDefault="00750305" w:rsidP="004F129A">
      <w:pPr>
        <w:pStyle w:val="Heading2"/>
        <w:numPr>
          <w:ilvl w:val="1"/>
          <w:numId w:val="85"/>
        </w:numPr>
      </w:pPr>
      <w:bookmarkStart w:id="38" w:name="_Toc367284420"/>
      <w:bookmarkStart w:id="39" w:name="_Toc403833153"/>
      <w:r w:rsidRPr="00AF3A24">
        <w:t>Involvement in g</w:t>
      </w:r>
      <w:r w:rsidR="00043311" w:rsidRPr="00AF3A24">
        <w:t>ambling</w:t>
      </w:r>
      <w:bookmarkEnd w:id="38"/>
      <w:bookmarkEnd w:id="39"/>
    </w:p>
    <w:p w14:paraId="54B369E5" w14:textId="77777777" w:rsidR="00E17DEE" w:rsidRPr="00761849" w:rsidRDefault="00B048FC" w:rsidP="0040218C">
      <w:pPr>
        <w:pStyle w:val="BodyText"/>
        <w:spacing w:line="480" w:lineRule="auto"/>
      </w:pPr>
      <w:r>
        <w:t xml:space="preserve">Approximately half (52.3%) of all adults aged 15 years and over had gambled on at least one activity in the last </w:t>
      </w:r>
      <w:r w:rsidRPr="002320CC">
        <w:t xml:space="preserve">12 months. This represents approximately 1,850,000 adults </w:t>
      </w:r>
      <w:r w:rsidR="00761849" w:rsidRPr="002320CC">
        <w:t xml:space="preserve">in the New Zealand population. </w:t>
      </w:r>
      <w:r w:rsidR="002333B4">
        <w:t xml:space="preserve">Table 3 </w:t>
      </w:r>
      <w:r w:rsidRPr="002320CC">
        <w:t>shows the</w:t>
      </w:r>
      <w:r w:rsidRPr="00761849">
        <w:t xml:space="preserve"> distribution of gambling in the last year by demographic characteristics</w:t>
      </w:r>
      <w:r w:rsidR="008A4BE1" w:rsidRPr="00761849">
        <w:t xml:space="preserve">. </w:t>
      </w:r>
      <w:r w:rsidR="001F4CDF" w:rsidRPr="00761849">
        <w:t xml:space="preserve"> </w:t>
      </w:r>
    </w:p>
    <w:p w14:paraId="01F261F1" w14:textId="0BE3CD0F" w:rsidR="00E17DEE" w:rsidRDefault="00E17DEE" w:rsidP="00E17DEE">
      <w:pPr>
        <w:pStyle w:val="BodyText"/>
        <w:spacing w:line="480" w:lineRule="auto"/>
      </w:pPr>
      <w:r>
        <w:t xml:space="preserve">A significant association was observed between age-group and gambling status (p&lt;0.0001): 32.8% of those aged 15-24 had gambled in the past year, compared with more than 50% </w:t>
      </w:r>
      <w:r w:rsidR="00D36897">
        <w:t>in all other age-groups (se</w:t>
      </w:r>
      <w:r w:rsidR="00D36897" w:rsidRPr="00965F35">
        <w:t>e</w:t>
      </w:r>
      <w:r w:rsidR="00483B93">
        <w:t xml:space="preserve"> Figure 6</w:t>
      </w:r>
      <w:r w:rsidR="00D36897">
        <w:t>).</w:t>
      </w:r>
    </w:p>
    <w:p w14:paraId="4AA415AB" w14:textId="77777777" w:rsidR="00E17DEE" w:rsidRDefault="00E17DEE" w:rsidP="00E17DEE">
      <w:pPr>
        <w:pStyle w:val="BodyText"/>
        <w:spacing w:line="480" w:lineRule="auto"/>
      </w:pPr>
      <w:r>
        <w:t xml:space="preserve">Ethnicity was significantly associated with gambling status (p&lt;0.0001); approximately one-half of Māori (54.1%), Pacific (49.1%) and European/Other (52.7%) had gambled in the past 12 months compared with around one-third of Asian people (37.1%).  No significant interaction between ethnicity and gender was observed for past year gambling.  </w:t>
      </w:r>
    </w:p>
    <w:p w14:paraId="13E02707" w14:textId="77777777" w:rsidR="00E17DEE" w:rsidRDefault="00E17DEE" w:rsidP="00E17DEE">
      <w:pPr>
        <w:pStyle w:val="BodyText"/>
        <w:spacing w:line="480" w:lineRule="auto"/>
      </w:pPr>
      <w:r>
        <w:t xml:space="preserve">No significant differences </w:t>
      </w:r>
      <w:r w:rsidR="0091684D">
        <w:t xml:space="preserve">in past year gambling status </w:t>
      </w:r>
      <w:r>
        <w:t xml:space="preserve">were observed in relation to gender, level of neighbourhood deprivation, or geography (urban/rural).  </w:t>
      </w:r>
    </w:p>
    <w:p w14:paraId="19460339" w14:textId="77777777" w:rsidR="0091684D" w:rsidRDefault="0091684D">
      <w:pPr>
        <w:spacing w:before="0" w:after="200" w:line="276" w:lineRule="auto"/>
        <w:jc w:val="left"/>
        <w:rPr>
          <w:rFonts w:asciiTheme="minorHAnsi" w:hAnsiTheme="minorHAnsi"/>
          <w:b/>
          <w:bCs/>
          <w:i/>
          <w:sz w:val="20"/>
          <w:szCs w:val="20"/>
        </w:rPr>
      </w:pPr>
      <w:bookmarkStart w:id="40" w:name="_Ref398130726"/>
      <w:r>
        <w:rPr>
          <w:rFonts w:asciiTheme="minorHAnsi" w:hAnsiTheme="minorHAnsi"/>
          <w:i/>
        </w:rPr>
        <w:br w:type="page"/>
      </w:r>
    </w:p>
    <w:p w14:paraId="2DF666B8" w14:textId="77777777" w:rsidR="00EB78E1" w:rsidRPr="00AF3A24" w:rsidRDefault="00EB78E1" w:rsidP="00EB78E1">
      <w:pPr>
        <w:pStyle w:val="Caption"/>
        <w:keepNext/>
        <w:spacing w:line="276" w:lineRule="auto"/>
        <w:ind w:left="993" w:hanging="993"/>
        <w:rPr>
          <w:rFonts w:asciiTheme="minorHAnsi" w:hAnsiTheme="minorHAnsi" w:cstheme="minorHAnsi"/>
          <w:i/>
        </w:rPr>
      </w:pPr>
      <w:bookmarkStart w:id="41" w:name="_Toc425426870"/>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w:t>
      </w:r>
      <w:r w:rsidRPr="00AF3A24">
        <w:rPr>
          <w:rFonts w:asciiTheme="minorHAnsi" w:hAnsiTheme="minorHAnsi"/>
          <w:i/>
        </w:rPr>
        <w:fldChar w:fldCharType="end"/>
      </w:r>
      <w:bookmarkEnd w:id="40"/>
      <w:r w:rsidRPr="00AF3A24">
        <w:rPr>
          <w:rFonts w:asciiTheme="minorHAnsi" w:hAnsiTheme="minorHAnsi"/>
          <w:i/>
        </w:rPr>
        <w:t>:</w:t>
      </w:r>
      <w:r w:rsidRPr="00AF3A24">
        <w:rPr>
          <w:rFonts w:asciiTheme="minorHAnsi" w:hAnsiTheme="minorHAnsi" w:cstheme="minorHAnsi"/>
          <w:i/>
        </w:rPr>
        <w:tab/>
        <w:t xml:space="preserve">Past year participation in gambling by demographics, total population aged 15 years and over (unadjusted prevalence; N=12,596) </w:t>
      </w:r>
      <w:r w:rsidRPr="00AF3A24">
        <w:rPr>
          <w:rFonts w:asciiTheme="minorHAnsi" w:hAnsiTheme="minorHAnsi" w:cstheme="minorHAnsi"/>
          <w:i/>
          <w:vertAlign w:val="superscript"/>
        </w:rPr>
        <w:t>1</w:t>
      </w:r>
      <w:bookmarkEnd w:id="41"/>
    </w:p>
    <w:tbl>
      <w:tblPr>
        <w:tblStyle w:val="TableGrid"/>
        <w:tblW w:w="0" w:type="auto"/>
        <w:jc w:val="center"/>
        <w:tblLook w:val="04A0" w:firstRow="1" w:lastRow="0" w:firstColumn="1" w:lastColumn="0" w:noHBand="0" w:noVBand="1"/>
      </w:tblPr>
      <w:tblGrid>
        <w:gridCol w:w="1719"/>
        <w:gridCol w:w="1807"/>
        <w:gridCol w:w="1132"/>
        <w:gridCol w:w="1965"/>
        <w:gridCol w:w="1286"/>
      </w:tblGrid>
      <w:tr w:rsidR="00BF2C9F" w:rsidRPr="00AF3A24" w14:paraId="771A9F69" w14:textId="77777777" w:rsidTr="00BF2C9F">
        <w:trPr>
          <w:trHeight w:val="395"/>
          <w:jc w:val="center"/>
        </w:trPr>
        <w:tc>
          <w:tcPr>
            <w:tcW w:w="3526" w:type="dxa"/>
            <w:gridSpan w:val="2"/>
            <w:vMerge w:val="restart"/>
            <w:shd w:val="clear" w:color="auto" w:fill="92CDDC" w:themeFill="accent5" w:themeFillTint="99"/>
          </w:tcPr>
          <w:p w14:paraId="60CF5F7B" w14:textId="77777777" w:rsidR="00BF2C9F" w:rsidRPr="00AF3A24" w:rsidRDefault="00BF2C9F" w:rsidP="00272235">
            <w:pPr>
              <w:spacing w:before="0" w:line="240" w:lineRule="auto"/>
              <w:jc w:val="left"/>
              <w:rPr>
                <w:rFonts w:asciiTheme="minorHAnsi" w:hAnsiTheme="minorHAnsi" w:cstheme="minorHAnsi"/>
                <w:b/>
                <w:sz w:val="18"/>
                <w:szCs w:val="18"/>
              </w:rPr>
            </w:pPr>
          </w:p>
        </w:tc>
        <w:tc>
          <w:tcPr>
            <w:tcW w:w="3097" w:type="dxa"/>
            <w:gridSpan w:val="2"/>
            <w:shd w:val="clear" w:color="auto" w:fill="92CDDC" w:themeFill="accent5" w:themeFillTint="99"/>
            <w:vAlign w:val="center"/>
          </w:tcPr>
          <w:p w14:paraId="0E8EEC32" w14:textId="77777777" w:rsidR="00BF2C9F" w:rsidRPr="00AF3A24" w:rsidRDefault="009276E1" w:rsidP="00272235">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GAMBLED IN L</w:t>
            </w:r>
            <w:r w:rsidR="00BF2C9F" w:rsidRPr="00AF3A24">
              <w:rPr>
                <w:rFonts w:asciiTheme="minorHAnsi" w:hAnsiTheme="minorHAnsi" w:cstheme="minorHAnsi"/>
                <w:b/>
                <w:sz w:val="18"/>
                <w:szCs w:val="18"/>
              </w:rPr>
              <w:t xml:space="preserve">AST 12 MONTHS </w:t>
            </w:r>
          </w:p>
        </w:tc>
        <w:tc>
          <w:tcPr>
            <w:tcW w:w="1286" w:type="dxa"/>
            <w:vMerge w:val="restart"/>
            <w:shd w:val="clear" w:color="auto" w:fill="92CDDC" w:themeFill="accent5" w:themeFillTint="99"/>
            <w:vAlign w:val="center"/>
          </w:tcPr>
          <w:p w14:paraId="1C07ECF8" w14:textId="77777777" w:rsidR="00BF2C9F" w:rsidRPr="00AF3A24" w:rsidRDefault="00BF2C9F" w:rsidP="00BF2C9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p-value</w:t>
            </w:r>
          </w:p>
        </w:tc>
      </w:tr>
      <w:tr w:rsidR="00BF2C9F" w:rsidRPr="00AF3A24" w14:paraId="0B5F338E" w14:textId="77777777" w:rsidTr="00BF2C9F">
        <w:trPr>
          <w:trHeight w:val="386"/>
          <w:jc w:val="center"/>
        </w:trPr>
        <w:tc>
          <w:tcPr>
            <w:tcW w:w="3526" w:type="dxa"/>
            <w:gridSpan w:val="2"/>
            <w:vMerge/>
            <w:tcBorders>
              <w:bottom w:val="single" w:sz="4" w:space="0" w:color="auto"/>
            </w:tcBorders>
            <w:shd w:val="clear" w:color="auto" w:fill="92CDDC" w:themeFill="accent5" w:themeFillTint="99"/>
          </w:tcPr>
          <w:p w14:paraId="53627D9F" w14:textId="77777777" w:rsidR="00BF2C9F" w:rsidRPr="00AF3A24" w:rsidRDefault="00BF2C9F" w:rsidP="00272235">
            <w:pPr>
              <w:spacing w:before="0" w:line="240" w:lineRule="auto"/>
              <w:jc w:val="left"/>
              <w:rPr>
                <w:rFonts w:asciiTheme="minorHAnsi" w:hAnsiTheme="minorHAnsi" w:cstheme="minorHAnsi"/>
                <w:b/>
                <w:sz w:val="18"/>
                <w:szCs w:val="18"/>
              </w:rPr>
            </w:pPr>
          </w:p>
        </w:tc>
        <w:tc>
          <w:tcPr>
            <w:tcW w:w="1132" w:type="dxa"/>
            <w:tcBorders>
              <w:bottom w:val="single" w:sz="4" w:space="0" w:color="auto"/>
            </w:tcBorders>
            <w:shd w:val="clear" w:color="auto" w:fill="92CDDC" w:themeFill="accent5" w:themeFillTint="99"/>
            <w:vAlign w:val="center"/>
          </w:tcPr>
          <w:p w14:paraId="047A2DFB" w14:textId="77777777" w:rsidR="00BF2C9F" w:rsidRPr="00AF3A24" w:rsidRDefault="00BF2C9F" w:rsidP="0027223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965" w:type="dxa"/>
            <w:tcBorders>
              <w:bottom w:val="single" w:sz="4" w:space="0" w:color="auto"/>
            </w:tcBorders>
            <w:shd w:val="clear" w:color="auto" w:fill="92CDDC" w:themeFill="accent5" w:themeFillTint="99"/>
            <w:vAlign w:val="center"/>
          </w:tcPr>
          <w:p w14:paraId="5E42BB44" w14:textId="77777777" w:rsidR="00BF2C9F" w:rsidRPr="00AF3A24" w:rsidRDefault="00BF2C9F" w:rsidP="0027223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1170BAD" w14:textId="77777777" w:rsidR="00BF2C9F" w:rsidRPr="00AF3A24" w:rsidRDefault="00BF2C9F" w:rsidP="0027223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286" w:type="dxa"/>
            <w:vMerge/>
            <w:tcBorders>
              <w:bottom w:val="single" w:sz="4" w:space="0" w:color="auto"/>
            </w:tcBorders>
            <w:shd w:val="clear" w:color="auto" w:fill="92CDDC" w:themeFill="accent5" w:themeFillTint="99"/>
          </w:tcPr>
          <w:p w14:paraId="2C27BBDF" w14:textId="77777777" w:rsidR="00BF2C9F" w:rsidRPr="00AF3A24" w:rsidRDefault="00BF2C9F" w:rsidP="00272235">
            <w:pPr>
              <w:spacing w:before="0" w:line="240" w:lineRule="auto"/>
              <w:jc w:val="center"/>
              <w:rPr>
                <w:rFonts w:asciiTheme="minorHAnsi" w:hAnsiTheme="minorHAnsi" w:cstheme="minorHAnsi"/>
                <w:b/>
                <w:sz w:val="18"/>
                <w:szCs w:val="18"/>
              </w:rPr>
            </w:pPr>
          </w:p>
        </w:tc>
      </w:tr>
      <w:tr w:rsidR="00BF2C9F" w:rsidRPr="00AF3A24" w14:paraId="45260233" w14:textId="77777777" w:rsidTr="00BF2C9F">
        <w:trPr>
          <w:jc w:val="center"/>
        </w:trPr>
        <w:tc>
          <w:tcPr>
            <w:tcW w:w="3526" w:type="dxa"/>
            <w:gridSpan w:val="2"/>
            <w:tcBorders>
              <w:top w:val="nil"/>
              <w:bottom w:val="nil"/>
            </w:tcBorders>
            <w:shd w:val="clear" w:color="auto" w:fill="DAEEF3" w:themeFill="accent5" w:themeFillTint="33"/>
            <w:vAlign w:val="center"/>
          </w:tcPr>
          <w:p w14:paraId="5E498462" w14:textId="77777777" w:rsidR="00BF2C9F" w:rsidRPr="00AF3A24" w:rsidRDefault="00BF2C9F" w:rsidP="00272235">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1132" w:type="dxa"/>
            <w:tcBorders>
              <w:top w:val="single" w:sz="4" w:space="0" w:color="auto"/>
              <w:bottom w:val="nil"/>
              <w:right w:val="single" w:sz="4" w:space="0" w:color="auto"/>
            </w:tcBorders>
            <w:shd w:val="clear" w:color="auto" w:fill="DAEEF3" w:themeFill="accent5" w:themeFillTint="33"/>
            <w:vAlign w:val="center"/>
          </w:tcPr>
          <w:p w14:paraId="45688D7A"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6,549</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57084E0C"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52.3</w:t>
            </w:r>
            <w:r w:rsidRPr="00AF3A24">
              <w:rPr>
                <w:rFonts w:asciiTheme="minorHAnsi" w:hAnsiTheme="minorHAnsi"/>
                <w:bCs/>
                <w:color w:val="000000"/>
                <w:sz w:val="16"/>
                <w:szCs w:val="16"/>
              </w:rPr>
              <w:br/>
              <w:t>(50.9 - 53.7)</w:t>
            </w:r>
          </w:p>
        </w:tc>
        <w:tc>
          <w:tcPr>
            <w:tcW w:w="1286" w:type="dxa"/>
            <w:tcBorders>
              <w:top w:val="nil"/>
              <w:left w:val="single" w:sz="4" w:space="0" w:color="auto"/>
              <w:bottom w:val="nil"/>
              <w:right w:val="single" w:sz="4" w:space="0" w:color="auto"/>
            </w:tcBorders>
            <w:shd w:val="clear" w:color="auto" w:fill="DAEEF3" w:themeFill="accent5" w:themeFillTint="33"/>
            <w:vAlign w:val="center"/>
          </w:tcPr>
          <w:p w14:paraId="74A6FC32"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w:t>
            </w:r>
          </w:p>
        </w:tc>
      </w:tr>
      <w:tr w:rsidR="00BF2C9F" w:rsidRPr="00AF3A24" w14:paraId="48C32067" w14:textId="77777777" w:rsidTr="00E946AF">
        <w:trPr>
          <w:jc w:val="center"/>
        </w:trPr>
        <w:tc>
          <w:tcPr>
            <w:tcW w:w="1719" w:type="dxa"/>
            <w:vMerge w:val="restart"/>
            <w:tcBorders>
              <w:top w:val="single" w:sz="4" w:space="0" w:color="auto"/>
            </w:tcBorders>
            <w:shd w:val="clear" w:color="auto" w:fill="DAEEF3" w:themeFill="accent5" w:themeFillTint="33"/>
            <w:vAlign w:val="center"/>
          </w:tcPr>
          <w:p w14:paraId="5E2F3811" w14:textId="77777777" w:rsidR="00BF2C9F" w:rsidRPr="00AF3A24" w:rsidRDefault="00BF2C9F" w:rsidP="000642D2">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1807" w:type="dxa"/>
            <w:tcBorders>
              <w:top w:val="single" w:sz="4" w:space="0" w:color="auto"/>
              <w:bottom w:val="nil"/>
            </w:tcBorders>
            <w:shd w:val="clear" w:color="auto" w:fill="DAEEF3" w:themeFill="accent5" w:themeFillTint="33"/>
            <w:vAlign w:val="center"/>
          </w:tcPr>
          <w:p w14:paraId="5486C056"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1132" w:type="dxa"/>
            <w:tcBorders>
              <w:bottom w:val="nil"/>
              <w:right w:val="single" w:sz="4" w:space="0" w:color="auto"/>
            </w:tcBorders>
            <w:shd w:val="clear" w:color="auto" w:fill="DAEEF3" w:themeFill="accent5" w:themeFillTint="33"/>
            <w:vAlign w:val="center"/>
          </w:tcPr>
          <w:p w14:paraId="508D8D1D"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2,762</w:t>
            </w:r>
          </w:p>
        </w:tc>
        <w:tc>
          <w:tcPr>
            <w:tcW w:w="1965" w:type="dxa"/>
            <w:tcBorders>
              <w:left w:val="single" w:sz="4" w:space="0" w:color="auto"/>
              <w:bottom w:val="nil"/>
              <w:right w:val="single" w:sz="4" w:space="0" w:color="auto"/>
            </w:tcBorders>
            <w:shd w:val="clear" w:color="auto" w:fill="DAEEF3" w:themeFill="accent5" w:themeFillTint="33"/>
            <w:vAlign w:val="center"/>
          </w:tcPr>
          <w:p w14:paraId="616B84A0"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53.9</w:t>
            </w:r>
            <w:r w:rsidRPr="00AF3A24">
              <w:rPr>
                <w:rFonts w:asciiTheme="minorHAnsi" w:hAnsiTheme="minorHAnsi"/>
                <w:bCs/>
                <w:color w:val="000000"/>
                <w:sz w:val="16"/>
                <w:szCs w:val="16"/>
              </w:rPr>
              <w:br/>
              <w:t>(52.1 - 55.8)</w:t>
            </w:r>
          </w:p>
        </w:tc>
        <w:tc>
          <w:tcPr>
            <w:tcW w:w="1286" w:type="dxa"/>
            <w:vMerge w:val="restart"/>
            <w:tcBorders>
              <w:left w:val="single" w:sz="4" w:space="0" w:color="auto"/>
              <w:right w:val="single" w:sz="4" w:space="0" w:color="auto"/>
            </w:tcBorders>
            <w:shd w:val="clear" w:color="auto" w:fill="DAEEF3" w:themeFill="accent5" w:themeFillTint="33"/>
            <w:vAlign w:val="center"/>
          </w:tcPr>
          <w:p w14:paraId="74CBC7F6"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0.79</w:t>
            </w:r>
          </w:p>
        </w:tc>
      </w:tr>
      <w:tr w:rsidR="00BF2C9F" w:rsidRPr="00AF3A24" w14:paraId="54C17C9F" w14:textId="77777777" w:rsidTr="00E946AF">
        <w:trPr>
          <w:jc w:val="center"/>
        </w:trPr>
        <w:tc>
          <w:tcPr>
            <w:tcW w:w="1719" w:type="dxa"/>
            <w:vMerge/>
            <w:tcBorders>
              <w:bottom w:val="single" w:sz="4" w:space="0" w:color="auto"/>
            </w:tcBorders>
            <w:shd w:val="clear" w:color="auto" w:fill="DAEEF3" w:themeFill="accent5" w:themeFillTint="33"/>
            <w:vAlign w:val="center"/>
          </w:tcPr>
          <w:p w14:paraId="00BEE8F6"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single" w:sz="4" w:space="0" w:color="auto"/>
            </w:tcBorders>
            <w:shd w:val="clear" w:color="auto" w:fill="DAEEF3" w:themeFill="accent5" w:themeFillTint="33"/>
            <w:vAlign w:val="center"/>
          </w:tcPr>
          <w:p w14:paraId="36FBDB2B"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1132" w:type="dxa"/>
            <w:tcBorders>
              <w:top w:val="nil"/>
              <w:bottom w:val="single" w:sz="4" w:space="0" w:color="auto"/>
              <w:right w:val="single" w:sz="4" w:space="0" w:color="auto"/>
            </w:tcBorders>
            <w:shd w:val="clear" w:color="auto" w:fill="DAEEF3" w:themeFill="accent5" w:themeFillTint="33"/>
            <w:vAlign w:val="center"/>
          </w:tcPr>
          <w:p w14:paraId="7713C421"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3,787</w:t>
            </w:r>
          </w:p>
        </w:tc>
        <w:tc>
          <w:tcPr>
            <w:tcW w:w="1965"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4C58248B"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50.7</w:t>
            </w:r>
            <w:r w:rsidRPr="00AF3A24">
              <w:rPr>
                <w:rFonts w:asciiTheme="minorHAnsi" w:hAnsiTheme="minorHAnsi"/>
                <w:bCs/>
                <w:color w:val="000000"/>
                <w:sz w:val="16"/>
                <w:szCs w:val="16"/>
              </w:rPr>
              <w:br/>
              <w:t>(49.0 - 52.4)</w:t>
            </w:r>
          </w:p>
        </w:tc>
        <w:tc>
          <w:tcPr>
            <w:tcW w:w="1286" w:type="dxa"/>
            <w:vMerge/>
            <w:tcBorders>
              <w:left w:val="single" w:sz="4" w:space="0" w:color="auto"/>
              <w:bottom w:val="single" w:sz="4" w:space="0" w:color="auto"/>
              <w:right w:val="single" w:sz="4" w:space="0" w:color="auto"/>
            </w:tcBorders>
            <w:shd w:val="clear" w:color="auto" w:fill="DAEEF3" w:themeFill="accent5" w:themeFillTint="33"/>
            <w:vAlign w:val="center"/>
          </w:tcPr>
          <w:p w14:paraId="6C7EBA64"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3AD10E9D" w14:textId="77777777" w:rsidTr="00E946AF">
        <w:trPr>
          <w:jc w:val="center"/>
        </w:trPr>
        <w:tc>
          <w:tcPr>
            <w:tcW w:w="1719" w:type="dxa"/>
            <w:vMerge w:val="restart"/>
            <w:tcBorders>
              <w:top w:val="single" w:sz="4" w:space="0" w:color="auto"/>
            </w:tcBorders>
            <w:shd w:val="clear" w:color="auto" w:fill="DAEEF3" w:themeFill="accent5" w:themeFillTint="33"/>
            <w:vAlign w:val="center"/>
          </w:tcPr>
          <w:p w14:paraId="1DD6C7FD"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1807" w:type="dxa"/>
            <w:tcBorders>
              <w:top w:val="single" w:sz="4" w:space="0" w:color="auto"/>
              <w:bottom w:val="nil"/>
            </w:tcBorders>
            <w:shd w:val="clear" w:color="auto" w:fill="DAEEF3" w:themeFill="accent5" w:themeFillTint="33"/>
            <w:vAlign w:val="center"/>
          </w:tcPr>
          <w:p w14:paraId="53C301C9" w14:textId="77777777" w:rsidR="00BF2C9F" w:rsidRPr="00AF3A24" w:rsidRDefault="00BF2C9F" w:rsidP="00C679D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15 - 24</w:t>
            </w:r>
          </w:p>
        </w:tc>
        <w:tc>
          <w:tcPr>
            <w:tcW w:w="1132" w:type="dxa"/>
            <w:tcBorders>
              <w:top w:val="single" w:sz="4" w:space="0" w:color="auto"/>
              <w:bottom w:val="nil"/>
              <w:right w:val="single" w:sz="4" w:space="0" w:color="auto"/>
            </w:tcBorders>
            <w:shd w:val="clear" w:color="auto" w:fill="DAEEF3" w:themeFill="accent5" w:themeFillTint="33"/>
            <w:vAlign w:val="center"/>
          </w:tcPr>
          <w:p w14:paraId="7B2863CB" w14:textId="77777777" w:rsidR="00BF2C9F" w:rsidRPr="00AF3A24" w:rsidRDefault="00BF2C9F" w:rsidP="00C679D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473</w:t>
            </w:r>
          </w:p>
        </w:tc>
        <w:tc>
          <w:tcPr>
            <w:tcW w:w="1965" w:type="dxa"/>
            <w:tcBorders>
              <w:top w:val="single" w:sz="4" w:space="0" w:color="auto"/>
              <w:left w:val="single" w:sz="4" w:space="0" w:color="auto"/>
              <w:bottom w:val="nil"/>
              <w:right w:val="single" w:sz="4" w:space="0" w:color="auto"/>
            </w:tcBorders>
            <w:shd w:val="clear" w:color="auto" w:fill="DAEEF3" w:themeFill="accent5" w:themeFillTint="33"/>
            <w:vAlign w:val="center"/>
          </w:tcPr>
          <w:p w14:paraId="5789528A"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32.8</w:t>
            </w:r>
            <w:r w:rsidRPr="00AF3A24">
              <w:rPr>
                <w:rFonts w:asciiTheme="minorHAnsi" w:hAnsiTheme="minorHAnsi"/>
                <w:bCs/>
                <w:color w:val="000000"/>
                <w:sz w:val="16"/>
                <w:szCs w:val="16"/>
              </w:rPr>
              <w:br/>
              <w:t>(29.8 - 35.7)</w:t>
            </w:r>
          </w:p>
        </w:tc>
        <w:tc>
          <w:tcPr>
            <w:tcW w:w="1286" w:type="dxa"/>
            <w:vMerge w:val="restart"/>
            <w:tcBorders>
              <w:top w:val="single" w:sz="4" w:space="0" w:color="auto"/>
              <w:left w:val="single" w:sz="4" w:space="0" w:color="auto"/>
              <w:right w:val="single" w:sz="4" w:space="0" w:color="auto"/>
            </w:tcBorders>
            <w:shd w:val="clear" w:color="auto" w:fill="DAEEF3" w:themeFill="accent5" w:themeFillTint="33"/>
            <w:vAlign w:val="center"/>
          </w:tcPr>
          <w:p w14:paraId="4A305245"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F2C9F" w:rsidRPr="00AF3A24" w14:paraId="4B06BACC" w14:textId="77777777" w:rsidTr="00E946AF">
        <w:trPr>
          <w:jc w:val="center"/>
        </w:trPr>
        <w:tc>
          <w:tcPr>
            <w:tcW w:w="1719" w:type="dxa"/>
            <w:vMerge/>
            <w:shd w:val="clear" w:color="auto" w:fill="DAEEF3" w:themeFill="accent5" w:themeFillTint="33"/>
            <w:vAlign w:val="center"/>
          </w:tcPr>
          <w:p w14:paraId="012A65F2"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52959E46"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1132" w:type="dxa"/>
            <w:tcBorders>
              <w:top w:val="nil"/>
              <w:bottom w:val="nil"/>
              <w:right w:val="single" w:sz="4" w:space="0" w:color="auto"/>
            </w:tcBorders>
            <w:shd w:val="clear" w:color="auto" w:fill="DAEEF3" w:themeFill="accent5" w:themeFillTint="33"/>
            <w:vAlign w:val="center"/>
          </w:tcPr>
          <w:p w14:paraId="50E5C776"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984</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1A21CB9E"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54.0</w:t>
            </w:r>
            <w:r w:rsidRPr="00AF3A24">
              <w:rPr>
                <w:rFonts w:asciiTheme="minorHAnsi" w:hAnsiTheme="minorHAnsi"/>
                <w:bCs/>
                <w:color w:val="000000"/>
                <w:sz w:val="16"/>
                <w:szCs w:val="16"/>
              </w:rPr>
              <w:br/>
              <w:t>(50.8 - 57.1)</w:t>
            </w:r>
          </w:p>
        </w:tc>
        <w:tc>
          <w:tcPr>
            <w:tcW w:w="1286" w:type="dxa"/>
            <w:vMerge/>
            <w:tcBorders>
              <w:left w:val="single" w:sz="4" w:space="0" w:color="auto"/>
              <w:right w:val="single" w:sz="4" w:space="0" w:color="auto"/>
            </w:tcBorders>
            <w:shd w:val="clear" w:color="auto" w:fill="DAEEF3" w:themeFill="accent5" w:themeFillTint="33"/>
            <w:vAlign w:val="center"/>
          </w:tcPr>
          <w:p w14:paraId="1D8D2665"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25ADAF18" w14:textId="77777777" w:rsidTr="00E946AF">
        <w:trPr>
          <w:jc w:val="center"/>
        </w:trPr>
        <w:tc>
          <w:tcPr>
            <w:tcW w:w="1719" w:type="dxa"/>
            <w:vMerge/>
            <w:shd w:val="clear" w:color="auto" w:fill="DAEEF3" w:themeFill="accent5" w:themeFillTint="33"/>
            <w:vAlign w:val="center"/>
          </w:tcPr>
          <w:p w14:paraId="5C38F03C"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0F651C9E"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1132" w:type="dxa"/>
            <w:tcBorders>
              <w:top w:val="nil"/>
              <w:bottom w:val="nil"/>
              <w:right w:val="single" w:sz="4" w:space="0" w:color="auto"/>
            </w:tcBorders>
            <w:shd w:val="clear" w:color="auto" w:fill="DAEEF3" w:themeFill="accent5" w:themeFillTint="33"/>
            <w:vAlign w:val="center"/>
          </w:tcPr>
          <w:p w14:paraId="3507A5AD"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1,292</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016BB43E"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56.7</w:t>
            </w:r>
            <w:r w:rsidRPr="00AF3A24">
              <w:rPr>
                <w:rFonts w:asciiTheme="minorHAnsi" w:hAnsiTheme="minorHAnsi"/>
                <w:bCs/>
                <w:color w:val="000000"/>
                <w:sz w:val="16"/>
                <w:szCs w:val="16"/>
              </w:rPr>
              <w:br/>
              <w:t>(54.0 - 59.5)</w:t>
            </w:r>
          </w:p>
        </w:tc>
        <w:tc>
          <w:tcPr>
            <w:tcW w:w="1286" w:type="dxa"/>
            <w:vMerge/>
            <w:tcBorders>
              <w:left w:val="single" w:sz="4" w:space="0" w:color="auto"/>
              <w:right w:val="single" w:sz="4" w:space="0" w:color="auto"/>
            </w:tcBorders>
            <w:shd w:val="clear" w:color="auto" w:fill="DAEEF3" w:themeFill="accent5" w:themeFillTint="33"/>
            <w:vAlign w:val="center"/>
          </w:tcPr>
          <w:p w14:paraId="1BEE7290"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33782859" w14:textId="77777777" w:rsidTr="00E946AF">
        <w:trPr>
          <w:jc w:val="center"/>
        </w:trPr>
        <w:tc>
          <w:tcPr>
            <w:tcW w:w="1719" w:type="dxa"/>
            <w:vMerge/>
            <w:shd w:val="clear" w:color="auto" w:fill="DAEEF3" w:themeFill="accent5" w:themeFillTint="33"/>
            <w:vAlign w:val="center"/>
          </w:tcPr>
          <w:p w14:paraId="1322F437"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3EFF9E8F"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1132" w:type="dxa"/>
            <w:tcBorders>
              <w:top w:val="nil"/>
              <w:bottom w:val="nil"/>
              <w:right w:val="single" w:sz="4" w:space="0" w:color="auto"/>
            </w:tcBorders>
            <w:shd w:val="clear" w:color="auto" w:fill="DAEEF3" w:themeFill="accent5" w:themeFillTint="33"/>
            <w:vAlign w:val="center"/>
          </w:tcPr>
          <w:p w14:paraId="6F72BB76"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1,254</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1F8E886B"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61.1</w:t>
            </w:r>
            <w:r w:rsidRPr="00AF3A24">
              <w:rPr>
                <w:rFonts w:asciiTheme="minorHAnsi" w:hAnsiTheme="minorHAnsi"/>
                <w:bCs/>
                <w:color w:val="000000"/>
                <w:sz w:val="16"/>
                <w:szCs w:val="16"/>
              </w:rPr>
              <w:br/>
              <w:t>(58.2 - 63.9)</w:t>
            </w:r>
          </w:p>
        </w:tc>
        <w:tc>
          <w:tcPr>
            <w:tcW w:w="1286" w:type="dxa"/>
            <w:vMerge/>
            <w:tcBorders>
              <w:left w:val="single" w:sz="4" w:space="0" w:color="auto"/>
              <w:right w:val="single" w:sz="4" w:space="0" w:color="auto"/>
            </w:tcBorders>
            <w:shd w:val="clear" w:color="auto" w:fill="DAEEF3" w:themeFill="accent5" w:themeFillTint="33"/>
            <w:vAlign w:val="center"/>
          </w:tcPr>
          <w:p w14:paraId="3A142FBD"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539D4C04" w14:textId="77777777" w:rsidTr="00E946AF">
        <w:trPr>
          <w:jc w:val="center"/>
        </w:trPr>
        <w:tc>
          <w:tcPr>
            <w:tcW w:w="1719" w:type="dxa"/>
            <w:vMerge/>
            <w:shd w:val="clear" w:color="auto" w:fill="DAEEF3" w:themeFill="accent5" w:themeFillTint="33"/>
            <w:vAlign w:val="center"/>
          </w:tcPr>
          <w:p w14:paraId="23B0AB23"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4BA21829"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1132" w:type="dxa"/>
            <w:tcBorders>
              <w:top w:val="nil"/>
              <w:bottom w:val="nil"/>
              <w:right w:val="single" w:sz="4" w:space="0" w:color="auto"/>
            </w:tcBorders>
            <w:shd w:val="clear" w:color="auto" w:fill="DAEEF3" w:themeFill="accent5" w:themeFillTint="33"/>
            <w:vAlign w:val="center"/>
          </w:tcPr>
          <w:p w14:paraId="2485AA73"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1,176</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36E8B12E"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59.2</w:t>
            </w:r>
            <w:r w:rsidRPr="00AF3A24">
              <w:rPr>
                <w:rFonts w:asciiTheme="minorHAnsi" w:hAnsiTheme="minorHAnsi"/>
                <w:bCs/>
                <w:color w:val="000000"/>
                <w:sz w:val="16"/>
                <w:szCs w:val="16"/>
              </w:rPr>
              <w:br/>
              <w:t>(56.3 - 62.1)</w:t>
            </w:r>
          </w:p>
        </w:tc>
        <w:tc>
          <w:tcPr>
            <w:tcW w:w="1286" w:type="dxa"/>
            <w:vMerge/>
            <w:tcBorders>
              <w:left w:val="single" w:sz="4" w:space="0" w:color="auto"/>
              <w:right w:val="single" w:sz="4" w:space="0" w:color="auto"/>
            </w:tcBorders>
            <w:shd w:val="clear" w:color="auto" w:fill="DAEEF3" w:themeFill="accent5" w:themeFillTint="33"/>
            <w:vAlign w:val="center"/>
          </w:tcPr>
          <w:p w14:paraId="17E1FC6B"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20739A66" w14:textId="77777777" w:rsidTr="00E946AF">
        <w:trPr>
          <w:jc w:val="center"/>
        </w:trPr>
        <w:tc>
          <w:tcPr>
            <w:tcW w:w="1719" w:type="dxa"/>
            <w:vMerge/>
            <w:tcBorders>
              <w:bottom w:val="nil"/>
            </w:tcBorders>
            <w:shd w:val="clear" w:color="auto" w:fill="DAEEF3" w:themeFill="accent5" w:themeFillTint="33"/>
            <w:vAlign w:val="center"/>
          </w:tcPr>
          <w:p w14:paraId="547A29AA"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6D9D5465"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1132" w:type="dxa"/>
            <w:tcBorders>
              <w:top w:val="nil"/>
              <w:bottom w:val="nil"/>
              <w:right w:val="single" w:sz="4" w:space="0" w:color="auto"/>
            </w:tcBorders>
            <w:shd w:val="clear" w:color="auto" w:fill="DAEEF3" w:themeFill="accent5" w:themeFillTint="33"/>
            <w:vAlign w:val="center"/>
          </w:tcPr>
          <w:p w14:paraId="47BB8746"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1,370</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00416785"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52.3</w:t>
            </w:r>
            <w:r w:rsidRPr="00AF3A24">
              <w:rPr>
                <w:rFonts w:asciiTheme="minorHAnsi" w:hAnsiTheme="minorHAnsi"/>
                <w:bCs/>
                <w:color w:val="000000"/>
                <w:sz w:val="16"/>
                <w:szCs w:val="16"/>
              </w:rPr>
              <w:br/>
              <w:t>(49.7 - 54.9)</w:t>
            </w:r>
          </w:p>
        </w:tc>
        <w:tc>
          <w:tcPr>
            <w:tcW w:w="1286" w:type="dxa"/>
            <w:vMerge/>
            <w:tcBorders>
              <w:left w:val="single" w:sz="4" w:space="0" w:color="auto"/>
              <w:bottom w:val="nil"/>
              <w:right w:val="single" w:sz="4" w:space="0" w:color="auto"/>
            </w:tcBorders>
            <w:shd w:val="clear" w:color="auto" w:fill="DAEEF3" w:themeFill="accent5" w:themeFillTint="33"/>
            <w:vAlign w:val="center"/>
          </w:tcPr>
          <w:p w14:paraId="682CF9AF"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3D2CADA6" w14:textId="77777777" w:rsidTr="00E946AF">
        <w:trPr>
          <w:jc w:val="center"/>
        </w:trPr>
        <w:tc>
          <w:tcPr>
            <w:tcW w:w="1719" w:type="dxa"/>
            <w:vMerge w:val="restart"/>
            <w:tcBorders>
              <w:top w:val="single" w:sz="4" w:space="0" w:color="auto"/>
            </w:tcBorders>
            <w:shd w:val="clear" w:color="auto" w:fill="DAEEF3" w:themeFill="accent5" w:themeFillTint="33"/>
            <w:vAlign w:val="center"/>
          </w:tcPr>
          <w:p w14:paraId="0DF70B88"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r w:rsidRPr="00AF3A24">
              <w:rPr>
                <w:rFonts w:asciiTheme="minorHAnsi" w:hAnsiTheme="minorHAnsi" w:cstheme="minorHAnsi"/>
                <w:sz w:val="16"/>
                <w:szCs w:val="16"/>
                <w:vertAlign w:val="superscript"/>
              </w:rPr>
              <w:t>2</w:t>
            </w:r>
          </w:p>
        </w:tc>
        <w:tc>
          <w:tcPr>
            <w:tcW w:w="1807" w:type="dxa"/>
            <w:tcBorders>
              <w:top w:val="single" w:sz="4" w:space="0" w:color="auto"/>
              <w:bottom w:val="nil"/>
            </w:tcBorders>
            <w:shd w:val="clear" w:color="auto" w:fill="DAEEF3" w:themeFill="accent5" w:themeFillTint="33"/>
            <w:vAlign w:val="center"/>
          </w:tcPr>
          <w:p w14:paraId="59821707"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1132" w:type="dxa"/>
            <w:tcBorders>
              <w:bottom w:val="nil"/>
              <w:right w:val="single" w:sz="4" w:space="0" w:color="auto"/>
            </w:tcBorders>
            <w:shd w:val="clear" w:color="auto" w:fill="DAEEF3" w:themeFill="accent5" w:themeFillTint="33"/>
            <w:vAlign w:val="center"/>
          </w:tcPr>
          <w:p w14:paraId="6EBA5157"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1,408</w:t>
            </w:r>
          </w:p>
        </w:tc>
        <w:tc>
          <w:tcPr>
            <w:tcW w:w="1965" w:type="dxa"/>
            <w:tcBorders>
              <w:left w:val="single" w:sz="4" w:space="0" w:color="auto"/>
              <w:bottom w:val="nil"/>
              <w:right w:val="single" w:sz="4" w:space="0" w:color="auto"/>
            </w:tcBorders>
            <w:shd w:val="clear" w:color="auto" w:fill="DAEEF3" w:themeFill="accent5" w:themeFillTint="33"/>
            <w:vAlign w:val="center"/>
          </w:tcPr>
          <w:p w14:paraId="7CCF62B9"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54.1</w:t>
            </w:r>
            <w:r w:rsidRPr="00AF3A24">
              <w:rPr>
                <w:rFonts w:asciiTheme="minorHAnsi" w:hAnsiTheme="minorHAnsi"/>
                <w:bCs/>
                <w:color w:val="000000"/>
                <w:sz w:val="16"/>
                <w:szCs w:val="16"/>
              </w:rPr>
              <w:br/>
              <w:t>(51.4 - 56.8)</w:t>
            </w:r>
          </w:p>
        </w:tc>
        <w:tc>
          <w:tcPr>
            <w:tcW w:w="1286" w:type="dxa"/>
            <w:vMerge w:val="restart"/>
            <w:tcBorders>
              <w:left w:val="single" w:sz="4" w:space="0" w:color="auto"/>
              <w:right w:val="single" w:sz="4" w:space="0" w:color="auto"/>
            </w:tcBorders>
            <w:shd w:val="clear" w:color="auto" w:fill="DAEEF3" w:themeFill="accent5" w:themeFillTint="33"/>
            <w:vAlign w:val="center"/>
          </w:tcPr>
          <w:p w14:paraId="3B0B579B"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F2C9F" w:rsidRPr="00AF3A24" w14:paraId="1FEA5013" w14:textId="77777777" w:rsidTr="00E946AF">
        <w:trPr>
          <w:jc w:val="center"/>
        </w:trPr>
        <w:tc>
          <w:tcPr>
            <w:tcW w:w="1719" w:type="dxa"/>
            <w:vMerge/>
            <w:shd w:val="clear" w:color="auto" w:fill="DAEEF3" w:themeFill="accent5" w:themeFillTint="33"/>
            <w:vAlign w:val="center"/>
          </w:tcPr>
          <w:p w14:paraId="760E990F"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2912D9E6"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1132" w:type="dxa"/>
            <w:tcBorders>
              <w:top w:val="nil"/>
              <w:bottom w:val="nil"/>
              <w:right w:val="single" w:sz="4" w:space="0" w:color="auto"/>
            </w:tcBorders>
            <w:shd w:val="clear" w:color="auto" w:fill="DAEEF3" w:themeFill="accent5" w:themeFillTint="33"/>
            <w:vAlign w:val="center"/>
          </w:tcPr>
          <w:p w14:paraId="533E135C"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419</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0F79A337"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49.1</w:t>
            </w:r>
            <w:r w:rsidRPr="00AF3A24">
              <w:rPr>
                <w:rFonts w:asciiTheme="minorHAnsi" w:hAnsiTheme="minorHAnsi"/>
                <w:bCs/>
                <w:color w:val="000000"/>
                <w:sz w:val="16"/>
                <w:szCs w:val="16"/>
              </w:rPr>
              <w:br/>
              <w:t>(43.8 - 52.3)</w:t>
            </w:r>
          </w:p>
        </w:tc>
        <w:tc>
          <w:tcPr>
            <w:tcW w:w="1286" w:type="dxa"/>
            <w:vMerge/>
            <w:tcBorders>
              <w:left w:val="single" w:sz="4" w:space="0" w:color="auto"/>
              <w:right w:val="single" w:sz="4" w:space="0" w:color="auto"/>
            </w:tcBorders>
            <w:shd w:val="clear" w:color="auto" w:fill="DAEEF3" w:themeFill="accent5" w:themeFillTint="33"/>
            <w:vAlign w:val="center"/>
          </w:tcPr>
          <w:p w14:paraId="487732F2"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038B9522" w14:textId="77777777" w:rsidTr="00E946AF">
        <w:trPr>
          <w:jc w:val="center"/>
        </w:trPr>
        <w:tc>
          <w:tcPr>
            <w:tcW w:w="1719" w:type="dxa"/>
            <w:vMerge/>
            <w:shd w:val="clear" w:color="auto" w:fill="DAEEF3" w:themeFill="accent5" w:themeFillTint="33"/>
            <w:vAlign w:val="center"/>
          </w:tcPr>
          <w:p w14:paraId="7B0E9A6D"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7A474A45"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1132" w:type="dxa"/>
            <w:tcBorders>
              <w:top w:val="nil"/>
              <w:bottom w:val="nil"/>
              <w:right w:val="single" w:sz="4" w:space="0" w:color="auto"/>
            </w:tcBorders>
            <w:shd w:val="clear" w:color="auto" w:fill="DAEEF3" w:themeFill="accent5" w:themeFillTint="33"/>
            <w:vAlign w:val="center"/>
          </w:tcPr>
          <w:p w14:paraId="1BF930E1"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342</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41D4EC4C"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37.1</w:t>
            </w:r>
            <w:r w:rsidRPr="00AF3A24">
              <w:rPr>
                <w:rFonts w:asciiTheme="minorHAnsi" w:hAnsiTheme="minorHAnsi"/>
                <w:bCs/>
                <w:color w:val="000000"/>
                <w:sz w:val="16"/>
                <w:szCs w:val="16"/>
              </w:rPr>
              <w:br/>
              <w:t>(33.1 - 41.0)</w:t>
            </w:r>
          </w:p>
        </w:tc>
        <w:tc>
          <w:tcPr>
            <w:tcW w:w="1286" w:type="dxa"/>
            <w:vMerge/>
            <w:tcBorders>
              <w:left w:val="single" w:sz="4" w:space="0" w:color="auto"/>
              <w:right w:val="single" w:sz="4" w:space="0" w:color="auto"/>
            </w:tcBorders>
            <w:shd w:val="clear" w:color="auto" w:fill="DAEEF3" w:themeFill="accent5" w:themeFillTint="33"/>
            <w:vAlign w:val="center"/>
          </w:tcPr>
          <w:p w14:paraId="207A012B"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7FBAB3EA" w14:textId="77777777" w:rsidTr="00E946AF">
        <w:trPr>
          <w:jc w:val="center"/>
        </w:trPr>
        <w:tc>
          <w:tcPr>
            <w:tcW w:w="1719" w:type="dxa"/>
            <w:vMerge/>
            <w:tcBorders>
              <w:bottom w:val="nil"/>
            </w:tcBorders>
            <w:shd w:val="clear" w:color="auto" w:fill="DAEEF3" w:themeFill="accent5" w:themeFillTint="33"/>
            <w:vAlign w:val="center"/>
          </w:tcPr>
          <w:p w14:paraId="1CE4E9E8"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14EE37BC"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European/Other</w:t>
            </w:r>
          </w:p>
        </w:tc>
        <w:tc>
          <w:tcPr>
            <w:tcW w:w="1132" w:type="dxa"/>
            <w:tcBorders>
              <w:top w:val="nil"/>
              <w:bottom w:val="nil"/>
              <w:right w:val="single" w:sz="4" w:space="0" w:color="auto"/>
            </w:tcBorders>
            <w:shd w:val="clear" w:color="auto" w:fill="DAEEF3" w:themeFill="accent5" w:themeFillTint="33"/>
            <w:vAlign w:val="center"/>
          </w:tcPr>
          <w:p w14:paraId="11DCE198"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5,296</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61C743D5"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52.7</w:t>
            </w:r>
            <w:r w:rsidRPr="00AF3A24">
              <w:rPr>
                <w:rFonts w:asciiTheme="minorHAnsi" w:hAnsiTheme="minorHAnsi"/>
                <w:bCs/>
                <w:color w:val="000000"/>
                <w:sz w:val="16"/>
                <w:szCs w:val="16"/>
              </w:rPr>
              <w:br/>
              <w:t>(51.1 - 54.3)</w:t>
            </w:r>
          </w:p>
        </w:tc>
        <w:tc>
          <w:tcPr>
            <w:tcW w:w="1286" w:type="dxa"/>
            <w:vMerge/>
            <w:tcBorders>
              <w:left w:val="single" w:sz="4" w:space="0" w:color="auto"/>
              <w:bottom w:val="nil"/>
              <w:right w:val="single" w:sz="4" w:space="0" w:color="auto"/>
            </w:tcBorders>
            <w:shd w:val="clear" w:color="auto" w:fill="DAEEF3" w:themeFill="accent5" w:themeFillTint="33"/>
            <w:vAlign w:val="center"/>
          </w:tcPr>
          <w:p w14:paraId="34822463"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6640155B" w14:textId="77777777" w:rsidTr="00E946AF">
        <w:trPr>
          <w:jc w:val="center"/>
        </w:trPr>
        <w:tc>
          <w:tcPr>
            <w:tcW w:w="1719" w:type="dxa"/>
            <w:vMerge w:val="restart"/>
            <w:tcBorders>
              <w:top w:val="single" w:sz="4" w:space="0" w:color="auto"/>
            </w:tcBorders>
            <w:shd w:val="clear" w:color="auto" w:fill="DAEEF3" w:themeFill="accent5" w:themeFillTint="33"/>
            <w:vAlign w:val="center"/>
          </w:tcPr>
          <w:p w14:paraId="389522ED" w14:textId="77777777" w:rsidR="00BF2C9F" w:rsidRPr="00AF3A24" w:rsidRDefault="00BF2C9F" w:rsidP="00CD23D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1807" w:type="dxa"/>
            <w:tcBorders>
              <w:top w:val="single" w:sz="4" w:space="0" w:color="auto"/>
              <w:bottom w:val="nil"/>
            </w:tcBorders>
            <w:shd w:val="clear" w:color="auto" w:fill="DAEEF3" w:themeFill="accent5" w:themeFillTint="33"/>
            <w:vAlign w:val="center"/>
          </w:tcPr>
          <w:p w14:paraId="4C69AEF2"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1132" w:type="dxa"/>
            <w:tcBorders>
              <w:bottom w:val="nil"/>
              <w:right w:val="single" w:sz="4" w:space="0" w:color="auto"/>
            </w:tcBorders>
            <w:shd w:val="clear" w:color="auto" w:fill="DAEEF3" w:themeFill="accent5" w:themeFillTint="33"/>
            <w:vAlign w:val="center"/>
          </w:tcPr>
          <w:p w14:paraId="0D695362"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1,089</w:t>
            </w:r>
          </w:p>
        </w:tc>
        <w:tc>
          <w:tcPr>
            <w:tcW w:w="1965" w:type="dxa"/>
            <w:tcBorders>
              <w:left w:val="single" w:sz="4" w:space="0" w:color="auto"/>
              <w:bottom w:val="nil"/>
              <w:right w:val="single" w:sz="4" w:space="0" w:color="auto"/>
            </w:tcBorders>
            <w:shd w:val="clear" w:color="auto" w:fill="DAEEF3" w:themeFill="accent5" w:themeFillTint="33"/>
            <w:vAlign w:val="center"/>
          </w:tcPr>
          <w:p w14:paraId="1CB0856F"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54.1</w:t>
            </w:r>
            <w:r w:rsidRPr="00AF3A24">
              <w:rPr>
                <w:rFonts w:asciiTheme="minorHAnsi" w:hAnsiTheme="minorHAnsi"/>
                <w:bCs/>
                <w:color w:val="000000"/>
                <w:sz w:val="16"/>
                <w:szCs w:val="16"/>
              </w:rPr>
              <w:br/>
              <w:t>(50.8 - 57.5)</w:t>
            </w:r>
          </w:p>
        </w:tc>
        <w:tc>
          <w:tcPr>
            <w:tcW w:w="1286" w:type="dxa"/>
            <w:vMerge w:val="restart"/>
            <w:tcBorders>
              <w:left w:val="single" w:sz="4" w:space="0" w:color="auto"/>
              <w:right w:val="single" w:sz="4" w:space="0" w:color="auto"/>
            </w:tcBorders>
            <w:shd w:val="clear" w:color="auto" w:fill="DAEEF3" w:themeFill="accent5" w:themeFillTint="33"/>
            <w:vAlign w:val="center"/>
          </w:tcPr>
          <w:p w14:paraId="3AFBBAF5"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0.88</w:t>
            </w:r>
          </w:p>
        </w:tc>
      </w:tr>
      <w:tr w:rsidR="00BF2C9F" w:rsidRPr="00AF3A24" w14:paraId="7409B368" w14:textId="77777777" w:rsidTr="00E946AF">
        <w:trPr>
          <w:jc w:val="center"/>
        </w:trPr>
        <w:tc>
          <w:tcPr>
            <w:tcW w:w="1719" w:type="dxa"/>
            <w:vMerge/>
            <w:shd w:val="clear" w:color="auto" w:fill="DAEEF3" w:themeFill="accent5" w:themeFillTint="33"/>
            <w:vAlign w:val="center"/>
          </w:tcPr>
          <w:p w14:paraId="4380216B"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258EEC26"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1132" w:type="dxa"/>
            <w:tcBorders>
              <w:top w:val="nil"/>
              <w:bottom w:val="nil"/>
              <w:right w:val="single" w:sz="4" w:space="0" w:color="auto"/>
            </w:tcBorders>
            <w:shd w:val="clear" w:color="auto" w:fill="DAEEF3" w:themeFill="accent5" w:themeFillTint="33"/>
            <w:vAlign w:val="center"/>
          </w:tcPr>
          <w:p w14:paraId="77064551"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1,027</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469E3A9F"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53.6</w:t>
            </w:r>
            <w:r w:rsidRPr="00AF3A24">
              <w:rPr>
                <w:rFonts w:asciiTheme="minorHAnsi" w:hAnsiTheme="minorHAnsi"/>
                <w:bCs/>
                <w:color w:val="000000"/>
                <w:sz w:val="16"/>
                <w:szCs w:val="16"/>
              </w:rPr>
              <w:br/>
              <w:t>(50.2 - 57.0)</w:t>
            </w:r>
          </w:p>
        </w:tc>
        <w:tc>
          <w:tcPr>
            <w:tcW w:w="1286" w:type="dxa"/>
            <w:vMerge/>
            <w:tcBorders>
              <w:left w:val="single" w:sz="4" w:space="0" w:color="auto"/>
              <w:right w:val="single" w:sz="4" w:space="0" w:color="auto"/>
            </w:tcBorders>
            <w:shd w:val="clear" w:color="auto" w:fill="DAEEF3" w:themeFill="accent5" w:themeFillTint="33"/>
            <w:vAlign w:val="center"/>
          </w:tcPr>
          <w:p w14:paraId="3F3BCBE4"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0F5AD617" w14:textId="77777777" w:rsidTr="00E946AF">
        <w:trPr>
          <w:jc w:val="center"/>
        </w:trPr>
        <w:tc>
          <w:tcPr>
            <w:tcW w:w="1719" w:type="dxa"/>
            <w:vMerge/>
            <w:shd w:val="clear" w:color="auto" w:fill="DAEEF3" w:themeFill="accent5" w:themeFillTint="33"/>
            <w:vAlign w:val="center"/>
          </w:tcPr>
          <w:p w14:paraId="333484DC"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00D9AAF1"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1132" w:type="dxa"/>
            <w:tcBorders>
              <w:top w:val="nil"/>
              <w:bottom w:val="nil"/>
              <w:right w:val="single" w:sz="4" w:space="0" w:color="auto"/>
            </w:tcBorders>
            <w:shd w:val="clear" w:color="auto" w:fill="DAEEF3" w:themeFill="accent5" w:themeFillTint="33"/>
            <w:vAlign w:val="center"/>
          </w:tcPr>
          <w:p w14:paraId="397F89D0"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1,327</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6CD6B51F"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53.8</w:t>
            </w:r>
            <w:r w:rsidRPr="00AF3A24">
              <w:rPr>
                <w:rFonts w:asciiTheme="minorHAnsi" w:hAnsiTheme="minorHAnsi"/>
                <w:bCs/>
                <w:color w:val="000000"/>
                <w:sz w:val="16"/>
                <w:szCs w:val="16"/>
              </w:rPr>
              <w:br/>
              <w:t>(50.3 - 57.3)</w:t>
            </w:r>
          </w:p>
        </w:tc>
        <w:tc>
          <w:tcPr>
            <w:tcW w:w="1286" w:type="dxa"/>
            <w:vMerge/>
            <w:tcBorders>
              <w:left w:val="single" w:sz="4" w:space="0" w:color="auto"/>
              <w:right w:val="single" w:sz="4" w:space="0" w:color="auto"/>
            </w:tcBorders>
            <w:shd w:val="clear" w:color="auto" w:fill="DAEEF3" w:themeFill="accent5" w:themeFillTint="33"/>
            <w:vAlign w:val="center"/>
          </w:tcPr>
          <w:p w14:paraId="03EF5349"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431A2202" w14:textId="77777777" w:rsidTr="00E946AF">
        <w:trPr>
          <w:jc w:val="center"/>
        </w:trPr>
        <w:tc>
          <w:tcPr>
            <w:tcW w:w="1719" w:type="dxa"/>
            <w:vMerge/>
            <w:shd w:val="clear" w:color="auto" w:fill="DAEEF3" w:themeFill="accent5" w:themeFillTint="33"/>
            <w:vAlign w:val="center"/>
          </w:tcPr>
          <w:p w14:paraId="2AD3D72C"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nil"/>
            </w:tcBorders>
            <w:shd w:val="clear" w:color="auto" w:fill="DAEEF3" w:themeFill="accent5" w:themeFillTint="33"/>
            <w:vAlign w:val="center"/>
          </w:tcPr>
          <w:p w14:paraId="1BF269E9"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1132" w:type="dxa"/>
            <w:tcBorders>
              <w:top w:val="nil"/>
              <w:bottom w:val="nil"/>
              <w:right w:val="single" w:sz="4" w:space="0" w:color="auto"/>
            </w:tcBorders>
            <w:shd w:val="clear" w:color="auto" w:fill="DAEEF3" w:themeFill="accent5" w:themeFillTint="33"/>
            <w:vAlign w:val="center"/>
          </w:tcPr>
          <w:p w14:paraId="3DD5C897"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1,413</w:t>
            </w:r>
          </w:p>
        </w:tc>
        <w:tc>
          <w:tcPr>
            <w:tcW w:w="1965" w:type="dxa"/>
            <w:tcBorders>
              <w:top w:val="nil"/>
              <w:left w:val="single" w:sz="4" w:space="0" w:color="auto"/>
              <w:bottom w:val="nil"/>
              <w:right w:val="single" w:sz="4" w:space="0" w:color="auto"/>
            </w:tcBorders>
            <w:shd w:val="clear" w:color="auto" w:fill="DAEEF3" w:themeFill="accent5" w:themeFillTint="33"/>
            <w:vAlign w:val="center"/>
          </w:tcPr>
          <w:p w14:paraId="4D7D247E"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51.6</w:t>
            </w:r>
            <w:r w:rsidRPr="00AF3A24">
              <w:rPr>
                <w:rFonts w:asciiTheme="minorHAnsi" w:hAnsiTheme="minorHAnsi"/>
                <w:bCs/>
                <w:color w:val="000000"/>
                <w:sz w:val="16"/>
                <w:szCs w:val="16"/>
              </w:rPr>
              <w:br/>
              <w:t>(48.7 - 54.5)</w:t>
            </w:r>
          </w:p>
        </w:tc>
        <w:tc>
          <w:tcPr>
            <w:tcW w:w="1286" w:type="dxa"/>
            <w:vMerge/>
            <w:tcBorders>
              <w:left w:val="single" w:sz="4" w:space="0" w:color="auto"/>
              <w:right w:val="single" w:sz="4" w:space="0" w:color="auto"/>
            </w:tcBorders>
            <w:shd w:val="clear" w:color="auto" w:fill="DAEEF3" w:themeFill="accent5" w:themeFillTint="33"/>
            <w:vAlign w:val="center"/>
          </w:tcPr>
          <w:p w14:paraId="54EDD53B"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259B5185" w14:textId="77777777" w:rsidTr="00E946AF">
        <w:trPr>
          <w:jc w:val="center"/>
        </w:trPr>
        <w:tc>
          <w:tcPr>
            <w:tcW w:w="1719" w:type="dxa"/>
            <w:vMerge/>
            <w:tcBorders>
              <w:bottom w:val="single" w:sz="4" w:space="0" w:color="auto"/>
            </w:tcBorders>
            <w:shd w:val="clear" w:color="auto" w:fill="DAEEF3" w:themeFill="accent5" w:themeFillTint="33"/>
            <w:vAlign w:val="center"/>
          </w:tcPr>
          <w:p w14:paraId="5C977DF1" w14:textId="77777777" w:rsidR="00BF2C9F" w:rsidRPr="00AF3A24" w:rsidRDefault="00BF2C9F" w:rsidP="00272235">
            <w:pPr>
              <w:spacing w:before="0" w:line="240" w:lineRule="auto"/>
              <w:ind w:left="78"/>
              <w:jc w:val="left"/>
              <w:rPr>
                <w:rFonts w:asciiTheme="minorHAnsi" w:hAnsiTheme="minorHAnsi" w:cstheme="minorHAnsi"/>
                <w:sz w:val="16"/>
                <w:szCs w:val="16"/>
              </w:rPr>
            </w:pPr>
          </w:p>
        </w:tc>
        <w:tc>
          <w:tcPr>
            <w:tcW w:w="1807" w:type="dxa"/>
            <w:tcBorders>
              <w:top w:val="nil"/>
              <w:bottom w:val="single" w:sz="4" w:space="0" w:color="auto"/>
            </w:tcBorders>
            <w:shd w:val="clear" w:color="auto" w:fill="DAEEF3" w:themeFill="accent5" w:themeFillTint="33"/>
            <w:vAlign w:val="center"/>
          </w:tcPr>
          <w:p w14:paraId="3AC770E0"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1132" w:type="dxa"/>
            <w:tcBorders>
              <w:top w:val="nil"/>
              <w:bottom w:val="single" w:sz="4" w:space="0" w:color="auto"/>
              <w:right w:val="single" w:sz="4" w:space="0" w:color="auto"/>
            </w:tcBorders>
            <w:shd w:val="clear" w:color="auto" w:fill="DAEEF3" w:themeFill="accent5" w:themeFillTint="33"/>
            <w:vAlign w:val="center"/>
          </w:tcPr>
          <w:p w14:paraId="1042118D"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1,693</w:t>
            </w:r>
          </w:p>
        </w:tc>
        <w:tc>
          <w:tcPr>
            <w:tcW w:w="1965"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51A80F56"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47.9</w:t>
            </w:r>
            <w:r w:rsidRPr="00AF3A24">
              <w:rPr>
                <w:rFonts w:asciiTheme="minorHAnsi" w:hAnsiTheme="minorHAnsi"/>
                <w:bCs/>
                <w:color w:val="000000"/>
                <w:sz w:val="16"/>
                <w:szCs w:val="16"/>
              </w:rPr>
              <w:br/>
              <w:t>(45.2 - 50.6)</w:t>
            </w:r>
          </w:p>
        </w:tc>
        <w:tc>
          <w:tcPr>
            <w:tcW w:w="1286" w:type="dxa"/>
            <w:vMerge/>
            <w:tcBorders>
              <w:left w:val="single" w:sz="4" w:space="0" w:color="auto"/>
              <w:bottom w:val="single" w:sz="4" w:space="0" w:color="auto"/>
              <w:right w:val="single" w:sz="4" w:space="0" w:color="auto"/>
            </w:tcBorders>
            <w:shd w:val="clear" w:color="auto" w:fill="DAEEF3" w:themeFill="accent5" w:themeFillTint="33"/>
            <w:vAlign w:val="center"/>
          </w:tcPr>
          <w:p w14:paraId="37612A2A" w14:textId="77777777" w:rsidR="00BF2C9F" w:rsidRPr="00AF3A24" w:rsidRDefault="00BF2C9F" w:rsidP="00BF2C9F">
            <w:pPr>
              <w:spacing w:before="0" w:line="240" w:lineRule="auto"/>
              <w:jc w:val="center"/>
              <w:rPr>
                <w:rFonts w:asciiTheme="minorHAnsi" w:hAnsiTheme="minorHAnsi"/>
                <w:bCs/>
                <w:color w:val="000000"/>
                <w:sz w:val="16"/>
                <w:szCs w:val="16"/>
              </w:rPr>
            </w:pPr>
          </w:p>
        </w:tc>
      </w:tr>
      <w:tr w:rsidR="00BF2C9F" w:rsidRPr="00AF3A24" w14:paraId="20693D35" w14:textId="77777777" w:rsidTr="00E946AF">
        <w:trPr>
          <w:trHeight w:val="243"/>
          <w:jc w:val="center"/>
        </w:trPr>
        <w:tc>
          <w:tcPr>
            <w:tcW w:w="1719" w:type="dxa"/>
            <w:vMerge w:val="restart"/>
            <w:tcBorders>
              <w:top w:val="single" w:sz="4" w:space="0" w:color="auto"/>
            </w:tcBorders>
            <w:shd w:val="clear" w:color="auto" w:fill="DAEEF3" w:themeFill="accent5" w:themeFillTint="33"/>
            <w:vAlign w:val="center"/>
          </w:tcPr>
          <w:p w14:paraId="52932100"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1807" w:type="dxa"/>
            <w:tcBorders>
              <w:top w:val="single" w:sz="4" w:space="0" w:color="auto"/>
              <w:bottom w:val="nil"/>
            </w:tcBorders>
            <w:shd w:val="clear" w:color="auto" w:fill="DAEEF3" w:themeFill="accent5" w:themeFillTint="33"/>
            <w:vAlign w:val="center"/>
          </w:tcPr>
          <w:p w14:paraId="7165D3FD"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1132" w:type="dxa"/>
            <w:tcBorders>
              <w:bottom w:val="nil"/>
              <w:right w:val="single" w:sz="4" w:space="0" w:color="auto"/>
            </w:tcBorders>
            <w:shd w:val="clear" w:color="auto" w:fill="DAEEF3" w:themeFill="accent5" w:themeFillTint="33"/>
            <w:vAlign w:val="center"/>
          </w:tcPr>
          <w:p w14:paraId="6A828CB0"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637</w:t>
            </w:r>
          </w:p>
        </w:tc>
        <w:tc>
          <w:tcPr>
            <w:tcW w:w="1965" w:type="dxa"/>
            <w:tcBorders>
              <w:left w:val="single" w:sz="4" w:space="0" w:color="auto"/>
              <w:bottom w:val="nil"/>
              <w:right w:val="single" w:sz="4" w:space="0" w:color="auto"/>
            </w:tcBorders>
            <w:shd w:val="clear" w:color="auto" w:fill="DAEEF3" w:themeFill="accent5" w:themeFillTint="33"/>
            <w:vAlign w:val="center"/>
          </w:tcPr>
          <w:p w14:paraId="2D5C3ED7"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53.5</w:t>
            </w:r>
            <w:r w:rsidRPr="00AF3A24">
              <w:rPr>
                <w:rFonts w:asciiTheme="minorHAnsi" w:hAnsiTheme="minorHAnsi"/>
                <w:bCs/>
                <w:color w:val="000000"/>
                <w:sz w:val="16"/>
                <w:szCs w:val="16"/>
              </w:rPr>
              <w:br/>
              <w:t>(48.8 - 58.2)</w:t>
            </w:r>
          </w:p>
        </w:tc>
        <w:tc>
          <w:tcPr>
            <w:tcW w:w="1286" w:type="dxa"/>
            <w:vMerge w:val="restart"/>
            <w:tcBorders>
              <w:left w:val="single" w:sz="4" w:space="0" w:color="auto"/>
              <w:right w:val="single" w:sz="4" w:space="0" w:color="auto"/>
            </w:tcBorders>
            <w:shd w:val="clear" w:color="auto" w:fill="DAEEF3" w:themeFill="accent5" w:themeFillTint="33"/>
            <w:vAlign w:val="center"/>
          </w:tcPr>
          <w:p w14:paraId="46E37E18"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0.15</w:t>
            </w:r>
          </w:p>
        </w:tc>
      </w:tr>
      <w:tr w:rsidR="00BF2C9F" w:rsidRPr="00AF3A24" w14:paraId="2E2EB2CC" w14:textId="77777777" w:rsidTr="00E946AF">
        <w:trPr>
          <w:jc w:val="center"/>
        </w:trPr>
        <w:tc>
          <w:tcPr>
            <w:tcW w:w="1719" w:type="dxa"/>
            <w:vMerge/>
            <w:tcBorders>
              <w:bottom w:val="single" w:sz="4" w:space="0" w:color="auto"/>
            </w:tcBorders>
            <w:shd w:val="clear" w:color="auto" w:fill="DAEEF3" w:themeFill="accent5" w:themeFillTint="33"/>
          </w:tcPr>
          <w:p w14:paraId="005DCF9B" w14:textId="77777777" w:rsidR="00BF2C9F" w:rsidRPr="00AF3A24" w:rsidRDefault="00BF2C9F" w:rsidP="00272235">
            <w:pPr>
              <w:spacing w:before="0" w:line="240" w:lineRule="auto"/>
              <w:ind w:left="78"/>
              <w:jc w:val="center"/>
              <w:rPr>
                <w:rFonts w:asciiTheme="minorHAnsi" w:hAnsiTheme="minorHAnsi" w:cstheme="minorHAnsi"/>
                <w:sz w:val="16"/>
                <w:szCs w:val="16"/>
              </w:rPr>
            </w:pPr>
          </w:p>
        </w:tc>
        <w:tc>
          <w:tcPr>
            <w:tcW w:w="1807" w:type="dxa"/>
            <w:tcBorders>
              <w:top w:val="nil"/>
              <w:bottom w:val="single" w:sz="4" w:space="0" w:color="auto"/>
            </w:tcBorders>
            <w:shd w:val="clear" w:color="auto" w:fill="DAEEF3" w:themeFill="accent5" w:themeFillTint="33"/>
            <w:vAlign w:val="center"/>
          </w:tcPr>
          <w:p w14:paraId="29F22D60" w14:textId="77777777" w:rsidR="00BF2C9F" w:rsidRPr="00AF3A24" w:rsidRDefault="00BF2C9F" w:rsidP="0027223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1132" w:type="dxa"/>
            <w:tcBorders>
              <w:top w:val="nil"/>
              <w:bottom w:val="single" w:sz="4" w:space="0" w:color="auto"/>
              <w:right w:val="single" w:sz="4" w:space="0" w:color="auto"/>
            </w:tcBorders>
            <w:shd w:val="clear" w:color="auto" w:fill="DAEEF3" w:themeFill="accent5" w:themeFillTint="33"/>
            <w:vAlign w:val="center"/>
          </w:tcPr>
          <w:p w14:paraId="4AC37AF7" w14:textId="77777777" w:rsidR="00BF2C9F" w:rsidRPr="00AF3A24" w:rsidRDefault="00BF2C9F" w:rsidP="0027223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5,891</w:t>
            </w:r>
          </w:p>
        </w:tc>
        <w:tc>
          <w:tcPr>
            <w:tcW w:w="1965"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48513BB5" w14:textId="77777777" w:rsidR="00BF2C9F" w:rsidRPr="00AF3A24" w:rsidRDefault="00BF2C9F" w:rsidP="00BF2C9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52.1</w:t>
            </w:r>
            <w:r w:rsidRPr="00AF3A24">
              <w:rPr>
                <w:rFonts w:asciiTheme="minorHAnsi" w:hAnsiTheme="minorHAnsi"/>
                <w:bCs/>
                <w:color w:val="000000"/>
                <w:sz w:val="16"/>
                <w:szCs w:val="16"/>
              </w:rPr>
              <w:br/>
              <w:t>(50.7 - 53.6)</w:t>
            </w:r>
          </w:p>
        </w:tc>
        <w:tc>
          <w:tcPr>
            <w:tcW w:w="1286" w:type="dxa"/>
            <w:vMerge/>
            <w:tcBorders>
              <w:left w:val="single" w:sz="4" w:space="0" w:color="auto"/>
              <w:bottom w:val="single" w:sz="4" w:space="0" w:color="auto"/>
              <w:right w:val="single" w:sz="4" w:space="0" w:color="auto"/>
            </w:tcBorders>
            <w:shd w:val="clear" w:color="auto" w:fill="DAEEF3" w:themeFill="accent5" w:themeFillTint="33"/>
            <w:vAlign w:val="center"/>
          </w:tcPr>
          <w:p w14:paraId="6F6C70C2" w14:textId="77777777" w:rsidR="00BF2C9F" w:rsidRPr="00AF3A24" w:rsidRDefault="00BF2C9F" w:rsidP="00BF2C9F">
            <w:pPr>
              <w:spacing w:before="0" w:line="240" w:lineRule="auto"/>
              <w:jc w:val="center"/>
              <w:rPr>
                <w:rFonts w:asciiTheme="minorHAnsi" w:hAnsiTheme="minorHAnsi"/>
                <w:bCs/>
                <w:color w:val="000000"/>
                <w:sz w:val="16"/>
                <w:szCs w:val="16"/>
              </w:rPr>
            </w:pPr>
          </w:p>
        </w:tc>
      </w:tr>
    </w:tbl>
    <w:p w14:paraId="508DFA60" w14:textId="77777777" w:rsidR="00EB78E1" w:rsidRPr="00AF3A24" w:rsidRDefault="00EB78E1" w:rsidP="0011049C">
      <w:pPr>
        <w:spacing w:before="0" w:line="240" w:lineRule="auto"/>
        <w:ind w:left="1276" w:right="850" w:hanging="283"/>
        <w:rPr>
          <w:rFonts w:asciiTheme="minorHAnsi" w:hAnsiTheme="minorHAnsi" w:cstheme="minorHAnsi"/>
          <w:sz w:val="16"/>
          <w:szCs w:val="16"/>
        </w:rPr>
      </w:pPr>
      <w:r w:rsidRPr="00AF3A24">
        <w:rPr>
          <w:rFonts w:asciiTheme="minorHAnsi" w:hAnsiTheme="minorHAnsi" w:cstheme="minorHAnsi"/>
          <w:sz w:val="16"/>
          <w:szCs w:val="16"/>
        </w:rPr>
        <w:t>Notes:</w:t>
      </w:r>
    </w:p>
    <w:p w14:paraId="71CB0C8A" w14:textId="77777777" w:rsidR="00F218A6" w:rsidRPr="00AF3A24" w:rsidRDefault="00EB78E1" w:rsidP="00D75319">
      <w:pPr>
        <w:pStyle w:val="ListParagraph"/>
        <w:numPr>
          <w:ilvl w:val="0"/>
          <w:numId w:val="15"/>
        </w:numPr>
        <w:spacing w:line="240" w:lineRule="auto"/>
        <w:ind w:left="1276" w:right="850" w:hanging="283"/>
        <w:rPr>
          <w:rFonts w:asciiTheme="minorHAnsi" w:hAnsiTheme="minorHAnsi" w:cstheme="minorHAnsi"/>
          <w:sz w:val="16"/>
          <w:szCs w:val="16"/>
        </w:rPr>
      </w:pPr>
      <w:r w:rsidRPr="00AF3A24">
        <w:rPr>
          <w:rFonts w:asciiTheme="minorHAnsi" w:hAnsiTheme="minorHAnsi" w:cstheme="minorHAnsi"/>
          <w:sz w:val="16"/>
          <w:szCs w:val="16"/>
        </w:rPr>
        <w:t xml:space="preserve">Source: 2011/12 New Zealand Health Survey. </w:t>
      </w:r>
    </w:p>
    <w:p w14:paraId="15ACF7E8" w14:textId="4D039A89" w:rsidR="003E28E0" w:rsidRPr="0011049C" w:rsidRDefault="003E28E0" w:rsidP="00D75319">
      <w:pPr>
        <w:pStyle w:val="ListParagraph"/>
        <w:numPr>
          <w:ilvl w:val="0"/>
          <w:numId w:val="15"/>
        </w:numPr>
        <w:spacing w:line="240" w:lineRule="auto"/>
        <w:ind w:left="1276" w:right="850" w:hanging="283"/>
        <w:rPr>
          <w:rFonts w:asciiTheme="minorHAnsi" w:hAnsiTheme="minorHAnsi" w:cstheme="minorHAnsi"/>
          <w:sz w:val="16"/>
          <w:szCs w:val="16"/>
        </w:rPr>
      </w:pPr>
      <w:r w:rsidRPr="0011049C">
        <w:rPr>
          <w:rFonts w:asciiTheme="minorHAnsi" w:hAnsiTheme="minorHAnsi" w:cstheme="minorHAnsi"/>
          <w:sz w:val="16"/>
          <w:szCs w:val="16"/>
        </w:rPr>
        <w:t xml:space="preserve">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w:t>
      </w:r>
      <w:r w:rsidR="006A59F8" w:rsidRPr="006A59F8">
        <w:rPr>
          <w:rFonts w:asciiTheme="minorHAnsi" w:hAnsiTheme="minorHAnsi" w:cstheme="minorHAnsi"/>
          <w:sz w:val="16"/>
          <w:szCs w:val="16"/>
        </w:rPr>
        <w:t>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sidR="0011049C" w:rsidRPr="0011049C">
        <w:rPr>
          <w:rFonts w:asciiTheme="minorHAnsi" w:hAnsiTheme="minorHAnsi" w:cstheme="minorHAnsi"/>
          <w:sz w:val="16"/>
          <w:szCs w:val="16"/>
        </w:rPr>
        <w:t>.</w:t>
      </w:r>
    </w:p>
    <w:p w14:paraId="27AF36CE" w14:textId="77777777" w:rsidR="003E28E0" w:rsidRDefault="003E28E0" w:rsidP="00C5758B">
      <w:pPr>
        <w:pStyle w:val="BodyText"/>
      </w:pPr>
    </w:p>
    <w:p w14:paraId="07D6472B" w14:textId="77777777" w:rsidR="00C12620" w:rsidRDefault="00C12620">
      <w:pPr>
        <w:spacing w:before="0" w:after="200" w:line="276" w:lineRule="auto"/>
        <w:jc w:val="left"/>
        <w:rPr>
          <w:rFonts w:asciiTheme="minorHAnsi" w:hAnsiTheme="minorHAnsi" w:cstheme="minorHAnsi"/>
          <w:lang w:val="en-GB"/>
        </w:rPr>
      </w:pPr>
      <w:r>
        <w:br w:type="page"/>
      </w:r>
    </w:p>
    <w:p w14:paraId="4274F74A" w14:textId="77777777" w:rsidR="00211A7F" w:rsidRDefault="002333B4" w:rsidP="00444FB3">
      <w:pPr>
        <w:pStyle w:val="BodyText"/>
        <w:spacing w:line="480" w:lineRule="auto"/>
      </w:pPr>
      <w:r>
        <w:lastRenderedPageBreak/>
        <w:t>Figure 6</w:t>
      </w:r>
      <w:r w:rsidR="00441152">
        <w:t xml:space="preserve"> illustrates </w:t>
      </w:r>
      <w:r w:rsidR="00D13CBF">
        <w:t>the</w:t>
      </w:r>
      <w:r w:rsidR="00441152">
        <w:t xml:space="preserve"> </w:t>
      </w:r>
      <w:r w:rsidR="00D13CBF">
        <w:t>association between age-group and gambling status (p&lt;0.0001)</w:t>
      </w:r>
      <w:r w:rsidR="00965F35">
        <w:t>.</w:t>
      </w:r>
      <w:r w:rsidR="00D13CBF">
        <w:t xml:space="preserve">  </w:t>
      </w:r>
      <w:r w:rsidR="00165127">
        <w:t xml:space="preserve">No </w:t>
      </w:r>
      <w:r w:rsidR="00D13CBF">
        <w:t>significant</w:t>
      </w:r>
      <w:r w:rsidR="00165127">
        <w:t xml:space="preserve"> gender differences</w:t>
      </w:r>
      <w:r w:rsidR="00D13CBF">
        <w:t xml:space="preserve"> </w:t>
      </w:r>
      <w:r w:rsidR="00165127">
        <w:t xml:space="preserve">were observed for </w:t>
      </w:r>
      <w:r w:rsidR="00D13CBF">
        <w:t>past</w:t>
      </w:r>
      <w:r w:rsidR="003E28E0">
        <w:t>-</w:t>
      </w:r>
      <w:r w:rsidR="00D13CBF">
        <w:t>year gambling</w:t>
      </w:r>
      <w:r w:rsidR="00165127" w:rsidRPr="00165127">
        <w:t xml:space="preserve"> </w:t>
      </w:r>
      <w:r w:rsidR="00165127">
        <w:t>by age-group</w:t>
      </w:r>
      <w:r w:rsidR="00D13CBF">
        <w:t xml:space="preserve">. </w:t>
      </w:r>
    </w:p>
    <w:p w14:paraId="1C3FB457" w14:textId="567AA6AA" w:rsidR="00272235" w:rsidRDefault="00272235" w:rsidP="008B13A6">
      <w:pPr>
        <w:pStyle w:val="Caption"/>
        <w:keepNext/>
        <w:spacing w:after="0" w:line="360" w:lineRule="auto"/>
        <w:ind w:left="993" w:hanging="993"/>
        <w:rPr>
          <w:rFonts w:asciiTheme="minorHAnsi" w:hAnsiTheme="minorHAnsi" w:cstheme="minorHAnsi"/>
          <w:i/>
          <w:vertAlign w:val="superscript"/>
        </w:rPr>
      </w:pPr>
      <w:bookmarkStart w:id="42" w:name="_Ref395621719"/>
      <w:bookmarkStart w:id="43" w:name="_Toc425426979"/>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6</w:t>
      </w:r>
      <w:r w:rsidRPr="00AF3A24">
        <w:rPr>
          <w:rFonts w:asciiTheme="minorHAnsi" w:hAnsiTheme="minorHAnsi" w:cstheme="minorHAnsi"/>
          <w:i/>
          <w:noProof/>
        </w:rPr>
        <w:fldChar w:fldCharType="end"/>
      </w:r>
      <w:bookmarkEnd w:id="42"/>
      <w:r w:rsidRPr="00AF3A24">
        <w:rPr>
          <w:rFonts w:asciiTheme="minorHAnsi" w:hAnsiTheme="minorHAnsi" w:cstheme="minorHAnsi"/>
          <w:i/>
        </w:rPr>
        <w:t xml:space="preserve">: </w:t>
      </w:r>
      <w:r w:rsidRPr="00AF3A24">
        <w:rPr>
          <w:rFonts w:asciiTheme="minorHAnsi" w:hAnsiTheme="minorHAnsi" w:cstheme="minorHAnsi"/>
          <w:i/>
        </w:rPr>
        <w:tab/>
        <w:t xml:space="preserve">Gambling in the last 12 months, by age group and </w:t>
      </w:r>
      <w:r w:rsidR="000642D2" w:rsidRPr="00AF3A24">
        <w:rPr>
          <w:rFonts w:asciiTheme="minorHAnsi" w:hAnsiTheme="minorHAnsi" w:cstheme="minorHAnsi"/>
          <w:i/>
        </w:rPr>
        <w:t>gender</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w:t>
      </w:r>
      <w:r w:rsidR="00A919A0" w:rsidRPr="00AF3A24">
        <w:rPr>
          <w:rFonts w:asciiTheme="minorHAnsi" w:hAnsiTheme="minorHAnsi" w:cstheme="minorHAnsi"/>
          <w:i/>
        </w:rPr>
        <w:t>(unadjusted prevalence; N=12,596)</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43"/>
    </w:p>
    <w:p w14:paraId="52F63B01" w14:textId="77777777" w:rsidR="00711399" w:rsidRDefault="00711399" w:rsidP="000E0B32">
      <w:pPr>
        <w:spacing w:before="0" w:line="360" w:lineRule="auto"/>
        <w:jc w:val="center"/>
      </w:pPr>
      <w:r>
        <w:rPr>
          <w:noProof/>
          <w:lang w:eastAsia="en-NZ"/>
        </w:rPr>
        <w:drawing>
          <wp:inline distT="0" distB="0" distL="0" distR="0" wp14:anchorId="661C3245" wp14:editId="62C17CC5">
            <wp:extent cx="5943600" cy="3035300"/>
            <wp:effectExtent l="0" t="0" r="19050" b="1270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B42878E" w14:textId="77777777" w:rsidR="00272235" w:rsidRPr="0045616C" w:rsidRDefault="00272235" w:rsidP="00272235">
      <w:pPr>
        <w:spacing w:before="0" w:line="240" w:lineRule="auto"/>
        <w:ind w:left="709"/>
        <w:rPr>
          <w:rFonts w:asciiTheme="minorHAnsi" w:hAnsiTheme="minorHAnsi" w:cstheme="minorHAnsi"/>
          <w:sz w:val="16"/>
        </w:rPr>
      </w:pPr>
      <w:r w:rsidRPr="0045616C">
        <w:rPr>
          <w:rFonts w:asciiTheme="minorHAnsi" w:hAnsiTheme="minorHAnsi" w:cstheme="minorHAnsi"/>
          <w:sz w:val="16"/>
        </w:rPr>
        <w:t>Notes:</w:t>
      </w:r>
    </w:p>
    <w:p w14:paraId="52572588" w14:textId="77777777" w:rsidR="00272235" w:rsidRPr="00AF3A24" w:rsidRDefault="00272235" w:rsidP="00272235">
      <w:pPr>
        <w:spacing w:before="0" w:line="240" w:lineRule="auto"/>
        <w:ind w:left="709"/>
        <w:rPr>
          <w:rFonts w:asciiTheme="minorHAnsi" w:hAnsiTheme="minorHAnsi" w:cstheme="minorHAnsi"/>
          <w:sz w:val="18"/>
        </w:rPr>
      </w:pPr>
      <w:r w:rsidRPr="0045616C">
        <w:rPr>
          <w:rFonts w:asciiTheme="minorHAnsi" w:hAnsiTheme="minorHAnsi" w:cstheme="minorHAnsi"/>
          <w:sz w:val="16"/>
        </w:rPr>
        <w:t>1. Source: 2011/12 New Zealand Health Survey.</w:t>
      </w:r>
      <w:r w:rsidRPr="00AF3A24">
        <w:rPr>
          <w:rFonts w:asciiTheme="minorHAnsi" w:hAnsiTheme="minorHAnsi" w:cstheme="minorHAnsi"/>
          <w:sz w:val="18"/>
        </w:rPr>
        <w:t xml:space="preserve"> </w:t>
      </w:r>
      <w:r w:rsidR="0009392B">
        <w:rPr>
          <w:rFonts w:asciiTheme="minorHAnsi" w:hAnsiTheme="minorHAnsi" w:cstheme="minorHAnsi"/>
          <w:sz w:val="18"/>
        </w:rPr>
        <w:t xml:space="preserve"> </w:t>
      </w:r>
      <w:r w:rsidR="0009392B" w:rsidRPr="00F11F34">
        <w:rPr>
          <w:rFonts w:asciiTheme="minorHAnsi" w:hAnsiTheme="minorHAnsi" w:cstheme="minorHAnsi"/>
          <w:sz w:val="16"/>
        </w:rPr>
        <w:t xml:space="preserve">Error bars are indicative of 95% confidence intervals. </w:t>
      </w:r>
    </w:p>
    <w:p w14:paraId="7447AF2A" w14:textId="77777777" w:rsidR="000E0B32" w:rsidRPr="00AF3A24" w:rsidRDefault="000E0B32">
      <w:pPr>
        <w:spacing w:before="0" w:after="200" w:line="276" w:lineRule="auto"/>
        <w:jc w:val="left"/>
        <w:rPr>
          <w:rFonts w:asciiTheme="minorHAnsi" w:hAnsiTheme="minorHAnsi" w:cstheme="minorHAnsi"/>
          <w:b/>
          <w:bCs/>
          <w:iCs/>
          <w:color w:val="1F497D"/>
          <w:szCs w:val="22"/>
        </w:rPr>
      </w:pPr>
    </w:p>
    <w:p w14:paraId="7D17D983" w14:textId="77777777" w:rsidR="00750305" w:rsidRPr="00B25B9E" w:rsidRDefault="00515738" w:rsidP="00F061EF">
      <w:pPr>
        <w:pStyle w:val="Heading2"/>
      </w:pPr>
      <w:bookmarkStart w:id="44" w:name="_Toc403833154"/>
      <w:r w:rsidRPr="00B25B9E">
        <w:t>A</w:t>
      </w:r>
      <w:r w:rsidR="00750305" w:rsidRPr="00B25B9E">
        <w:t>ctivities that adults gamble on</w:t>
      </w:r>
      <w:bookmarkEnd w:id="44"/>
    </w:p>
    <w:p w14:paraId="17006F27" w14:textId="77777777" w:rsidR="00D42E59" w:rsidRDefault="00444FB3" w:rsidP="00D42E59">
      <w:pPr>
        <w:pStyle w:val="BodyText"/>
        <w:spacing w:line="480" w:lineRule="auto"/>
      </w:pPr>
      <w:r>
        <w:t>New Zealand Lotteries</w:t>
      </w:r>
      <w:r w:rsidR="00DD7D1F">
        <w:t>’</w:t>
      </w:r>
      <w:r>
        <w:t xml:space="preserve"> products were the most popular gambling activities amongst New Zealand adults.  </w:t>
      </w:r>
      <w:r w:rsidR="00CF3610">
        <w:t>In the past year, n</w:t>
      </w:r>
      <w:r>
        <w:t xml:space="preserve">early half </w:t>
      </w:r>
      <w:r w:rsidR="00CF3610">
        <w:t xml:space="preserve">(45.2%) </w:t>
      </w:r>
      <w:r>
        <w:t xml:space="preserve">of all respondents had gambled on Lotto products (including ‘Strike’, ‘Powerball’ and ‘Big Wednesday’) and just over one-tenth </w:t>
      </w:r>
      <w:r w:rsidR="00DD7D1F">
        <w:t>(13.6%)</w:t>
      </w:r>
      <w:r w:rsidR="00CF3610">
        <w:t xml:space="preserve"> </w:t>
      </w:r>
      <w:r>
        <w:t>had gambled on Instant</w:t>
      </w:r>
      <w:r w:rsidR="00CF3610">
        <w:t xml:space="preserve"> Kiwi or other scratch tickets. </w:t>
      </w:r>
      <w:r>
        <w:t xml:space="preserve"> </w:t>
      </w:r>
      <w:r w:rsidR="00DD7D1F">
        <w:t>Less than ten percent of adults had gambled on</w:t>
      </w:r>
      <w:r w:rsidR="00CF3610">
        <w:t xml:space="preserve"> EGMs</w:t>
      </w:r>
      <w:r w:rsidR="00DD7D1F">
        <w:t xml:space="preserve"> (casino and/or non-casino)</w:t>
      </w:r>
      <w:r w:rsidR="00CF3610">
        <w:t>, track or sports betting, casino gambling</w:t>
      </w:r>
      <w:r w:rsidR="00DD7D1F">
        <w:t xml:space="preserve"> (EGMs and/or tables)</w:t>
      </w:r>
      <w:r w:rsidR="00C22E1D">
        <w:t>, K</w:t>
      </w:r>
      <w:r w:rsidR="00CF3610">
        <w:t xml:space="preserve">eno, housie and ‘other’ </w:t>
      </w:r>
      <w:r w:rsidR="00DD7D1F">
        <w:t>in</w:t>
      </w:r>
      <w:r w:rsidR="00CF3610">
        <w:t xml:space="preserve"> the previous year.  </w:t>
      </w:r>
      <w:r w:rsidR="002333B4">
        <w:t>Table 4</w:t>
      </w:r>
      <w:r w:rsidR="00D42E59">
        <w:t xml:space="preserve"> provides prevalence estimates for past-year </w:t>
      </w:r>
      <w:r w:rsidR="000B0EDC">
        <w:t>participation in</w:t>
      </w:r>
      <w:r w:rsidR="00D42E59">
        <w:t xml:space="preserve"> specific</w:t>
      </w:r>
      <w:r w:rsidR="000B0EDC">
        <w:t xml:space="preserve"> gambling</w:t>
      </w:r>
      <w:r w:rsidR="00D42E59">
        <w:t xml:space="preserve"> activit</w:t>
      </w:r>
      <w:r w:rsidR="000B0EDC">
        <w:t>ies</w:t>
      </w:r>
      <w:r w:rsidR="00D42E59">
        <w:t xml:space="preserve"> for total adults and past-year gamblers.  </w:t>
      </w:r>
    </w:p>
    <w:p w14:paraId="06B4E8B0" w14:textId="7DA23EDF" w:rsidR="00740B76" w:rsidRPr="00AF3A24" w:rsidRDefault="00740B76" w:rsidP="0022537D">
      <w:pPr>
        <w:pStyle w:val="Caption"/>
        <w:keepNext/>
        <w:spacing w:line="276" w:lineRule="auto"/>
        <w:ind w:left="993" w:hanging="993"/>
        <w:rPr>
          <w:rFonts w:asciiTheme="minorHAnsi" w:hAnsiTheme="minorHAnsi" w:cstheme="minorHAnsi"/>
          <w:i/>
        </w:rPr>
      </w:pPr>
      <w:bookmarkStart w:id="45" w:name="_Ref399257296"/>
      <w:bookmarkStart w:id="46" w:name="_Toc367285389"/>
      <w:bookmarkStart w:id="47" w:name="_Toc425426871"/>
      <w:r w:rsidRPr="00AF3A24">
        <w:rPr>
          <w:rFonts w:asciiTheme="minorHAnsi" w:hAnsiTheme="minorHAnsi"/>
          <w:i/>
        </w:rPr>
        <w:lastRenderedPageBreak/>
        <w:t xml:space="preserve">Table </w:t>
      </w:r>
      <w:r w:rsidR="007B447B" w:rsidRPr="00AF3A24">
        <w:rPr>
          <w:rFonts w:asciiTheme="minorHAnsi" w:hAnsiTheme="minorHAnsi"/>
          <w:i/>
        </w:rPr>
        <w:fldChar w:fldCharType="begin"/>
      </w:r>
      <w:r w:rsidRPr="00AF3A24">
        <w:rPr>
          <w:rFonts w:asciiTheme="minorHAnsi" w:hAnsiTheme="minorHAnsi"/>
          <w:i/>
        </w:rPr>
        <w:instrText xml:space="preserve"> SEQ Table \* ARABIC </w:instrText>
      </w:r>
      <w:r w:rsidR="007B447B" w:rsidRPr="00AF3A24">
        <w:rPr>
          <w:rFonts w:asciiTheme="minorHAnsi" w:hAnsiTheme="minorHAnsi"/>
          <w:i/>
        </w:rPr>
        <w:fldChar w:fldCharType="separate"/>
      </w:r>
      <w:r w:rsidR="00D71107">
        <w:rPr>
          <w:rFonts w:asciiTheme="minorHAnsi" w:hAnsiTheme="minorHAnsi"/>
          <w:i/>
          <w:noProof/>
        </w:rPr>
        <w:t>4</w:t>
      </w:r>
      <w:r w:rsidR="007B447B" w:rsidRPr="00AF3A24">
        <w:rPr>
          <w:rFonts w:asciiTheme="minorHAnsi" w:hAnsiTheme="minorHAnsi"/>
          <w:i/>
        </w:rPr>
        <w:fldChar w:fldCharType="end"/>
      </w:r>
      <w:bookmarkEnd w:id="45"/>
      <w:r w:rsidRPr="00AF3A24">
        <w:rPr>
          <w:rFonts w:asciiTheme="minorHAnsi" w:hAnsiTheme="minorHAnsi"/>
          <w:i/>
        </w:rPr>
        <w:t>:</w:t>
      </w:r>
      <w:r w:rsidR="0022537D" w:rsidRPr="00AF3A24">
        <w:rPr>
          <w:rFonts w:asciiTheme="minorHAnsi" w:hAnsiTheme="minorHAnsi" w:cstheme="minorHAnsi"/>
          <w:i/>
        </w:rPr>
        <w:tab/>
        <w:t>P</w:t>
      </w:r>
      <w:r w:rsidR="002E1CF4" w:rsidRPr="00AF3A24">
        <w:rPr>
          <w:rFonts w:asciiTheme="minorHAnsi" w:hAnsiTheme="minorHAnsi" w:cstheme="minorHAnsi"/>
          <w:i/>
        </w:rPr>
        <w:t xml:space="preserve">ast year participation in specific types of gambling activities, </w:t>
      </w:r>
      <w:r w:rsidR="00A919A0" w:rsidRPr="00AF3A24">
        <w:rPr>
          <w:rFonts w:asciiTheme="minorHAnsi" w:hAnsiTheme="minorHAnsi" w:cstheme="minorHAnsi"/>
          <w:i/>
        </w:rPr>
        <w:t>total population aged 15 years and over (unadjusted prevalence; N=12,596</w:t>
      </w:r>
      <w:proofErr w:type="gramStart"/>
      <w:r w:rsidR="00A919A0" w:rsidRPr="00AF3A24">
        <w:rPr>
          <w:rFonts w:asciiTheme="minorHAnsi" w:hAnsiTheme="minorHAnsi" w:cstheme="minorHAnsi"/>
          <w:i/>
        </w:rPr>
        <w:t xml:space="preserve">) </w:t>
      </w:r>
      <w:bookmarkEnd w:id="46"/>
      <w:r w:rsidR="00323550" w:rsidRPr="00AF3A24">
        <w:rPr>
          <w:rFonts w:asciiTheme="minorHAnsi" w:hAnsiTheme="minorHAnsi" w:cstheme="minorHAnsi"/>
          <w:i/>
        </w:rPr>
        <w:t xml:space="preserve"> </w:t>
      </w:r>
      <w:r w:rsidR="00323550" w:rsidRPr="00AF3A24">
        <w:rPr>
          <w:rFonts w:asciiTheme="minorHAnsi" w:hAnsiTheme="minorHAnsi" w:cstheme="minorHAnsi"/>
          <w:i/>
          <w:vertAlign w:val="superscript"/>
        </w:rPr>
        <w:t>1</w:t>
      </w:r>
      <w:bookmarkEnd w:id="47"/>
      <w:proofErr w:type="gramEnd"/>
    </w:p>
    <w:tbl>
      <w:tblPr>
        <w:tblStyle w:val="TableGrid"/>
        <w:tblW w:w="0" w:type="auto"/>
        <w:jc w:val="center"/>
        <w:tblLook w:val="04A0" w:firstRow="1" w:lastRow="0" w:firstColumn="1" w:lastColumn="0" w:noHBand="0" w:noVBand="1"/>
      </w:tblPr>
      <w:tblGrid>
        <w:gridCol w:w="3958"/>
        <w:gridCol w:w="790"/>
        <w:gridCol w:w="1417"/>
        <w:gridCol w:w="1418"/>
        <w:gridCol w:w="2195"/>
      </w:tblGrid>
      <w:tr w:rsidR="005F2C3A" w:rsidRPr="00AF3A24" w14:paraId="3D9777FE" w14:textId="77777777" w:rsidTr="00F73C07">
        <w:trPr>
          <w:trHeight w:val="365"/>
          <w:jc w:val="center"/>
        </w:trPr>
        <w:tc>
          <w:tcPr>
            <w:tcW w:w="3958" w:type="dxa"/>
            <w:vMerge w:val="restart"/>
            <w:shd w:val="clear" w:color="auto" w:fill="92CDDC" w:themeFill="accent5" w:themeFillTint="99"/>
            <w:vAlign w:val="center"/>
          </w:tcPr>
          <w:p w14:paraId="654F6048" w14:textId="77777777" w:rsidR="005F2C3A" w:rsidRPr="00AF3A24" w:rsidRDefault="005F2C3A" w:rsidP="00832E59">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GAMBLING ACTIVITY</w:t>
            </w:r>
            <w:r w:rsidR="001A3B16" w:rsidRPr="00AF3A24">
              <w:rPr>
                <w:rFonts w:asciiTheme="minorHAnsi" w:hAnsiTheme="minorHAnsi" w:cstheme="minorHAnsi"/>
                <w:b/>
                <w:sz w:val="18"/>
                <w:szCs w:val="18"/>
              </w:rPr>
              <w:t xml:space="preserve"> </w:t>
            </w:r>
            <w:r w:rsidR="001A3B16" w:rsidRPr="00AF3A24">
              <w:rPr>
                <w:rFonts w:asciiTheme="minorHAnsi" w:hAnsiTheme="minorHAnsi" w:cstheme="minorHAnsi"/>
                <w:b/>
                <w:sz w:val="18"/>
                <w:szCs w:val="18"/>
                <w:vertAlign w:val="superscript"/>
              </w:rPr>
              <w:t>2</w:t>
            </w:r>
          </w:p>
        </w:tc>
        <w:tc>
          <w:tcPr>
            <w:tcW w:w="5820" w:type="dxa"/>
            <w:gridSpan w:val="4"/>
            <w:shd w:val="clear" w:color="auto" w:fill="92CDDC" w:themeFill="accent5" w:themeFillTint="99"/>
            <w:vAlign w:val="center"/>
          </w:tcPr>
          <w:p w14:paraId="312D9AC6" w14:textId="77777777" w:rsidR="005F2C3A" w:rsidRPr="00AF3A24" w:rsidRDefault="001B29A4"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PAST-YEAR PARTICIPATION </w:t>
            </w:r>
          </w:p>
        </w:tc>
      </w:tr>
      <w:tr w:rsidR="005F2C3A" w:rsidRPr="00AF3A24" w14:paraId="65A9679F" w14:textId="77777777" w:rsidTr="00F73C07">
        <w:trPr>
          <w:trHeight w:val="768"/>
          <w:jc w:val="center"/>
        </w:trPr>
        <w:tc>
          <w:tcPr>
            <w:tcW w:w="3958" w:type="dxa"/>
            <w:vMerge/>
            <w:tcBorders>
              <w:bottom w:val="single" w:sz="4" w:space="0" w:color="auto"/>
            </w:tcBorders>
            <w:shd w:val="clear" w:color="auto" w:fill="92CDDC" w:themeFill="accent5" w:themeFillTint="99"/>
            <w:vAlign w:val="center"/>
          </w:tcPr>
          <w:p w14:paraId="76E331D9" w14:textId="77777777" w:rsidR="005F2C3A" w:rsidRPr="00AF3A24" w:rsidRDefault="005F2C3A" w:rsidP="00832E59">
            <w:pPr>
              <w:spacing w:before="0" w:line="240" w:lineRule="auto"/>
              <w:jc w:val="left"/>
              <w:rPr>
                <w:rFonts w:asciiTheme="minorHAnsi" w:hAnsiTheme="minorHAnsi" w:cstheme="minorHAnsi"/>
                <w:b/>
                <w:sz w:val="18"/>
                <w:szCs w:val="18"/>
              </w:rPr>
            </w:pPr>
          </w:p>
        </w:tc>
        <w:tc>
          <w:tcPr>
            <w:tcW w:w="790" w:type="dxa"/>
            <w:tcBorders>
              <w:bottom w:val="single" w:sz="4" w:space="0" w:color="auto"/>
            </w:tcBorders>
            <w:shd w:val="clear" w:color="auto" w:fill="92CDDC" w:themeFill="accent5" w:themeFillTint="99"/>
            <w:vAlign w:val="center"/>
          </w:tcPr>
          <w:p w14:paraId="04FC453A" w14:textId="77777777" w:rsidR="005F2C3A" w:rsidRPr="00AF3A24" w:rsidRDefault="00695564" w:rsidP="0069556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5CF86B0E" w14:textId="77777777" w:rsidR="005F2C3A" w:rsidRPr="00AF3A24" w:rsidRDefault="005F2C3A" w:rsidP="005F2C3A">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total adults</w:t>
            </w:r>
          </w:p>
          <w:p w14:paraId="412FDFA3" w14:textId="77777777" w:rsidR="00034C9E" w:rsidRPr="00AF3A24" w:rsidRDefault="00034C9E" w:rsidP="001B29A4">
            <w:pPr>
              <w:spacing w:before="0" w:line="240" w:lineRule="auto"/>
              <w:jc w:val="center"/>
              <w:rPr>
                <w:rFonts w:asciiTheme="minorHAnsi" w:hAnsiTheme="minorHAnsi" w:cstheme="minorHAnsi"/>
                <w:b/>
                <w:sz w:val="18"/>
                <w:szCs w:val="18"/>
              </w:rPr>
            </w:pPr>
          </w:p>
          <w:p w14:paraId="64A34B1A" w14:textId="77777777" w:rsidR="001B29A4" w:rsidRPr="00AF3A24" w:rsidRDefault="001B29A4"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 </w:t>
            </w:r>
          </w:p>
          <w:p w14:paraId="67850AF2" w14:textId="77777777" w:rsidR="001B29A4" w:rsidRPr="00AF3A24" w:rsidRDefault="001B29A4"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418" w:type="dxa"/>
            <w:tcBorders>
              <w:bottom w:val="single" w:sz="4" w:space="0" w:color="auto"/>
            </w:tcBorders>
            <w:shd w:val="clear" w:color="auto" w:fill="92CDDC" w:themeFill="accent5" w:themeFillTint="99"/>
            <w:vAlign w:val="center"/>
          </w:tcPr>
          <w:p w14:paraId="7601D255" w14:textId="77777777" w:rsidR="001B29A4" w:rsidRPr="00AF3A24" w:rsidRDefault="005F2C3A"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past-year gamblers</w:t>
            </w:r>
            <w:r w:rsidR="001B29A4" w:rsidRPr="00AF3A24">
              <w:rPr>
                <w:rFonts w:asciiTheme="minorHAnsi" w:hAnsiTheme="minorHAnsi" w:cstheme="minorHAnsi"/>
                <w:b/>
                <w:sz w:val="18"/>
                <w:szCs w:val="18"/>
              </w:rPr>
              <w:t xml:space="preserve"> </w:t>
            </w:r>
          </w:p>
          <w:p w14:paraId="3EEF00B6" w14:textId="77777777" w:rsidR="001B29A4" w:rsidRPr="00AF3A24" w:rsidRDefault="001B29A4"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 </w:t>
            </w:r>
          </w:p>
          <w:p w14:paraId="71FB2D71" w14:textId="77777777" w:rsidR="005F2C3A" w:rsidRPr="00AF3A24" w:rsidRDefault="001B29A4" w:rsidP="001B29A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195" w:type="dxa"/>
            <w:tcBorders>
              <w:bottom w:val="single" w:sz="4" w:space="0" w:color="auto"/>
            </w:tcBorders>
            <w:shd w:val="clear" w:color="auto" w:fill="92CDDC" w:themeFill="accent5" w:themeFillTint="99"/>
            <w:vAlign w:val="center"/>
          </w:tcPr>
          <w:p w14:paraId="4C0B3466" w14:textId="77777777" w:rsidR="00474663" w:rsidRPr="00AF3A24" w:rsidRDefault="005F2C3A" w:rsidP="00474663">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Estimated number of people</w:t>
            </w:r>
            <w:r w:rsidR="009B7393">
              <w:rPr>
                <w:rFonts w:asciiTheme="minorHAnsi" w:hAnsiTheme="minorHAnsi" w:cstheme="minorHAnsi"/>
                <w:b/>
                <w:sz w:val="18"/>
                <w:szCs w:val="18"/>
              </w:rPr>
              <w:t xml:space="preserve"> </w:t>
            </w:r>
            <w:r w:rsidR="009B7393" w:rsidRPr="009B7393">
              <w:rPr>
                <w:rFonts w:asciiTheme="minorHAnsi" w:hAnsiTheme="minorHAnsi" w:cstheme="minorHAnsi"/>
                <w:b/>
                <w:sz w:val="18"/>
                <w:szCs w:val="18"/>
                <w:vertAlign w:val="superscript"/>
              </w:rPr>
              <w:t>3</w:t>
            </w:r>
          </w:p>
          <w:p w14:paraId="64E5F9B4" w14:textId="77777777" w:rsidR="00431013" w:rsidRPr="00AF3A24" w:rsidRDefault="00431013" w:rsidP="00474663">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r w:rsidR="009B7393">
              <w:rPr>
                <w:rFonts w:asciiTheme="minorHAnsi" w:hAnsiTheme="minorHAnsi" w:cstheme="minorHAnsi"/>
                <w:b/>
                <w:sz w:val="18"/>
                <w:szCs w:val="18"/>
              </w:rPr>
              <w:t xml:space="preserve"> </w:t>
            </w:r>
          </w:p>
        </w:tc>
      </w:tr>
      <w:tr w:rsidR="008E2C46" w:rsidRPr="00AF3A24" w14:paraId="21A886BA" w14:textId="77777777" w:rsidTr="00F73C07">
        <w:trPr>
          <w:jc w:val="center"/>
        </w:trPr>
        <w:tc>
          <w:tcPr>
            <w:tcW w:w="3958" w:type="dxa"/>
            <w:tcBorders>
              <w:bottom w:val="single" w:sz="4" w:space="0" w:color="auto"/>
            </w:tcBorders>
            <w:shd w:val="clear" w:color="auto" w:fill="DAEEF3" w:themeFill="accent5" w:themeFillTint="33"/>
            <w:vAlign w:val="center"/>
          </w:tcPr>
          <w:p w14:paraId="2EF93AEB" w14:textId="77777777" w:rsidR="00892BBD" w:rsidRPr="00AF3A24" w:rsidRDefault="00892BBD" w:rsidP="00AE0200">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Any gambling activity</w:t>
            </w:r>
          </w:p>
        </w:tc>
        <w:tc>
          <w:tcPr>
            <w:tcW w:w="790" w:type="dxa"/>
            <w:tcBorders>
              <w:bottom w:val="single" w:sz="4" w:space="0" w:color="auto"/>
            </w:tcBorders>
            <w:shd w:val="clear" w:color="auto" w:fill="DAEEF3" w:themeFill="accent5" w:themeFillTint="33"/>
            <w:vAlign w:val="center"/>
          </w:tcPr>
          <w:p w14:paraId="2A562263" w14:textId="77777777" w:rsidR="00AE0200" w:rsidRPr="00AF3A24" w:rsidRDefault="00892BBD" w:rsidP="00AE0200">
            <w:pPr>
              <w:spacing w:before="0" w:line="240" w:lineRule="auto"/>
              <w:jc w:val="right"/>
              <w:rPr>
                <w:rFonts w:asciiTheme="minorHAnsi" w:hAnsiTheme="minorHAnsi"/>
                <w:b/>
                <w:bCs/>
                <w:color w:val="000000"/>
                <w:sz w:val="16"/>
                <w:szCs w:val="16"/>
              </w:rPr>
            </w:pPr>
            <w:r w:rsidRPr="00AF3A24">
              <w:rPr>
                <w:rFonts w:asciiTheme="minorHAnsi" w:hAnsiTheme="minorHAnsi"/>
                <w:b/>
                <w:bCs/>
                <w:color w:val="000000"/>
                <w:sz w:val="16"/>
                <w:szCs w:val="16"/>
              </w:rPr>
              <w:t>6,549</w:t>
            </w:r>
          </w:p>
        </w:tc>
        <w:tc>
          <w:tcPr>
            <w:tcW w:w="1417" w:type="dxa"/>
            <w:tcBorders>
              <w:bottom w:val="single" w:sz="4" w:space="0" w:color="auto"/>
            </w:tcBorders>
            <w:shd w:val="clear" w:color="auto" w:fill="DAEEF3" w:themeFill="accent5" w:themeFillTint="33"/>
            <w:vAlign w:val="center"/>
          </w:tcPr>
          <w:p w14:paraId="457201B6" w14:textId="77777777" w:rsidR="00892BBD" w:rsidRPr="00AF3A24" w:rsidRDefault="00892BBD" w:rsidP="005F2C3A">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52.3</w:t>
            </w:r>
            <w:r w:rsidRPr="00AF3A24">
              <w:rPr>
                <w:rFonts w:asciiTheme="minorHAnsi" w:hAnsiTheme="minorHAnsi"/>
                <w:b/>
                <w:bCs/>
                <w:color w:val="000000"/>
                <w:sz w:val="16"/>
                <w:szCs w:val="16"/>
              </w:rPr>
              <w:br/>
              <w:t>(50.9 - 53.7)</w:t>
            </w:r>
          </w:p>
        </w:tc>
        <w:tc>
          <w:tcPr>
            <w:tcW w:w="1418" w:type="dxa"/>
            <w:tcBorders>
              <w:bottom w:val="single" w:sz="4" w:space="0" w:color="auto"/>
            </w:tcBorders>
            <w:shd w:val="clear" w:color="auto" w:fill="DAEEF3" w:themeFill="accent5" w:themeFillTint="33"/>
            <w:vAlign w:val="center"/>
          </w:tcPr>
          <w:p w14:paraId="41B8837A" w14:textId="77777777" w:rsidR="00892BBD" w:rsidRPr="00AF3A24" w:rsidRDefault="00892BBD" w:rsidP="005F2C3A">
            <w:pPr>
              <w:spacing w:before="0" w:line="240" w:lineRule="auto"/>
              <w:jc w:val="center"/>
              <w:rPr>
                <w:rFonts w:asciiTheme="minorHAnsi" w:hAnsiTheme="minorHAnsi" w:cstheme="minorHAnsi"/>
                <w:b/>
                <w:sz w:val="16"/>
                <w:szCs w:val="16"/>
              </w:rPr>
            </w:pPr>
            <w:r w:rsidRPr="00AF3A24">
              <w:rPr>
                <w:rFonts w:asciiTheme="minorHAnsi" w:hAnsiTheme="minorHAnsi" w:cstheme="minorHAnsi"/>
                <w:b/>
                <w:sz w:val="16"/>
                <w:szCs w:val="16"/>
              </w:rPr>
              <w:t>100.0</w:t>
            </w:r>
          </w:p>
        </w:tc>
        <w:tc>
          <w:tcPr>
            <w:tcW w:w="2195" w:type="dxa"/>
            <w:tcBorders>
              <w:bottom w:val="single" w:sz="4" w:space="0" w:color="auto"/>
            </w:tcBorders>
            <w:shd w:val="clear" w:color="auto" w:fill="DAEEF3" w:themeFill="accent5" w:themeFillTint="33"/>
            <w:vAlign w:val="center"/>
          </w:tcPr>
          <w:p w14:paraId="5E98A96C" w14:textId="77777777" w:rsidR="00892BBD" w:rsidRPr="00AF3A24" w:rsidRDefault="00125A7F" w:rsidP="00125A7F">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1,846,300</w:t>
            </w:r>
            <w:r w:rsidRPr="00AF3A24">
              <w:rPr>
                <w:rFonts w:asciiTheme="minorHAnsi" w:hAnsiTheme="minorHAnsi"/>
                <w:b/>
                <w:bCs/>
                <w:color w:val="000000"/>
                <w:sz w:val="16"/>
                <w:szCs w:val="16"/>
              </w:rPr>
              <w:br/>
              <w:t>(1,797,600 - 1,895,000)</w:t>
            </w:r>
          </w:p>
        </w:tc>
      </w:tr>
      <w:tr w:rsidR="00515738" w:rsidRPr="00AF3A24" w14:paraId="503F2AFE" w14:textId="77777777" w:rsidTr="00F73C07">
        <w:trPr>
          <w:jc w:val="center"/>
        </w:trPr>
        <w:tc>
          <w:tcPr>
            <w:tcW w:w="3958" w:type="dxa"/>
            <w:tcBorders>
              <w:top w:val="nil"/>
              <w:bottom w:val="nil"/>
            </w:tcBorders>
            <w:shd w:val="clear" w:color="auto" w:fill="DAEEF3" w:themeFill="accent5" w:themeFillTint="33"/>
            <w:vAlign w:val="center"/>
          </w:tcPr>
          <w:p w14:paraId="59455606" w14:textId="77777777" w:rsidR="00515738" w:rsidRPr="00AF3A24" w:rsidRDefault="00515738" w:rsidP="00F614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only</w:t>
            </w:r>
          </w:p>
        </w:tc>
        <w:tc>
          <w:tcPr>
            <w:tcW w:w="790" w:type="dxa"/>
            <w:tcBorders>
              <w:top w:val="nil"/>
              <w:bottom w:val="nil"/>
            </w:tcBorders>
            <w:shd w:val="clear" w:color="auto" w:fill="DAEEF3" w:themeFill="accent5" w:themeFillTint="33"/>
            <w:vAlign w:val="center"/>
          </w:tcPr>
          <w:p w14:paraId="540216D2" w14:textId="77777777" w:rsidR="00515738" w:rsidRPr="00AF3A24" w:rsidRDefault="00515738" w:rsidP="00F6147C">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3,428</w:t>
            </w:r>
          </w:p>
        </w:tc>
        <w:tc>
          <w:tcPr>
            <w:tcW w:w="1417" w:type="dxa"/>
            <w:tcBorders>
              <w:top w:val="nil"/>
              <w:bottom w:val="nil"/>
            </w:tcBorders>
            <w:shd w:val="clear" w:color="auto" w:fill="DAEEF3" w:themeFill="accent5" w:themeFillTint="33"/>
            <w:vAlign w:val="center"/>
          </w:tcPr>
          <w:p w14:paraId="6F324CAE" w14:textId="77777777" w:rsidR="00515738" w:rsidRPr="00AF3A24" w:rsidRDefault="00515738" w:rsidP="00F614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27.0</w:t>
            </w:r>
            <w:r w:rsidRPr="00AF3A24">
              <w:rPr>
                <w:rFonts w:asciiTheme="minorHAnsi" w:hAnsiTheme="minorHAnsi"/>
                <w:bCs/>
                <w:color w:val="000000"/>
                <w:sz w:val="16"/>
                <w:szCs w:val="16"/>
              </w:rPr>
              <w:br/>
              <w:t>(25.9 - 28.1)</w:t>
            </w:r>
          </w:p>
        </w:tc>
        <w:tc>
          <w:tcPr>
            <w:tcW w:w="1418" w:type="dxa"/>
            <w:tcBorders>
              <w:top w:val="nil"/>
              <w:bottom w:val="nil"/>
            </w:tcBorders>
            <w:shd w:val="clear" w:color="auto" w:fill="DAEEF3" w:themeFill="accent5" w:themeFillTint="33"/>
            <w:vAlign w:val="center"/>
          </w:tcPr>
          <w:p w14:paraId="77B4999B" w14:textId="77777777" w:rsidR="00515738" w:rsidRPr="00AF3A24" w:rsidRDefault="00515738" w:rsidP="00F614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51.7</w:t>
            </w:r>
            <w:r w:rsidRPr="00AF3A24">
              <w:rPr>
                <w:rFonts w:asciiTheme="minorHAnsi" w:hAnsiTheme="minorHAnsi"/>
                <w:bCs/>
                <w:color w:val="000000"/>
                <w:sz w:val="16"/>
                <w:szCs w:val="16"/>
              </w:rPr>
              <w:br/>
              <w:t>(49.9 - 53.4)</w:t>
            </w:r>
          </w:p>
        </w:tc>
        <w:tc>
          <w:tcPr>
            <w:tcW w:w="2195" w:type="dxa"/>
            <w:tcBorders>
              <w:top w:val="nil"/>
              <w:bottom w:val="nil"/>
            </w:tcBorders>
            <w:shd w:val="clear" w:color="auto" w:fill="DAEEF3" w:themeFill="accent5" w:themeFillTint="33"/>
          </w:tcPr>
          <w:p w14:paraId="6675CCD0" w14:textId="77777777" w:rsidR="00515738" w:rsidRPr="00AF3A24" w:rsidRDefault="00515738" w:rsidP="00F614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954,300</w:t>
            </w:r>
            <w:r w:rsidRPr="00AF3A24">
              <w:rPr>
                <w:rFonts w:asciiTheme="minorHAnsi" w:hAnsiTheme="minorHAnsi"/>
                <w:bCs/>
                <w:color w:val="000000"/>
                <w:sz w:val="16"/>
                <w:szCs w:val="16"/>
              </w:rPr>
              <w:br/>
              <w:t>(914,500 - 994,200)</w:t>
            </w:r>
          </w:p>
        </w:tc>
      </w:tr>
      <w:tr w:rsidR="00892BBD" w:rsidRPr="00AF3A24" w14:paraId="46040F13" w14:textId="77777777" w:rsidTr="00F73C07">
        <w:trPr>
          <w:jc w:val="center"/>
        </w:trPr>
        <w:tc>
          <w:tcPr>
            <w:tcW w:w="3958" w:type="dxa"/>
            <w:tcBorders>
              <w:top w:val="nil"/>
              <w:bottom w:val="nil"/>
            </w:tcBorders>
            <w:shd w:val="clear" w:color="auto" w:fill="DAEEF3" w:themeFill="accent5" w:themeFillTint="33"/>
            <w:vAlign w:val="center"/>
          </w:tcPr>
          <w:p w14:paraId="22612D8A" w14:textId="77777777" w:rsidR="00892BBD" w:rsidRPr="00AF3A24" w:rsidRDefault="00892BBD" w:rsidP="00AE020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non-Lotto gambling activity</w:t>
            </w:r>
          </w:p>
        </w:tc>
        <w:tc>
          <w:tcPr>
            <w:tcW w:w="790" w:type="dxa"/>
            <w:tcBorders>
              <w:top w:val="nil"/>
              <w:bottom w:val="nil"/>
            </w:tcBorders>
            <w:shd w:val="clear" w:color="auto" w:fill="DAEEF3" w:themeFill="accent5" w:themeFillTint="33"/>
            <w:vAlign w:val="center"/>
          </w:tcPr>
          <w:p w14:paraId="051CC3C1"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3,121</w:t>
            </w:r>
          </w:p>
        </w:tc>
        <w:tc>
          <w:tcPr>
            <w:tcW w:w="1417" w:type="dxa"/>
            <w:tcBorders>
              <w:top w:val="nil"/>
              <w:bottom w:val="nil"/>
            </w:tcBorders>
            <w:shd w:val="clear" w:color="auto" w:fill="DAEEF3" w:themeFill="accent5" w:themeFillTint="33"/>
            <w:vAlign w:val="center"/>
          </w:tcPr>
          <w:p w14:paraId="3B8E7491"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25.3</w:t>
            </w:r>
            <w:r w:rsidRPr="00AF3A24">
              <w:rPr>
                <w:rFonts w:asciiTheme="minorHAnsi" w:hAnsiTheme="minorHAnsi"/>
                <w:bCs/>
                <w:color w:val="000000"/>
                <w:sz w:val="16"/>
                <w:szCs w:val="16"/>
              </w:rPr>
              <w:br/>
              <w:t>(24.1 - 26.4)</w:t>
            </w:r>
          </w:p>
        </w:tc>
        <w:tc>
          <w:tcPr>
            <w:tcW w:w="1418" w:type="dxa"/>
            <w:tcBorders>
              <w:top w:val="nil"/>
              <w:bottom w:val="nil"/>
            </w:tcBorders>
            <w:shd w:val="clear" w:color="auto" w:fill="DAEEF3" w:themeFill="accent5" w:themeFillTint="33"/>
            <w:vAlign w:val="center"/>
          </w:tcPr>
          <w:p w14:paraId="631AB404"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48.3</w:t>
            </w:r>
            <w:r w:rsidRPr="00AF3A24">
              <w:rPr>
                <w:rFonts w:asciiTheme="minorHAnsi" w:hAnsiTheme="minorHAnsi"/>
                <w:bCs/>
                <w:color w:val="000000"/>
                <w:sz w:val="16"/>
                <w:szCs w:val="16"/>
              </w:rPr>
              <w:br/>
              <w:t>(46.6 - 50.1)</w:t>
            </w:r>
          </w:p>
        </w:tc>
        <w:tc>
          <w:tcPr>
            <w:tcW w:w="2195" w:type="dxa"/>
            <w:tcBorders>
              <w:top w:val="nil"/>
              <w:bottom w:val="nil"/>
            </w:tcBorders>
            <w:shd w:val="clear" w:color="auto" w:fill="DAEEF3" w:themeFill="accent5" w:themeFillTint="33"/>
          </w:tcPr>
          <w:p w14:paraId="1278F963"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892,000</w:t>
            </w:r>
            <w:r w:rsidRPr="00AF3A24">
              <w:rPr>
                <w:rFonts w:asciiTheme="minorHAnsi" w:hAnsiTheme="minorHAnsi"/>
                <w:bCs/>
                <w:color w:val="000000"/>
                <w:sz w:val="16"/>
                <w:szCs w:val="16"/>
              </w:rPr>
              <w:br/>
              <w:t>(851,200 - 932,800)</w:t>
            </w:r>
          </w:p>
        </w:tc>
      </w:tr>
      <w:tr w:rsidR="008E2C46" w:rsidRPr="00AF3A24" w14:paraId="1633275B" w14:textId="77777777" w:rsidTr="00F73C07">
        <w:trPr>
          <w:jc w:val="center"/>
        </w:trPr>
        <w:tc>
          <w:tcPr>
            <w:tcW w:w="3958" w:type="dxa"/>
            <w:tcBorders>
              <w:top w:val="nil"/>
              <w:bottom w:val="nil"/>
            </w:tcBorders>
            <w:shd w:val="clear" w:color="auto" w:fill="DAEEF3" w:themeFill="accent5" w:themeFillTint="33"/>
            <w:vAlign w:val="center"/>
          </w:tcPr>
          <w:p w14:paraId="24C32A04" w14:textId="77777777" w:rsidR="00892BBD" w:rsidRPr="00AF3A24" w:rsidRDefault="00892BBD" w:rsidP="0020114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gaming machine (casino or non-casino)</w:t>
            </w:r>
          </w:p>
        </w:tc>
        <w:tc>
          <w:tcPr>
            <w:tcW w:w="790" w:type="dxa"/>
            <w:tcBorders>
              <w:top w:val="nil"/>
              <w:bottom w:val="nil"/>
            </w:tcBorders>
            <w:shd w:val="clear" w:color="auto" w:fill="DAEEF3" w:themeFill="accent5" w:themeFillTint="33"/>
            <w:vAlign w:val="center"/>
          </w:tcPr>
          <w:p w14:paraId="6E2F9452"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1,157</w:t>
            </w:r>
          </w:p>
        </w:tc>
        <w:tc>
          <w:tcPr>
            <w:tcW w:w="1417" w:type="dxa"/>
            <w:tcBorders>
              <w:top w:val="nil"/>
              <w:bottom w:val="nil"/>
            </w:tcBorders>
            <w:shd w:val="clear" w:color="auto" w:fill="DAEEF3" w:themeFill="accent5" w:themeFillTint="33"/>
            <w:vAlign w:val="center"/>
          </w:tcPr>
          <w:p w14:paraId="325A08D3"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r w:rsidRPr="00AF3A24">
              <w:rPr>
                <w:rFonts w:asciiTheme="minorHAnsi" w:hAnsiTheme="minorHAnsi"/>
                <w:bCs/>
                <w:color w:val="000000"/>
                <w:sz w:val="16"/>
                <w:szCs w:val="16"/>
              </w:rPr>
              <w:br/>
              <w:t>(8.4 - 9.8)</w:t>
            </w:r>
          </w:p>
        </w:tc>
        <w:tc>
          <w:tcPr>
            <w:tcW w:w="1418" w:type="dxa"/>
            <w:tcBorders>
              <w:top w:val="nil"/>
              <w:bottom w:val="nil"/>
            </w:tcBorders>
            <w:shd w:val="clear" w:color="auto" w:fill="DAEEF3" w:themeFill="accent5" w:themeFillTint="33"/>
            <w:vAlign w:val="center"/>
          </w:tcPr>
          <w:p w14:paraId="43114405"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17.3</w:t>
            </w:r>
            <w:r w:rsidRPr="00AF3A24">
              <w:rPr>
                <w:rFonts w:asciiTheme="minorHAnsi" w:hAnsiTheme="minorHAnsi"/>
                <w:bCs/>
                <w:color w:val="000000"/>
                <w:sz w:val="16"/>
                <w:szCs w:val="16"/>
              </w:rPr>
              <w:br/>
              <w:t>(16.0 - 18.6)</w:t>
            </w:r>
          </w:p>
        </w:tc>
        <w:tc>
          <w:tcPr>
            <w:tcW w:w="2195" w:type="dxa"/>
            <w:tcBorders>
              <w:top w:val="nil"/>
              <w:bottom w:val="nil"/>
            </w:tcBorders>
            <w:shd w:val="clear" w:color="auto" w:fill="DAEEF3" w:themeFill="accent5" w:themeFillTint="33"/>
          </w:tcPr>
          <w:p w14:paraId="086B4498"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319,900</w:t>
            </w:r>
            <w:r w:rsidRPr="00AF3A24">
              <w:rPr>
                <w:rFonts w:asciiTheme="minorHAnsi" w:hAnsiTheme="minorHAnsi"/>
                <w:bCs/>
                <w:color w:val="000000"/>
                <w:sz w:val="16"/>
                <w:szCs w:val="16"/>
              </w:rPr>
              <w:br/>
              <w:t>(295,200 - 344,700)</w:t>
            </w:r>
          </w:p>
        </w:tc>
      </w:tr>
      <w:tr w:rsidR="008E2C46" w:rsidRPr="00AF3A24" w14:paraId="694BA87D" w14:textId="77777777" w:rsidTr="00F73C07">
        <w:trPr>
          <w:jc w:val="center"/>
        </w:trPr>
        <w:tc>
          <w:tcPr>
            <w:tcW w:w="3958" w:type="dxa"/>
            <w:tcBorders>
              <w:top w:val="nil"/>
              <w:bottom w:val="dashed" w:sz="4" w:space="0" w:color="auto"/>
            </w:tcBorders>
            <w:shd w:val="clear" w:color="auto" w:fill="DAEEF3" w:themeFill="accent5" w:themeFillTint="33"/>
            <w:vAlign w:val="center"/>
          </w:tcPr>
          <w:p w14:paraId="43798103" w14:textId="77777777" w:rsidR="00892BBD" w:rsidRPr="00AF3A24" w:rsidRDefault="00892BBD" w:rsidP="00AE020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Any casino gambling (tables or </w:t>
            </w:r>
            <w:r w:rsidR="00201144" w:rsidRPr="00AF3A24">
              <w:rPr>
                <w:rFonts w:asciiTheme="minorHAnsi" w:hAnsiTheme="minorHAnsi" w:cstheme="minorHAnsi"/>
                <w:sz w:val="16"/>
                <w:szCs w:val="16"/>
              </w:rPr>
              <w:t xml:space="preserve">gaming </w:t>
            </w:r>
            <w:r w:rsidRPr="00AF3A24">
              <w:rPr>
                <w:rFonts w:asciiTheme="minorHAnsi" w:hAnsiTheme="minorHAnsi" w:cstheme="minorHAnsi"/>
                <w:sz w:val="16"/>
                <w:szCs w:val="16"/>
              </w:rPr>
              <w:t>machines)</w:t>
            </w:r>
          </w:p>
        </w:tc>
        <w:tc>
          <w:tcPr>
            <w:tcW w:w="790" w:type="dxa"/>
            <w:tcBorders>
              <w:top w:val="nil"/>
              <w:bottom w:val="dashed" w:sz="4" w:space="0" w:color="auto"/>
            </w:tcBorders>
            <w:shd w:val="clear" w:color="auto" w:fill="DAEEF3" w:themeFill="accent5" w:themeFillTint="33"/>
            <w:vAlign w:val="center"/>
          </w:tcPr>
          <w:p w14:paraId="27571759"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601</w:t>
            </w:r>
          </w:p>
        </w:tc>
        <w:tc>
          <w:tcPr>
            <w:tcW w:w="1417" w:type="dxa"/>
            <w:tcBorders>
              <w:top w:val="nil"/>
              <w:bottom w:val="dashed" w:sz="4" w:space="0" w:color="auto"/>
            </w:tcBorders>
            <w:shd w:val="clear" w:color="auto" w:fill="DAEEF3" w:themeFill="accent5" w:themeFillTint="33"/>
            <w:vAlign w:val="center"/>
          </w:tcPr>
          <w:p w14:paraId="53278134"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r w:rsidRPr="00AF3A24">
              <w:rPr>
                <w:rFonts w:asciiTheme="minorHAnsi" w:hAnsiTheme="minorHAnsi"/>
                <w:bCs/>
                <w:color w:val="000000"/>
                <w:sz w:val="16"/>
                <w:szCs w:val="16"/>
              </w:rPr>
              <w:br/>
              <w:t>(4.8 - 5.9)</w:t>
            </w:r>
          </w:p>
        </w:tc>
        <w:tc>
          <w:tcPr>
            <w:tcW w:w="1418" w:type="dxa"/>
            <w:tcBorders>
              <w:top w:val="nil"/>
              <w:bottom w:val="dashed" w:sz="4" w:space="0" w:color="auto"/>
            </w:tcBorders>
            <w:shd w:val="clear" w:color="auto" w:fill="DAEEF3" w:themeFill="accent5" w:themeFillTint="33"/>
            <w:vAlign w:val="center"/>
          </w:tcPr>
          <w:p w14:paraId="2D9499DC"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10.3</w:t>
            </w:r>
            <w:r w:rsidRPr="00AF3A24">
              <w:rPr>
                <w:rFonts w:asciiTheme="minorHAnsi" w:hAnsiTheme="minorHAnsi"/>
                <w:bCs/>
                <w:color w:val="000000"/>
                <w:sz w:val="16"/>
                <w:szCs w:val="16"/>
              </w:rPr>
              <w:br/>
              <w:t>(9.3 - 11.3)</w:t>
            </w:r>
          </w:p>
        </w:tc>
        <w:tc>
          <w:tcPr>
            <w:tcW w:w="2195" w:type="dxa"/>
            <w:tcBorders>
              <w:top w:val="nil"/>
              <w:bottom w:val="dashed" w:sz="4" w:space="0" w:color="auto"/>
            </w:tcBorders>
            <w:shd w:val="clear" w:color="auto" w:fill="DAEEF3" w:themeFill="accent5" w:themeFillTint="33"/>
          </w:tcPr>
          <w:p w14:paraId="38DF4AF7"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190,300</w:t>
            </w:r>
            <w:r w:rsidRPr="00AF3A24">
              <w:rPr>
                <w:rFonts w:asciiTheme="minorHAnsi" w:hAnsiTheme="minorHAnsi"/>
                <w:bCs/>
                <w:color w:val="000000"/>
                <w:sz w:val="16"/>
                <w:szCs w:val="16"/>
              </w:rPr>
              <w:br/>
              <w:t>(170,700 - 209,800)</w:t>
            </w:r>
          </w:p>
        </w:tc>
      </w:tr>
      <w:tr w:rsidR="00892BBD" w:rsidRPr="00AF3A24" w14:paraId="49C22DEF" w14:textId="77777777" w:rsidTr="00F73C07">
        <w:trPr>
          <w:jc w:val="center"/>
        </w:trPr>
        <w:tc>
          <w:tcPr>
            <w:tcW w:w="3958" w:type="dxa"/>
            <w:tcBorders>
              <w:top w:val="dashed" w:sz="4" w:space="0" w:color="auto"/>
              <w:bottom w:val="nil"/>
            </w:tcBorders>
            <w:shd w:val="clear" w:color="auto" w:fill="DAEEF3" w:themeFill="accent5" w:themeFillTint="33"/>
            <w:vAlign w:val="center"/>
          </w:tcPr>
          <w:p w14:paraId="168BBD8C" w14:textId="77777777" w:rsidR="00892BBD" w:rsidRPr="00AF3A24" w:rsidRDefault="00892BBD" w:rsidP="00E838F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w:t>
            </w:r>
            <w:r w:rsidR="00E838FC" w:rsidRPr="00AF3A24">
              <w:rPr>
                <w:rFonts w:asciiTheme="minorHAnsi" w:hAnsiTheme="minorHAnsi" w:cstheme="minorHAnsi"/>
                <w:sz w:val="16"/>
                <w:szCs w:val="16"/>
              </w:rPr>
              <w:t xml:space="preserve"> (including ‘Strike’, ‘Powerball’ and ‘Big Wednesday’)</w:t>
            </w:r>
          </w:p>
        </w:tc>
        <w:tc>
          <w:tcPr>
            <w:tcW w:w="790" w:type="dxa"/>
            <w:tcBorders>
              <w:top w:val="dashed" w:sz="4" w:space="0" w:color="auto"/>
              <w:bottom w:val="nil"/>
            </w:tcBorders>
            <w:shd w:val="clear" w:color="auto" w:fill="DAEEF3" w:themeFill="accent5" w:themeFillTint="33"/>
            <w:vAlign w:val="center"/>
          </w:tcPr>
          <w:p w14:paraId="09F35A30"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5,693</w:t>
            </w:r>
          </w:p>
        </w:tc>
        <w:tc>
          <w:tcPr>
            <w:tcW w:w="1417" w:type="dxa"/>
            <w:tcBorders>
              <w:top w:val="dashed" w:sz="4" w:space="0" w:color="auto"/>
              <w:bottom w:val="nil"/>
            </w:tcBorders>
            <w:shd w:val="clear" w:color="auto" w:fill="DAEEF3" w:themeFill="accent5" w:themeFillTint="33"/>
            <w:vAlign w:val="center"/>
          </w:tcPr>
          <w:p w14:paraId="57D78B00"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45.2</w:t>
            </w:r>
            <w:r w:rsidRPr="00AF3A24">
              <w:rPr>
                <w:rFonts w:asciiTheme="minorHAnsi" w:hAnsiTheme="minorHAnsi"/>
                <w:bCs/>
                <w:color w:val="000000"/>
                <w:sz w:val="16"/>
                <w:szCs w:val="16"/>
              </w:rPr>
              <w:br/>
              <w:t>(43.8 - 46.7)</w:t>
            </w:r>
          </w:p>
        </w:tc>
        <w:tc>
          <w:tcPr>
            <w:tcW w:w="1418" w:type="dxa"/>
            <w:tcBorders>
              <w:top w:val="dashed" w:sz="4" w:space="0" w:color="auto"/>
              <w:bottom w:val="nil"/>
            </w:tcBorders>
            <w:shd w:val="clear" w:color="auto" w:fill="DAEEF3" w:themeFill="accent5" w:themeFillTint="33"/>
            <w:vAlign w:val="center"/>
          </w:tcPr>
          <w:p w14:paraId="02FC553F"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86.5</w:t>
            </w:r>
            <w:r w:rsidRPr="00AF3A24">
              <w:rPr>
                <w:rFonts w:asciiTheme="minorHAnsi" w:hAnsiTheme="minorHAnsi"/>
                <w:bCs/>
                <w:color w:val="000000"/>
                <w:sz w:val="16"/>
                <w:szCs w:val="16"/>
              </w:rPr>
              <w:br/>
              <w:t>(85.3 - 87.7)</w:t>
            </w:r>
          </w:p>
        </w:tc>
        <w:tc>
          <w:tcPr>
            <w:tcW w:w="2195" w:type="dxa"/>
            <w:tcBorders>
              <w:top w:val="dashed" w:sz="4" w:space="0" w:color="auto"/>
              <w:bottom w:val="nil"/>
            </w:tcBorders>
            <w:shd w:val="clear" w:color="auto" w:fill="DAEEF3" w:themeFill="accent5" w:themeFillTint="33"/>
          </w:tcPr>
          <w:p w14:paraId="255F07FD"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1,597,600</w:t>
            </w:r>
            <w:r w:rsidRPr="00AF3A24">
              <w:rPr>
                <w:rFonts w:asciiTheme="minorHAnsi" w:hAnsiTheme="minorHAnsi"/>
                <w:bCs/>
                <w:color w:val="000000"/>
                <w:sz w:val="16"/>
                <w:szCs w:val="16"/>
              </w:rPr>
              <w:br/>
              <w:t>(1,547,200 - 1,648,000)</w:t>
            </w:r>
          </w:p>
        </w:tc>
      </w:tr>
      <w:tr w:rsidR="008E2C46" w:rsidRPr="00AF3A24" w14:paraId="66AA319E" w14:textId="77777777" w:rsidTr="00F73C07">
        <w:trPr>
          <w:jc w:val="center"/>
        </w:trPr>
        <w:tc>
          <w:tcPr>
            <w:tcW w:w="3958" w:type="dxa"/>
            <w:tcBorders>
              <w:top w:val="nil"/>
              <w:bottom w:val="nil"/>
            </w:tcBorders>
            <w:shd w:val="clear" w:color="auto" w:fill="DAEEF3" w:themeFill="accent5" w:themeFillTint="33"/>
            <w:vAlign w:val="center"/>
          </w:tcPr>
          <w:p w14:paraId="3968FD12" w14:textId="77777777" w:rsidR="008E2C46" w:rsidRPr="00AF3A24" w:rsidRDefault="008E2C46"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Instant Kiwi or other scratch tickets</w:t>
            </w:r>
          </w:p>
        </w:tc>
        <w:tc>
          <w:tcPr>
            <w:tcW w:w="790" w:type="dxa"/>
            <w:tcBorders>
              <w:top w:val="nil"/>
              <w:bottom w:val="nil"/>
            </w:tcBorders>
            <w:shd w:val="clear" w:color="auto" w:fill="DAEEF3" w:themeFill="accent5" w:themeFillTint="33"/>
            <w:vAlign w:val="center"/>
          </w:tcPr>
          <w:p w14:paraId="0BC16DD0" w14:textId="77777777" w:rsidR="008E2C46" w:rsidRPr="00AF3A24" w:rsidRDefault="008E2C46"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1,677</w:t>
            </w:r>
          </w:p>
        </w:tc>
        <w:tc>
          <w:tcPr>
            <w:tcW w:w="1417" w:type="dxa"/>
            <w:tcBorders>
              <w:top w:val="nil"/>
              <w:bottom w:val="nil"/>
            </w:tcBorders>
            <w:shd w:val="clear" w:color="auto" w:fill="DAEEF3" w:themeFill="accent5" w:themeFillTint="33"/>
            <w:vAlign w:val="center"/>
          </w:tcPr>
          <w:p w14:paraId="169E88FA"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r w:rsidRPr="00AF3A24">
              <w:rPr>
                <w:rFonts w:asciiTheme="minorHAnsi" w:hAnsiTheme="minorHAnsi"/>
                <w:bCs/>
                <w:color w:val="000000"/>
                <w:sz w:val="16"/>
                <w:szCs w:val="16"/>
              </w:rPr>
              <w:br/>
              <w:t>(12.7 - 14.5)</w:t>
            </w:r>
          </w:p>
        </w:tc>
        <w:tc>
          <w:tcPr>
            <w:tcW w:w="1418" w:type="dxa"/>
            <w:tcBorders>
              <w:top w:val="nil"/>
              <w:bottom w:val="nil"/>
            </w:tcBorders>
            <w:shd w:val="clear" w:color="auto" w:fill="DAEEF3" w:themeFill="accent5" w:themeFillTint="33"/>
            <w:vAlign w:val="center"/>
          </w:tcPr>
          <w:p w14:paraId="5AF98C13"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26.0</w:t>
            </w:r>
            <w:r w:rsidRPr="00AF3A24">
              <w:rPr>
                <w:rFonts w:asciiTheme="minorHAnsi" w:hAnsiTheme="minorHAnsi"/>
                <w:bCs/>
                <w:color w:val="000000"/>
                <w:sz w:val="16"/>
                <w:szCs w:val="16"/>
              </w:rPr>
              <w:br/>
              <w:t>(24.4 - 27.6)</w:t>
            </w:r>
          </w:p>
        </w:tc>
        <w:tc>
          <w:tcPr>
            <w:tcW w:w="2195" w:type="dxa"/>
            <w:tcBorders>
              <w:top w:val="nil"/>
              <w:bottom w:val="nil"/>
            </w:tcBorders>
            <w:shd w:val="clear" w:color="auto" w:fill="DAEEF3" w:themeFill="accent5" w:themeFillTint="33"/>
          </w:tcPr>
          <w:p w14:paraId="327FAA04" w14:textId="77777777" w:rsidR="008E2C46"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480,100</w:t>
            </w:r>
            <w:r w:rsidRPr="00AF3A24">
              <w:rPr>
                <w:rFonts w:asciiTheme="minorHAnsi" w:hAnsiTheme="minorHAnsi"/>
                <w:bCs/>
                <w:color w:val="000000"/>
                <w:sz w:val="16"/>
                <w:szCs w:val="16"/>
              </w:rPr>
              <w:br/>
              <w:t>(446,900 - 513,200)</w:t>
            </w:r>
          </w:p>
        </w:tc>
      </w:tr>
      <w:tr w:rsidR="00780E93" w:rsidRPr="00AF3A24" w14:paraId="62BD6513" w14:textId="77777777" w:rsidTr="00F73C07">
        <w:trPr>
          <w:jc w:val="center"/>
        </w:trPr>
        <w:tc>
          <w:tcPr>
            <w:tcW w:w="3958" w:type="dxa"/>
            <w:tcBorders>
              <w:top w:val="nil"/>
              <w:bottom w:val="nil"/>
            </w:tcBorders>
            <w:shd w:val="clear" w:color="auto" w:fill="DAEEF3" w:themeFill="accent5" w:themeFillTint="33"/>
            <w:vAlign w:val="center"/>
          </w:tcPr>
          <w:p w14:paraId="2A3E7642" w14:textId="77777777" w:rsidR="00780E93" w:rsidRPr="00AF3A24" w:rsidRDefault="00780E93"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Non-casino </w:t>
            </w:r>
            <w:r w:rsidR="00201144" w:rsidRPr="00AF3A24">
              <w:rPr>
                <w:rFonts w:asciiTheme="minorHAnsi" w:hAnsiTheme="minorHAnsi" w:cstheme="minorHAnsi"/>
                <w:sz w:val="16"/>
                <w:szCs w:val="16"/>
              </w:rPr>
              <w:t xml:space="preserve">gaming </w:t>
            </w:r>
            <w:r w:rsidRPr="00AF3A24">
              <w:rPr>
                <w:rFonts w:asciiTheme="minorHAnsi" w:hAnsiTheme="minorHAnsi" w:cstheme="minorHAnsi"/>
                <w:sz w:val="16"/>
                <w:szCs w:val="16"/>
              </w:rPr>
              <w:t>machines</w:t>
            </w:r>
          </w:p>
        </w:tc>
        <w:tc>
          <w:tcPr>
            <w:tcW w:w="790" w:type="dxa"/>
            <w:tcBorders>
              <w:top w:val="nil"/>
              <w:bottom w:val="nil"/>
            </w:tcBorders>
            <w:shd w:val="clear" w:color="auto" w:fill="DAEEF3" w:themeFill="accent5" w:themeFillTint="33"/>
            <w:vAlign w:val="center"/>
          </w:tcPr>
          <w:p w14:paraId="394B7F1E" w14:textId="77777777" w:rsidR="00780E93" w:rsidRPr="00AF3A24" w:rsidRDefault="00780E93"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803</w:t>
            </w:r>
          </w:p>
        </w:tc>
        <w:tc>
          <w:tcPr>
            <w:tcW w:w="1417" w:type="dxa"/>
            <w:tcBorders>
              <w:top w:val="nil"/>
              <w:bottom w:val="nil"/>
            </w:tcBorders>
            <w:shd w:val="clear" w:color="auto" w:fill="DAEEF3" w:themeFill="accent5" w:themeFillTint="33"/>
            <w:vAlign w:val="center"/>
          </w:tcPr>
          <w:p w14:paraId="20588422" w14:textId="77777777" w:rsidR="00780E93" w:rsidRPr="00AF3A24" w:rsidRDefault="00780E93"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w:t>
            </w:r>
            <w:r w:rsidRPr="00AF3A24">
              <w:rPr>
                <w:rFonts w:asciiTheme="minorHAnsi" w:hAnsiTheme="minorHAnsi"/>
                <w:bCs/>
                <w:color w:val="000000"/>
                <w:sz w:val="16"/>
                <w:szCs w:val="16"/>
              </w:rPr>
              <w:br/>
              <w:t>(5.5 - 6.7)</w:t>
            </w:r>
          </w:p>
        </w:tc>
        <w:tc>
          <w:tcPr>
            <w:tcW w:w="1418" w:type="dxa"/>
            <w:tcBorders>
              <w:top w:val="nil"/>
              <w:bottom w:val="nil"/>
            </w:tcBorders>
            <w:shd w:val="clear" w:color="auto" w:fill="DAEEF3" w:themeFill="accent5" w:themeFillTint="33"/>
            <w:vAlign w:val="center"/>
          </w:tcPr>
          <w:p w14:paraId="7ED1C4D8" w14:textId="77777777" w:rsidR="00780E93" w:rsidRPr="00AF3A24" w:rsidRDefault="00780E93"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(10.5 - 12.7)</w:t>
            </w:r>
          </w:p>
        </w:tc>
        <w:tc>
          <w:tcPr>
            <w:tcW w:w="2195" w:type="dxa"/>
            <w:tcBorders>
              <w:top w:val="nil"/>
              <w:bottom w:val="nil"/>
            </w:tcBorders>
            <w:shd w:val="clear" w:color="auto" w:fill="DAEEF3" w:themeFill="accent5" w:themeFillTint="33"/>
          </w:tcPr>
          <w:p w14:paraId="50799106" w14:textId="77777777" w:rsidR="00780E93"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215,000</w:t>
            </w:r>
            <w:r w:rsidRPr="00AF3A24">
              <w:rPr>
                <w:rFonts w:asciiTheme="minorHAnsi" w:hAnsiTheme="minorHAnsi"/>
                <w:bCs/>
                <w:color w:val="000000"/>
                <w:sz w:val="16"/>
                <w:szCs w:val="16"/>
              </w:rPr>
              <w:br/>
              <w:t>(194,100 - 235,800)</w:t>
            </w:r>
          </w:p>
        </w:tc>
      </w:tr>
      <w:tr w:rsidR="00780E93" w:rsidRPr="00AF3A24" w14:paraId="3E77E104" w14:textId="77777777" w:rsidTr="00F73C07">
        <w:trPr>
          <w:jc w:val="center"/>
        </w:trPr>
        <w:tc>
          <w:tcPr>
            <w:tcW w:w="3958" w:type="dxa"/>
            <w:tcBorders>
              <w:top w:val="nil"/>
              <w:bottom w:val="nil"/>
            </w:tcBorders>
            <w:shd w:val="clear" w:color="auto" w:fill="DAEEF3" w:themeFill="accent5" w:themeFillTint="33"/>
            <w:vAlign w:val="center"/>
          </w:tcPr>
          <w:p w14:paraId="16DB7833" w14:textId="77777777" w:rsidR="00780E93" w:rsidRPr="00AF3A24" w:rsidRDefault="00780E93"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Track betting</w:t>
            </w:r>
          </w:p>
        </w:tc>
        <w:tc>
          <w:tcPr>
            <w:tcW w:w="790" w:type="dxa"/>
            <w:tcBorders>
              <w:top w:val="nil"/>
              <w:bottom w:val="nil"/>
            </w:tcBorders>
            <w:shd w:val="clear" w:color="auto" w:fill="DAEEF3" w:themeFill="accent5" w:themeFillTint="33"/>
            <w:vAlign w:val="center"/>
          </w:tcPr>
          <w:p w14:paraId="7C9EFE63" w14:textId="77777777" w:rsidR="00780E93" w:rsidRPr="00AF3A24" w:rsidRDefault="00780E93"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746</w:t>
            </w:r>
          </w:p>
        </w:tc>
        <w:tc>
          <w:tcPr>
            <w:tcW w:w="1417" w:type="dxa"/>
            <w:tcBorders>
              <w:top w:val="nil"/>
              <w:bottom w:val="nil"/>
            </w:tcBorders>
            <w:shd w:val="clear" w:color="auto" w:fill="DAEEF3" w:themeFill="accent5" w:themeFillTint="33"/>
            <w:vAlign w:val="center"/>
          </w:tcPr>
          <w:p w14:paraId="7A920F34" w14:textId="77777777" w:rsidR="00780E93" w:rsidRPr="00AF3A24" w:rsidRDefault="00780E93"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w:t>
            </w:r>
            <w:r w:rsidRPr="00AF3A24">
              <w:rPr>
                <w:rFonts w:asciiTheme="minorHAnsi" w:hAnsiTheme="minorHAnsi"/>
                <w:bCs/>
                <w:color w:val="000000"/>
                <w:sz w:val="16"/>
                <w:szCs w:val="16"/>
              </w:rPr>
              <w:br/>
              <w:t>(5.5 - 6.6)</w:t>
            </w:r>
          </w:p>
        </w:tc>
        <w:tc>
          <w:tcPr>
            <w:tcW w:w="1418" w:type="dxa"/>
            <w:tcBorders>
              <w:top w:val="nil"/>
              <w:bottom w:val="nil"/>
            </w:tcBorders>
            <w:shd w:val="clear" w:color="auto" w:fill="DAEEF3" w:themeFill="accent5" w:themeFillTint="33"/>
            <w:vAlign w:val="center"/>
          </w:tcPr>
          <w:p w14:paraId="505E25D1" w14:textId="77777777" w:rsidR="00780E93" w:rsidRPr="00AF3A24" w:rsidRDefault="00780E93"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(10.5 - 12.6)</w:t>
            </w:r>
          </w:p>
        </w:tc>
        <w:tc>
          <w:tcPr>
            <w:tcW w:w="2195" w:type="dxa"/>
            <w:tcBorders>
              <w:top w:val="nil"/>
              <w:bottom w:val="nil"/>
            </w:tcBorders>
            <w:shd w:val="clear" w:color="auto" w:fill="DAEEF3" w:themeFill="accent5" w:themeFillTint="33"/>
          </w:tcPr>
          <w:p w14:paraId="46DD9A5E" w14:textId="77777777" w:rsidR="00780E93"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213,700</w:t>
            </w:r>
            <w:r w:rsidRPr="00AF3A24">
              <w:rPr>
                <w:rFonts w:asciiTheme="minorHAnsi" w:hAnsiTheme="minorHAnsi"/>
                <w:bCs/>
                <w:color w:val="000000"/>
                <w:sz w:val="16"/>
                <w:szCs w:val="16"/>
              </w:rPr>
              <w:br/>
              <w:t>(192,800 - 234,600)</w:t>
            </w:r>
          </w:p>
        </w:tc>
      </w:tr>
      <w:tr w:rsidR="00892BBD" w:rsidRPr="00AF3A24" w14:paraId="7188E804" w14:textId="77777777" w:rsidTr="00F73C07">
        <w:trPr>
          <w:jc w:val="center"/>
        </w:trPr>
        <w:tc>
          <w:tcPr>
            <w:tcW w:w="3958" w:type="dxa"/>
            <w:tcBorders>
              <w:top w:val="nil"/>
              <w:bottom w:val="nil"/>
            </w:tcBorders>
            <w:shd w:val="clear" w:color="auto" w:fill="DAEEF3" w:themeFill="accent5" w:themeFillTint="33"/>
            <w:vAlign w:val="center"/>
          </w:tcPr>
          <w:p w14:paraId="18001A44" w14:textId="77777777" w:rsidR="00892BBD" w:rsidRPr="00AF3A24" w:rsidRDefault="00892BBD" w:rsidP="00AE020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Casino </w:t>
            </w:r>
            <w:r w:rsidR="00201144" w:rsidRPr="00AF3A24">
              <w:rPr>
                <w:rFonts w:asciiTheme="minorHAnsi" w:hAnsiTheme="minorHAnsi" w:cstheme="minorHAnsi"/>
                <w:sz w:val="16"/>
                <w:szCs w:val="16"/>
              </w:rPr>
              <w:t xml:space="preserve">gaming </w:t>
            </w:r>
            <w:r w:rsidRPr="00AF3A24">
              <w:rPr>
                <w:rFonts w:asciiTheme="minorHAnsi" w:hAnsiTheme="minorHAnsi" w:cstheme="minorHAnsi"/>
                <w:sz w:val="16"/>
                <w:szCs w:val="16"/>
              </w:rPr>
              <w:t>machines</w:t>
            </w:r>
          </w:p>
        </w:tc>
        <w:tc>
          <w:tcPr>
            <w:tcW w:w="790" w:type="dxa"/>
            <w:tcBorders>
              <w:top w:val="nil"/>
              <w:bottom w:val="nil"/>
            </w:tcBorders>
            <w:shd w:val="clear" w:color="auto" w:fill="DAEEF3" w:themeFill="accent5" w:themeFillTint="33"/>
            <w:vAlign w:val="center"/>
          </w:tcPr>
          <w:p w14:paraId="56FC64F0"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499</w:t>
            </w:r>
          </w:p>
        </w:tc>
        <w:tc>
          <w:tcPr>
            <w:tcW w:w="1417" w:type="dxa"/>
            <w:tcBorders>
              <w:top w:val="nil"/>
              <w:bottom w:val="nil"/>
            </w:tcBorders>
            <w:shd w:val="clear" w:color="auto" w:fill="DAEEF3" w:themeFill="accent5" w:themeFillTint="33"/>
            <w:vAlign w:val="center"/>
          </w:tcPr>
          <w:p w14:paraId="2BB93AE8"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(3.7 - 4.7)</w:t>
            </w:r>
          </w:p>
        </w:tc>
        <w:tc>
          <w:tcPr>
            <w:tcW w:w="1418" w:type="dxa"/>
            <w:tcBorders>
              <w:top w:val="nil"/>
              <w:bottom w:val="nil"/>
            </w:tcBorders>
            <w:shd w:val="clear" w:color="auto" w:fill="DAEEF3" w:themeFill="accent5" w:themeFillTint="33"/>
            <w:vAlign w:val="center"/>
          </w:tcPr>
          <w:p w14:paraId="7C15A973"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w:t>
            </w:r>
            <w:r w:rsidRPr="00AF3A24">
              <w:rPr>
                <w:rFonts w:asciiTheme="minorHAnsi" w:hAnsiTheme="minorHAnsi"/>
                <w:bCs/>
                <w:color w:val="000000"/>
                <w:sz w:val="16"/>
                <w:szCs w:val="16"/>
              </w:rPr>
              <w:br/>
              <w:t>(7.1 - 8.9)</w:t>
            </w:r>
          </w:p>
        </w:tc>
        <w:tc>
          <w:tcPr>
            <w:tcW w:w="2195" w:type="dxa"/>
            <w:tcBorders>
              <w:top w:val="nil"/>
              <w:bottom w:val="nil"/>
            </w:tcBorders>
            <w:shd w:val="clear" w:color="auto" w:fill="DAEEF3" w:themeFill="accent5" w:themeFillTint="33"/>
          </w:tcPr>
          <w:p w14:paraId="66129271"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148,000</w:t>
            </w:r>
            <w:r w:rsidRPr="00AF3A24">
              <w:rPr>
                <w:rFonts w:asciiTheme="minorHAnsi" w:hAnsiTheme="minorHAnsi"/>
                <w:bCs/>
                <w:color w:val="000000"/>
                <w:sz w:val="16"/>
                <w:szCs w:val="16"/>
              </w:rPr>
              <w:br/>
              <w:t>(131,500 - 164,500)</w:t>
            </w:r>
          </w:p>
        </w:tc>
      </w:tr>
      <w:tr w:rsidR="008E2C46" w:rsidRPr="00AF3A24" w14:paraId="42D88C11" w14:textId="77777777" w:rsidTr="00F73C07">
        <w:trPr>
          <w:jc w:val="center"/>
        </w:trPr>
        <w:tc>
          <w:tcPr>
            <w:tcW w:w="3958" w:type="dxa"/>
            <w:tcBorders>
              <w:top w:val="nil"/>
              <w:bottom w:val="nil"/>
            </w:tcBorders>
            <w:shd w:val="clear" w:color="auto" w:fill="DAEEF3" w:themeFill="accent5" w:themeFillTint="33"/>
            <w:vAlign w:val="center"/>
          </w:tcPr>
          <w:p w14:paraId="2C39E208" w14:textId="77777777" w:rsidR="008E2C46" w:rsidRPr="00AF3A24" w:rsidRDefault="008E2C46"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Sports betting</w:t>
            </w:r>
          </w:p>
        </w:tc>
        <w:tc>
          <w:tcPr>
            <w:tcW w:w="790" w:type="dxa"/>
            <w:tcBorders>
              <w:top w:val="nil"/>
              <w:bottom w:val="nil"/>
            </w:tcBorders>
            <w:shd w:val="clear" w:color="auto" w:fill="DAEEF3" w:themeFill="accent5" w:themeFillTint="33"/>
            <w:vAlign w:val="center"/>
          </w:tcPr>
          <w:p w14:paraId="43A11B0E" w14:textId="77777777" w:rsidR="008E2C46" w:rsidRPr="00AF3A24" w:rsidRDefault="008E2C46"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278</w:t>
            </w:r>
          </w:p>
        </w:tc>
        <w:tc>
          <w:tcPr>
            <w:tcW w:w="1417" w:type="dxa"/>
            <w:tcBorders>
              <w:top w:val="nil"/>
              <w:bottom w:val="nil"/>
            </w:tcBorders>
            <w:shd w:val="clear" w:color="auto" w:fill="DAEEF3" w:themeFill="accent5" w:themeFillTint="33"/>
            <w:vAlign w:val="center"/>
          </w:tcPr>
          <w:p w14:paraId="1697D33C"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(2.2 - 3.1)</w:t>
            </w:r>
          </w:p>
        </w:tc>
        <w:tc>
          <w:tcPr>
            <w:tcW w:w="1418" w:type="dxa"/>
            <w:tcBorders>
              <w:top w:val="nil"/>
              <w:bottom w:val="nil"/>
            </w:tcBorders>
            <w:shd w:val="clear" w:color="auto" w:fill="DAEEF3" w:themeFill="accent5" w:themeFillTint="33"/>
            <w:vAlign w:val="center"/>
          </w:tcPr>
          <w:p w14:paraId="598F74E5"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r w:rsidRPr="00AF3A24">
              <w:rPr>
                <w:rFonts w:asciiTheme="minorHAnsi" w:hAnsiTheme="minorHAnsi"/>
                <w:bCs/>
                <w:color w:val="000000"/>
                <w:sz w:val="16"/>
                <w:szCs w:val="16"/>
              </w:rPr>
              <w:br/>
              <w:t>(4.3 - 5.8)</w:t>
            </w:r>
          </w:p>
        </w:tc>
        <w:tc>
          <w:tcPr>
            <w:tcW w:w="2195" w:type="dxa"/>
            <w:tcBorders>
              <w:top w:val="nil"/>
              <w:bottom w:val="nil"/>
            </w:tcBorders>
            <w:shd w:val="clear" w:color="auto" w:fill="DAEEF3" w:themeFill="accent5" w:themeFillTint="33"/>
          </w:tcPr>
          <w:p w14:paraId="6F8455B2" w14:textId="77777777" w:rsidR="008E2C46"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93,400</w:t>
            </w:r>
            <w:r w:rsidRPr="00AF3A24">
              <w:rPr>
                <w:rFonts w:asciiTheme="minorHAnsi" w:hAnsiTheme="minorHAnsi"/>
                <w:bCs/>
                <w:color w:val="000000"/>
                <w:sz w:val="16"/>
                <w:szCs w:val="16"/>
              </w:rPr>
              <w:br/>
              <w:t>(78,600 - 108,200)</w:t>
            </w:r>
          </w:p>
        </w:tc>
      </w:tr>
      <w:tr w:rsidR="00892BBD" w:rsidRPr="00AF3A24" w14:paraId="01078221" w14:textId="77777777" w:rsidTr="00F73C07">
        <w:trPr>
          <w:jc w:val="center"/>
        </w:trPr>
        <w:tc>
          <w:tcPr>
            <w:tcW w:w="3958" w:type="dxa"/>
            <w:tcBorders>
              <w:top w:val="nil"/>
              <w:bottom w:val="nil"/>
            </w:tcBorders>
            <w:shd w:val="clear" w:color="auto" w:fill="DAEEF3" w:themeFill="accent5" w:themeFillTint="33"/>
            <w:vAlign w:val="center"/>
          </w:tcPr>
          <w:p w14:paraId="08825281" w14:textId="77777777" w:rsidR="00892BBD" w:rsidRPr="00AF3A24" w:rsidRDefault="00892BBD" w:rsidP="00AE020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tables</w:t>
            </w:r>
          </w:p>
        </w:tc>
        <w:tc>
          <w:tcPr>
            <w:tcW w:w="790" w:type="dxa"/>
            <w:tcBorders>
              <w:top w:val="nil"/>
              <w:bottom w:val="nil"/>
            </w:tcBorders>
            <w:shd w:val="clear" w:color="auto" w:fill="DAEEF3" w:themeFill="accent5" w:themeFillTint="33"/>
            <w:vAlign w:val="center"/>
          </w:tcPr>
          <w:p w14:paraId="0AA3C8AD" w14:textId="77777777" w:rsidR="00892BBD" w:rsidRPr="00AF3A24" w:rsidRDefault="00892BBD" w:rsidP="005F2C3A">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178</w:t>
            </w:r>
          </w:p>
        </w:tc>
        <w:tc>
          <w:tcPr>
            <w:tcW w:w="1417" w:type="dxa"/>
            <w:tcBorders>
              <w:top w:val="nil"/>
              <w:bottom w:val="nil"/>
            </w:tcBorders>
            <w:shd w:val="clear" w:color="auto" w:fill="DAEEF3" w:themeFill="accent5" w:themeFillTint="33"/>
            <w:vAlign w:val="center"/>
          </w:tcPr>
          <w:p w14:paraId="485655F6"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r w:rsidRPr="00AF3A24">
              <w:rPr>
                <w:rFonts w:asciiTheme="minorHAnsi" w:hAnsiTheme="minorHAnsi"/>
                <w:bCs/>
                <w:color w:val="000000"/>
                <w:sz w:val="16"/>
                <w:szCs w:val="16"/>
              </w:rPr>
              <w:br/>
              <w:t>(1.6 - 2.3)</w:t>
            </w:r>
          </w:p>
        </w:tc>
        <w:tc>
          <w:tcPr>
            <w:tcW w:w="1418" w:type="dxa"/>
            <w:tcBorders>
              <w:top w:val="nil"/>
              <w:bottom w:val="nil"/>
            </w:tcBorders>
            <w:shd w:val="clear" w:color="auto" w:fill="DAEEF3" w:themeFill="accent5" w:themeFillTint="33"/>
            <w:vAlign w:val="center"/>
          </w:tcPr>
          <w:p w14:paraId="332C924A" w14:textId="77777777" w:rsidR="00892BBD" w:rsidRPr="00AF3A24" w:rsidRDefault="00892BBD"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r w:rsidRPr="00AF3A24">
              <w:rPr>
                <w:rFonts w:asciiTheme="minorHAnsi" w:hAnsiTheme="minorHAnsi"/>
                <w:bCs/>
                <w:color w:val="000000"/>
                <w:sz w:val="16"/>
                <w:szCs w:val="16"/>
              </w:rPr>
              <w:br/>
              <w:t>(3.1 - 4.4)</w:t>
            </w:r>
          </w:p>
        </w:tc>
        <w:tc>
          <w:tcPr>
            <w:tcW w:w="2195" w:type="dxa"/>
            <w:tcBorders>
              <w:top w:val="nil"/>
              <w:bottom w:val="nil"/>
            </w:tcBorders>
            <w:shd w:val="clear" w:color="auto" w:fill="DAEEF3" w:themeFill="accent5" w:themeFillTint="33"/>
          </w:tcPr>
          <w:p w14:paraId="4FF4E524" w14:textId="77777777" w:rsidR="00892BBD"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69,200</w:t>
            </w:r>
            <w:r w:rsidRPr="00AF3A24">
              <w:rPr>
                <w:rFonts w:asciiTheme="minorHAnsi" w:hAnsiTheme="minorHAnsi"/>
                <w:bCs/>
                <w:color w:val="000000"/>
                <w:sz w:val="16"/>
                <w:szCs w:val="16"/>
              </w:rPr>
              <w:br/>
              <w:t>(56,100 - 82,200)</w:t>
            </w:r>
          </w:p>
        </w:tc>
      </w:tr>
      <w:tr w:rsidR="006E13ED" w:rsidRPr="00AF3A24" w14:paraId="7FAA97CB" w14:textId="77777777" w:rsidTr="00F73C07">
        <w:trPr>
          <w:jc w:val="center"/>
        </w:trPr>
        <w:tc>
          <w:tcPr>
            <w:tcW w:w="3958" w:type="dxa"/>
            <w:tcBorders>
              <w:top w:val="nil"/>
              <w:bottom w:val="nil"/>
            </w:tcBorders>
            <w:shd w:val="clear" w:color="auto" w:fill="DAEEF3" w:themeFill="accent5" w:themeFillTint="33"/>
            <w:vAlign w:val="center"/>
          </w:tcPr>
          <w:p w14:paraId="1817DC9F" w14:textId="77777777" w:rsidR="006E13ED" w:rsidRPr="00AF3A24" w:rsidRDefault="006E13ED" w:rsidP="00C900B9">
            <w:pPr>
              <w:spacing w:before="0" w:line="240" w:lineRule="auto"/>
              <w:ind w:left="78"/>
              <w:jc w:val="left"/>
              <w:rPr>
                <w:rFonts w:asciiTheme="minorHAnsi" w:hAnsiTheme="minorHAnsi" w:cstheme="minorHAnsi"/>
                <w:sz w:val="16"/>
                <w:szCs w:val="16"/>
                <w:highlight w:val="green"/>
              </w:rPr>
            </w:pPr>
            <w:r w:rsidRPr="00AF3A24">
              <w:rPr>
                <w:rFonts w:asciiTheme="minorHAnsi" w:hAnsiTheme="minorHAnsi" w:cstheme="minorHAnsi"/>
                <w:sz w:val="16"/>
                <w:szCs w:val="16"/>
              </w:rPr>
              <w:t>Other form of gambling (including Internet-based gambling)</w:t>
            </w:r>
          </w:p>
        </w:tc>
        <w:tc>
          <w:tcPr>
            <w:tcW w:w="790" w:type="dxa"/>
            <w:tcBorders>
              <w:top w:val="nil"/>
              <w:bottom w:val="nil"/>
            </w:tcBorders>
            <w:shd w:val="clear" w:color="auto" w:fill="DAEEF3" w:themeFill="accent5" w:themeFillTint="33"/>
            <w:vAlign w:val="center"/>
          </w:tcPr>
          <w:p w14:paraId="66776ED1" w14:textId="77777777" w:rsidR="006E13ED" w:rsidRPr="00AF3A24" w:rsidRDefault="006E13ED" w:rsidP="006E13ED">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161</w:t>
            </w:r>
          </w:p>
        </w:tc>
        <w:tc>
          <w:tcPr>
            <w:tcW w:w="1417" w:type="dxa"/>
            <w:tcBorders>
              <w:top w:val="nil"/>
              <w:bottom w:val="nil"/>
            </w:tcBorders>
            <w:shd w:val="clear" w:color="auto" w:fill="DAEEF3" w:themeFill="accent5" w:themeFillTint="33"/>
            <w:vAlign w:val="center"/>
          </w:tcPr>
          <w:p w14:paraId="0EE32FF8" w14:textId="77777777" w:rsidR="006E13ED" w:rsidRPr="00AF3A24" w:rsidRDefault="006E13ED" w:rsidP="006E13E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(1.3 - 2.0)</w:t>
            </w:r>
          </w:p>
        </w:tc>
        <w:tc>
          <w:tcPr>
            <w:tcW w:w="1418" w:type="dxa"/>
            <w:tcBorders>
              <w:top w:val="nil"/>
              <w:bottom w:val="nil"/>
            </w:tcBorders>
            <w:shd w:val="clear" w:color="auto" w:fill="DAEEF3" w:themeFill="accent5" w:themeFillTint="33"/>
            <w:vAlign w:val="center"/>
          </w:tcPr>
          <w:p w14:paraId="3CB3E568" w14:textId="77777777" w:rsidR="006E13ED" w:rsidRPr="00AF3A24" w:rsidRDefault="00DD3BD2" w:rsidP="00DD3BD2">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r w:rsidRPr="00AF3A24">
              <w:rPr>
                <w:rFonts w:asciiTheme="minorHAnsi" w:hAnsiTheme="minorHAnsi"/>
                <w:bCs/>
                <w:color w:val="000000"/>
                <w:sz w:val="16"/>
                <w:szCs w:val="16"/>
              </w:rPr>
              <w:br/>
              <w:t>(2.5 - 3.9)</w:t>
            </w:r>
          </w:p>
        </w:tc>
        <w:tc>
          <w:tcPr>
            <w:tcW w:w="2195" w:type="dxa"/>
            <w:tcBorders>
              <w:top w:val="nil"/>
              <w:bottom w:val="nil"/>
            </w:tcBorders>
            <w:shd w:val="clear" w:color="auto" w:fill="DAEEF3" w:themeFill="accent5" w:themeFillTint="33"/>
          </w:tcPr>
          <w:p w14:paraId="5C7495FB" w14:textId="77777777" w:rsidR="006E13ED" w:rsidRPr="00AF3A24" w:rsidRDefault="006E13ED" w:rsidP="006E13E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59,300</w:t>
            </w:r>
            <w:r w:rsidRPr="00AF3A24">
              <w:rPr>
                <w:rFonts w:asciiTheme="minorHAnsi" w:hAnsiTheme="minorHAnsi"/>
                <w:bCs/>
                <w:color w:val="000000"/>
                <w:sz w:val="16"/>
                <w:szCs w:val="16"/>
              </w:rPr>
              <w:br/>
              <w:t>(46,300 - 72,300)</w:t>
            </w:r>
          </w:p>
        </w:tc>
      </w:tr>
      <w:tr w:rsidR="008E2C46" w:rsidRPr="00AF3A24" w14:paraId="178157BD" w14:textId="77777777" w:rsidTr="00F73C07">
        <w:trPr>
          <w:jc w:val="center"/>
        </w:trPr>
        <w:tc>
          <w:tcPr>
            <w:tcW w:w="3958" w:type="dxa"/>
            <w:tcBorders>
              <w:top w:val="nil"/>
              <w:bottom w:val="nil"/>
            </w:tcBorders>
            <w:shd w:val="clear" w:color="auto" w:fill="DAEEF3" w:themeFill="accent5" w:themeFillTint="33"/>
            <w:vAlign w:val="center"/>
          </w:tcPr>
          <w:p w14:paraId="4E8E503D" w14:textId="77777777" w:rsidR="008E2C46" w:rsidRPr="00AF3A24" w:rsidRDefault="008E2C46"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Keno (not in a casino)</w:t>
            </w:r>
          </w:p>
        </w:tc>
        <w:tc>
          <w:tcPr>
            <w:tcW w:w="790" w:type="dxa"/>
            <w:tcBorders>
              <w:top w:val="nil"/>
              <w:bottom w:val="nil"/>
            </w:tcBorders>
            <w:shd w:val="clear" w:color="auto" w:fill="DAEEF3" w:themeFill="accent5" w:themeFillTint="33"/>
            <w:vAlign w:val="center"/>
          </w:tcPr>
          <w:p w14:paraId="44A919FD" w14:textId="77777777" w:rsidR="008E2C46" w:rsidRPr="00AF3A24" w:rsidRDefault="008E2C46"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149</w:t>
            </w:r>
          </w:p>
        </w:tc>
        <w:tc>
          <w:tcPr>
            <w:tcW w:w="1417" w:type="dxa"/>
            <w:tcBorders>
              <w:top w:val="nil"/>
              <w:bottom w:val="nil"/>
            </w:tcBorders>
            <w:shd w:val="clear" w:color="auto" w:fill="DAEEF3" w:themeFill="accent5" w:themeFillTint="33"/>
            <w:vAlign w:val="center"/>
          </w:tcPr>
          <w:p w14:paraId="2656D2FB"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(0.7 - 1.2)</w:t>
            </w:r>
          </w:p>
        </w:tc>
        <w:tc>
          <w:tcPr>
            <w:tcW w:w="1418" w:type="dxa"/>
            <w:tcBorders>
              <w:top w:val="nil"/>
              <w:bottom w:val="nil"/>
            </w:tcBorders>
            <w:shd w:val="clear" w:color="auto" w:fill="DAEEF3" w:themeFill="accent5" w:themeFillTint="33"/>
            <w:vAlign w:val="center"/>
          </w:tcPr>
          <w:p w14:paraId="6BE8B961"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(1.4 - 2.2)</w:t>
            </w:r>
          </w:p>
        </w:tc>
        <w:tc>
          <w:tcPr>
            <w:tcW w:w="2195" w:type="dxa"/>
            <w:tcBorders>
              <w:top w:val="nil"/>
              <w:bottom w:val="nil"/>
            </w:tcBorders>
            <w:shd w:val="clear" w:color="auto" w:fill="DAEEF3" w:themeFill="accent5" w:themeFillTint="33"/>
          </w:tcPr>
          <w:p w14:paraId="5A1CA20B" w14:textId="77777777" w:rsidR="008E2C46"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33,200</w:t>
            </w:r>
            <w:r w:rsidRPr="00AF3A24">
              <w:rPr>
                <w:rFonts w:asciiTheme="minorHAnsi" w:hAnsiTheme="minorHAnsi"/>
                <w:bCs/>
                <w:color w:val="000000"/>
                <w:sz w:val="16"/>
                <w:szCs w:val="16"/>
              </w:rPr>
              <w:br/>
              <w:t>(25,600 - 40,800)</w:t>
            </w:r>
          </w:p>
        </w:tc>
      </w:tr>
      <w:tr w:rsidR="008E2C46" w:rsidRPr="00AF3A24" w14:paraId="4E5BA9D2" w14:textId="77777777" w:rsidTr="00F73C07">
        <w:trPr>
          <w:jc w:val="center"/>
        </w:trPr>
        <w:tc>
          <w:tcPr>
            <w:tcW w:w="3958" w:type="dxa"/>
            <w:tcBorders>
              <w:top w:val="nil"/>
              <w:bottom w:val="single" w:sz="4" w:space="0" w:color="auto"/>
            </w:tcBorders>
            <w:shd w:val="clear" w:color="auto" w:fill="DAEEF3" w:themeFill="accent5" w:themeFillTint="33"/>
            <w:vAlign w:val="center"/>
          </w:tcPr>
          <w:p w14:paraId="580FBC09" w14:textId="77777777" w:rsidR="008E2C46" w:rsidRPr="00AF3A24" w:rsidRDefault="008E2C46"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Housie</w:t>
            </w:r>
          </w:p>
        </w:tc>
        <w:tc>
          <w:tcPr>
            <w:tcW w:w="790" w:type="dxa"/>
            <w:tcBorders>
              <w:top w:val="nil"/>
              <w:bottom w:val="single" w:sz="4" w:space="0" w:color="auto"/>
            </w:tcBorders>
            <w:shd w:val="clear" w:color="auto" w:fill="DAEEF3" w:themeFill="accent5" w:themeFillTint="33"/>
            <w:vAlign w:val="center"/>
          </w:tcPr>
          <w:p w14:paraId="6EAD7EF5" w14:textId="77777777" w:rsidR="008E2C46" w:rsidRPr="00AF3A24" w:rsidRDefault="008E2C46" w:rsidP="00C900B9">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158</w:t>
            </w:r>
          </w:p>
        </w:tc>
        <w:tc>
          <w:tcPr>
            <w:tcW w:w="1417" w:type="dxa"/>
            <w:tcBorders>
              <w:top w:val="nil"/>
              <w:bottom w:val="single" w:sz="4" w:space="0" w:color="auto"/>
            </w:tcBorders>
            <w:shd w:val="clear" w:color="auto" w:fill="DAEEF3" w:themeFill="accent5" w:themeFillTint="33"/>
            <w:vAlign w:val="center"/>
          </w:tcPr>
          <w:p w14:paraId="10EC671B"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(0.7 - 1.1)</w:t>
            </w:r>
          </w:p>
        </w:tc>
        <w:tc>
          <w:tcPr>
            <w:tcW w:w="1418" w:type="dxa"/>
            <w:tcBorders>
              <w:top w:val="nil"/>
              <w:bottom w:val="single" w:sz="4" w:space="0" w:color="auto"/>
            </w:tcBorders>
            <w:shd w:val="clear" w:color="auto" w:fill="DAEEF3" w:themeFill="accent5" w:themeFillTint="33"/>
            <w:vAlign w:val="center"/>
          </w:tcPr>
          <w:p w14:paraId="583C3213" w14:textId="77777777" w:rsidR="008E2C46" w:rsidRPr="00AF3A24" w:rsidRDefault="008E2C46" w:rsidP="00C900B9">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w:t>
            </w:r>
            <w:r w:rsidRPr="00AF3A24">
              <w:rPr>
                <w:rFonts w:asciiTheme="minorHAnsi" w:hAnsiTheme="minorHAnsi"/>
                <w:bCs/>
                <w:color w:val="000000"/>
                <w:sz w:val="16"/>
                <w:szCs w:val="16"/>
              </w:rPr>
              <w:br/>
              <w:t>(1.3 - 2.0)</w:t>
            </w:r>
          </w:p>
        </w:tc>
        <w:tc>
          <w:tcPr>
            <w:tcW w:w="2195" w:type="dxa"/>
            <w:tcBorders>
              <w:top w:val="nil"/>
              <w:bottom w:val="single" w:sz="4" w:space="0" w:color="auto"/>
            </w:tcBorders>
            <w:shd w:val="clear" w:color="auto" w:fill="DAEEF3" w:themeFill="accent5" w:themeFillTint="33"/>
          </w:tcPr>
          <w:p w14:paraId="1859F6BF" w14:textId="77777777" w:rsidR="008E2C46" w:rsidRPr="00AF3A24" w:rsidRDefault="00125A7F" w:rsidP="00125A7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30,300</w:t>
            </w:r>
            <w:r w:rsidRPr="00AF3A24">
              <w:rPr>
                <w:rFonts w:asciiTheme="minorHAnsi" w:hAnsiTheme="minorHAnsi"/>
                <w:bCs/>
                <w:color w:val="000000"/>
                <w:sz w:val="16"/>
                <w:szCs w:val="16"/>
              </w:rPr>
              <w:br/>
              <w:t>(23,400 - 37,200)</w:t>
            </w:r>
          </w:p>
        </w:tc>
      </w:tr>
    </w:tbl>
    <w:p w14:paraId="2D8EAC1D" w14:textId="77777777" w:rsidR="00703E9E" w:rsidRPr="00AF3A24" w:rsidRDefault="009D09D2" w:rsidP="006360D9">
      <w:pPr>
        <w:spacing w:before="0" w:line="240" w:lineRule="auto"/>
        <w:ind w:left="284"/>
        <w:rPr>
          <w:rFonts w:asciiTheme="minorHAnsi" w:hAnsiTheme="minorHAnsi" w:cstheme="minorHAnsi"/>
          <w:sz w:val="16"/>
        </w:rPr>
      </w:pPr>
      <w:r w:rsidRPr="00AF3A24">
        <w:rPr>
          <w:rFonts w:asciiTheme="minorHAnsi" w:hAnsiTheme="minorHAnsi" w:cstheme="minorHAnsi"/>
          <w:sz w:val="16"/>
        </w:rPr>
        <w:t>Note</w:t>
      </w:r>
      <w:r w:rsidR="002E1CF4" w:rsidRPr="00AF3A24">
        <w:rPr>
          <w:rFonts w:asciiTheme="minorHAnsi" w:hAnsiTheme="minorHAnsi" w:cstheme="minorHAnsi"/>
          <w:sz w:val="16"/>
        </w:rPr>
        <w:t>s</w:t>
      </w:r>
      <w:r w:rsidRPr="00AF3A24">
        <w:rPr>
          <w:rFonts w:asciiTheme="minorHAnsi" w:hAnsiTheme="minorHAnsi" w:cstheme="minorHAnsi"/>
          <w:sz w:val="16"/>
        </w:rPr>
        <w:t>:</w:t>
      </w:r>
    </w:p>
    <w:p w14:paraId="556DB1AC" w14:textId="77777777" w:rsidR="00627607" w:rsidRPr="00AF3A24" w:rsidRDefault="002E1CF4" w:rsidP="004F129A">
      <w:pPr>
        <w:pStyle w:val="ListParagraph"/>
        <w:numPr>
          <w:ilvl w:val="0"/>
          <w:numId w:val="68"/>
        </w:numPr>
        <w:spacing w:line="240" w:lineRule="auto"/>
        <w:rPr>
          <w:rFonts w:asciiTheme="minorHAnsi" w:hAnsiTheme="minorHAnsi" w:cstheme="minorHAnsi"/>
          <w:sz w:val="16"/>
        </w:rPr>
      </w:pPr>
      <w:r w:rsidRPr="00AF3A24">
        <w:rPr>
          <w:rFonts w:asciiTheme="minorHAnsi" w:hAnsiTheme="minorHAnsi" w:cstheme="minorHAnsi"/>
          <w:sz w:val="16"/>
        </w:rPr>
        <w:t>Source: 2011/12 New Zealand Health Survey</w:t>
      </w:r>
      <w:r w:rsidR="009D09D2" w:rsidRPr="00AF3A24">
        <w:rPr>
          <w:rFonts w:asciiTheme="minorHAnsi" w:hAnsiTheme="minorHAnsi" w:cstheme="minorHAnsi"/>
          <w:sz w:val="16"/>
        </w:rPr>
        <w:t xml:space="preserve">. </w:t>
      </w:r>
    </w:p>
    <w:p w14:paraId="6C45E4DB" w14:textId="77777777" w:rsidR="005E272D" w:rsidRDefault="001A3B16" w:rsidP="004F129A">
      <w:pPr>
        <w:pStyle w:val="ListParagraph"/>
        <w:numPr>
          <w:ilvl w:val="0"/>
          <w:numId w:val="68"/>
        </w:numPr>
        <w:spacing w:line="240" w:lineRule="auto"/>
        <w:rPr>
          <w:rFonts w:asciiTheme="minorHAnsi" w:hAnsiTheme="minorHAnsi" w:cstheme="minorHAnsi"/>
          <w:sz w:val="16"/>
        </w:rPr>
      </w:pPr>
      <w:r w:rsidRPr="00AF3A24">
        <w:rPr>
          <w:rFonts w:asciiTheme="minorHAnsi" w:hAnsiTheme="minorHAnsi" w:cstheme="minorHAnsi"/>
          <w:sz w:val="16"/>
        </w:rPr>
        <w:t xml:space="preserve">Participants could choose more than one activity / response option. </w:t>
      </w:r>
    </w:p>
    <w:p w14:paraId="50698970" w14:textId="77777777" w:rsidR="00264106" w:rsidRPr="005E272D" w:rsidRDefault="005E272D" w:rsidP="004F129A">
      <w:pPr>
        <w:pStyle w:val="ListParagraph"/>
        <w:numPr>
          <w:ilvl w:val="0"/>
          <w:numId w:val="68"/>
        </w:numPr>
        <w:spacing w:line="240" w:lineRule="auto"/>
        <w:rPr>
          <w:rFonts w:asciiTheme="minorHAnsi" w:hAnsiTheme="minorHAnsi" w:cstheme="minorHAnsi"/>
          <w:sz w:val="16"/>
        </w:rPr>
      </w:pPr>
      <w:r>
        <w:rPr>
          <w:rFonts w:asciiTheme="minorHAnsi" w:hAnsiTheme="minorHAnsi" w:cstheme="minorHAnsi"/>
          <w:sz w:val="16"/>
        </w:rPr>
        <w:t>Estimated number of people has been calculated using New Zealand 2006 Census data.</w:t>
      </w:r>
    </w:p>
    <w:p w14:paraId="7BCA6C78" w14:textId="77777777" w:rsidR="00600F72" w:rsidRPr="00AF3A24" w:rsidRDefault="00600F72" w:rsidP="00264106">
      <w:pPr>
        <w:spacing w:line="240" w:lineRule="auto"/>
        <w:rPr>
          <w:rFonts w:asciiTheme="minorHAnsi" w:hAnsiTheme="minorHAnsi" w:cstheme="minorHAnsi"/>
          <w:sz w:val="18"/>
        </w:rPr>
      </w:pPr>
    </w:p>
    <w:p w14:paraId="1FB02F2E" w14:textId="77777777" w:rsidR="00E838FC" w:rsidRPr="00AF3A24" w:rsidRDefault="00802AFE" w:rsidP="00F061EF">
      <w:pPr>
        <w:pStyle w:val="Heading3"/>
      </w:pPr>
      <w:bookmarkStart w:id="48" w:name="_Toc403833155"/>
      <w:r w:rsidRPr="00AF3A24">
        <w:t>Activities by demographics</w:t>
      </w:r>
      <w:bookmarkEnd w:id="48"/>
    </w:p>
    <w:p w14:paraId="450ECDA7" w14:textId="77777777" w:rsidR="00802AFE" w:rsidRPr="00AF3A24" w:rsidRDefault="003B048D" w:rsidP="00802AFE">
      <w:pPr>
        <w:rPr>
          <w:rFonts w:asciiTheme="minorHAnsi" w:hAnsiTheme="minorHAnsi"/>
        </w:rPr>
      </w:pPr>
      <w:r>
        <w:rPr>
          <w:rFonts w:asciiTheme="minorHAnsi" w:hAnsiTheme="minorHAnsi"/>
        </w:rPr>
        <w:t xml:space="preserve">The following section provides </w:t>
      </w:r>
      <w:r w:rsidR="00D6716A">
        <w:rPr>
          <w:rFonts w:asciiTheme="minorHAnsi" w:hAnsiTheme="minorHAnsi"/>
        </w:rPr>
        <w:t xml:space="preserve">results for </w:t>
      </w:r>
      <w:r>
        <w:rPr>
          <w:rFonts w:asciiTheme="minorHAnsi" w:hAnsiTheme="minorHAnsi"/>
        </w:rPr>
        <w:t xml:space="preserve">participation in </w:t>
      </w:r>
      <w:r w:rsidR="00D6716A">
        <w:rPr>
          <w:rFonts w:asciiTheme="minorHAnsi" w:hAnsiTheme="minorHAnsi"/>
        </w:rPr>
        <w:t xml:space="preserve">specific </w:t>
      </w:r>
      <w:r>
        <w:rPr>
          <w:rFonts w:asciiTheme="minorHAnsi" w:hAnsiTheme="minorHAnsi"/>
        </w:rPr>
        <w:t xml:space="preserve">gambling activities by demographic characteristics. </w:t>
      </w:r>
      <w:r w:rsidR="006F3564">
        <w:rPr>
          <w:rFonts w:asciiTheme="minorHAnsi" w:hAnsiTheme="minorHAnsi"/>
        </w:rPr>
        <w:t xml:space="preserve"> A detailed breakdown of these results can be found in</w:t>
      </w:r>
      <w:r w:rsidR="002333B4">
        <w:rPr>
          <w:rFonts w:asciiTheme="minorHAnsi" w:hAnsiTheme="minorHAnsi"/>
        </w:rPr>
        <w:t xml:space="preserve"> Table 19</w:t>
      </w:r>
      <w:r w:rsidR="00486102">
        <w:rPr>
          <w:rFonts w:asciiTheme="minorHAnsi" w:hAnsiTheme="minorHAnsi"/>
        </w:rPr>
        <w:t xml:space="preserve"> </w:t>
      </w:r>
      <w:r w:rsidR="008E48FD" w:rsidRPr="00AF3A24">
        <w:rPr>
          <w:rFonts w:asciiTheme="minorHAnsi" w:hAnsiTheme="minorHAnsi"/>
        </w:rPr>
        <w:t xml:space="preserve">(see </w:t>
      </w:r>
      <w:r w:rsidR="002333B4">
        <w:rPr>
          <w:rFonts w:asciiTheme="minorHAnsi" w:hAnsiTheme="minorHAnsi"/>
        </w:rPr>
        <w:t>Appendix B</w:t>
      </w:r>
      <w:r w:rsidR="00486102">
        <w:rPr>
          <w:rFonts w:asciiTheme="minorHAnsi" w:hAnsiTheme="minorHAnsi"/>
        </w:rPr>
        <w:t xml:space="preserve">) </w:t>
      </w:r>
      <w:r w:rsidR="006F3564">
        <w:rPr>
          <w:rFonts w:asciiTheme="minorHAnsi" w:hAnsiTheme="minorHAnsi"/>
        </w:rPr>
        <w:t>while</w:t>
      </w:r>
      <w:r w:rsidR="00802AFE" w:rsidRPr="00AF3A24">
        <w:rPr>
          <w:rFonts w:asciiTheme="minorHAnsi" w:hAnsiTheme="minorHAnsi"/>
        </w:rPr>
        <w:t xml:space="preserve"> </w:t>
      </w:r>
      <w:r w:rsidR="00F025BC">
        <w:rPr>
          <w:rFonts w:asciiTheme="minorHAnsi" w:hAnsiTheme="minorHAnsi"/>
        </w:rPr>
        <w:t>key</w:t>
      </w:r>
      <w:r w:rsidR="002C262B" w:rsidRPr="00D6716A">
        <w:rPr>
          <w:rFonts w:asciiTheme="minorHAnsi" w:hAnsiTheme="minorHAnsi"/>
        </w:rPr>
        <w:t xml:space="preserve"> result</w:t>
      </w:r>
      <w:r w:rsidR="00D6716A">
        <w:rPr>
          <w:rFonts w:asciiTheme="minorHAnsi" w:hAnsiTheme="minorHAnsi"/>
        </w:rPr>
        <w:t>s are</w:t>
      </w:r>
      <w:r w:rsidR="003A39BC" w:rsidRPr="00D6716A">
        <w:rPr>
          <w:rFonts w:asciiTheme="minorHAnsi" w:hAnsiTheme="minorHAnsi"/>
        </w:rPr>
        <w:t xml:space="preserve"> highlighted i</w:t>
      </w:r>
      <w:r w:rsidR="002C262B" w:rsidRPr="00AF3A24">
        <w:rPr>
          <w:rFonts w:asciiTheme="minorHAnsi" w:hAnsiTheme="minorHAnsi"/>
        </w:rPr>
        <w:t>n the following section</w:t>
      </w:r>
      <w:r w:rsidR="003A39BC" w:rsidRPr="00AF3A24">
        <w:rPr>
          <w:rFonts w:asciiTheme="minorHAnsi" w:hAnsiTheme="minorHAnsi"/>
        </w:rPr>
        <w:t>s</w:t>
      </w:r>
      <w:r w:rsidR="002C262B" w:rsidRPr="00AF3A24">
        <w:rPr>
          <w:rFonts w:asciiTheme="minorHAnsi" w:hAnsiTheme="minorHAnsi"/>
        </w:rPr>
        <w:t>.</w:t>
      </w:r>
    </w:p>
    <w:p w14:paraId="63F4669E" w14:textId="77777777" w:rsidR="00E946AF" w:rsidRPr="00666239" w:rsidRDefault="00600F72" w:rsidP="00600F72">
      <w:pPr>
        <w:pStyle w:val="Heading4"/>
      </w:pPr>
      <w:r w:rsidRPr="00666239">
        <w:lastRenderedPageBreak/>
        <w:t xml:space="preserve">By </w:t>
      </w:r>
      <w:r w:rsidR="003C34A8" w:rsidRPr="00666239">
        <w:t>gender</w:t>
      </w:r>
    </w:p>
    <w:p w14:paraId="3211AB44" w14:textId="77777777" w:rsidR="005625F9" w:rsidRPr="00AF3A24" w:rsidRDefault="001B6A16" w:rsidP="00600F72">
      <w:pPr>
        <w:rPr>
          <w:rFonts w:asciiTheme="minorHAnsi" w:hAnsiTheme="minorHAnsi"/>
        </w:rPr>
      </w:pPr>
      <w:r w:rsidRPr="001B6A16">
        <w:rPr>
          <w:rFonts w:asciiTheme="minorHAnsi" w:hAnsiTheme="minorHAnsi"/>
        </w:rPr>
        <w:t xml:space="preserve">As shown in </w:t>
      </w:r>
      <w:r w:rsidR="002333B4">
        <w:rPr>
          <w:rFonts w:asciiTheme="minorHAnsi" w:hAnsiTheme="minorHAnsi"/>
        </w:rPr>
        <w:t>Figure 7</w:t>
      </w:r>
      <w:r>
        <w:rPr>
          <w:rFonts w:asciiTheme="minorHAnsi" w:hAnsiTheme="minorHAnsi"/>
        </w:rPr>
        <w:t>, s</w:t>
      </w:r>
      <w:r w:rsidR="00F76A3E" w:rsidRPr="00AF3A24">
        <w:rPr>
          <w:rFonts w:asciiTheme="minorHAnsi" w:hAnsiTheme="minorHAnsi"/>
        </w:rPr>
        <w:t>ignificant differences were observed between male and female participation for a number of gambling activities (</w:t>
      </w:r>
      <w:r>
        <w:rPr>
          <w:rFonts w:asciiTheme="minorHAnsi" w:hAnsiTheme="minorHAnsi"/>
        </w:rPr>
        <w:t xml:space="preserve">significant </w:t>
      </w:r>
      <w:r w:rsidR="00323251">
        <w:rPr>
          <w:rFonts w:asciiTheme="minorHAnsi" w:hAnsiTheme="minorHAnsi"/>
        </w:rPr>
        <w:t>gender</w:t>
      </w:r>
      <w:r>
        <w:rPr>
          <w:rFonts w:asciiTheme="minorHAnsi" w:hAnsiTheme="minorHAnsi"/>
        </w:rPr>
        <w:t xml:space="preserve"> difference have been </w:t>
      </w:r>
      <w:r w:rsidR="00F76A3E" w:rsidRPr="00AF3A24">
        <w:rPr>
          <w:rFonts w:asciiTheme="minorHAnsi" w:hAnsiTheme="minorHAnsi"/>
        </w:rPr>
        <w:t>denoted by ‘*’ in</w:t>
      </w:r>
      <w:r w:rsidR="002333B4" w:rsidRPr="001B6A16">
        <w:rPr>
          <w:rFonts w:asciiTheme="minorHAnsi" w:hAnsiTheme="minorHAnsi"/>
        </w:rPr>
        <w:t xml:space="preserve"> </w:t>
      </w:r>
      <w:r w:rsidR="002333B4">
        <w:rPr>
          <w:rFonts w:asciiTheme="minorHAnsi" w:hAnsiTheme="minorHAnsi"/>
        </w:rPr>
        <w:t>Figure 7</w:t>
      </w:r>
      <w:r w:rsidR="00F76A3E" w:rsidRPr="00AF3A24">
        <w:rPr>
          <w:rFonts w:asciiTheme="minorHAnsi" w:hAnsiTheme="minorHAnsi"/>
        </w:rPr>
        <w:t xml:space="preserve">). </w:t>
      </w:r>
      <w:r>
        <w:rPr>
          <w:rFonts w:asciiTheme="minorHAnsi" w:hAnsiTheme="minorHAnsi"/>
        </w:rPr>
        <w:t xml:space="preserve"> </w:t>
      </w:r>
      <w:r w:rsidR="00F76A3E" w:rsidRPr="00AF3A24">
        <w:rPr>
          <w:rFonts w:asciiTheme="minorHAnsi" w:hAnsiTheme="minorHAnsi"/>
        </w:rPr>
        <w:t xml:space="preserve">Males were significantly more likely than females to have gambled on the following modes in the last 12 months: </w:t>
      </w:r>
      <w:r w:rsidR="00666239">
        <w:rPr>
          <w:rFonts w:asciiTheme="minorHAnsi" w:hAnsiTheme="minorHAnsi"/>
        </w:rPr>
        <w:t>Lotto (p=</w:t>
      </w:r>
      <w:r w:rsidR="00467C5C" w:rsidRPr="00666239">
        <w:rPr>
          <w:rFonts w:asciiTheme="minorHAnsi" w:hAnsiTheme="minorHAnsi"/>
        </w:rPr>
        <w:t>0</w:t>
      </w:r>
      <w:r w:rsidR="002C262B" w:rsidRPr="00666239">
        <w:rPr>
          <w:rFonts w:asciiTheme="minorHAnsi" w:hAnsiTheme="minorHAnsi"/>
        </w:rPr>
        <w:t>.000</w:t>
      </w:r>
      <w:r w:rsidR="00666239" w:rsidRPr="00666239">
        <w:rPr>
          <w:rFonts w:asciiTheme="minorHAnsi" w:hAnsiTheme="minorHAnsi"/>
        </w:rPr>
        <w:t>5</w:t>
      </w:r>
      <w:r w:rsidR="002C262B" w:rsidRPr="00666239">
        <w:rPr>
          <w:rFonts w:asciiTheme="minorHAnsi" w:hAnsiTheme="minorHAnsi"/>
        </w:rPr>
        <w:t>)</w:t>
      </w:r>
      <w:r w:rsidR="00F76A3E" w:rsidRPr="00666239">
        <w:rPr>
          <w:rFonts w:asciiTheme="minorHAnsi" w:hAnsiTheme="minorHAnsi"/>
        </w:rPr>
        <w:t xml:space="preserve">, track betting </w:t>
      </w:r>
      <w:r w:rsidR="002C262B" w:rsidRPr="00666239">
        <w:rPr>
          <w:rFonts w:asciiTheme="minorHAnsi" w:eastAsia="Calibri" w:hAnsiTheme="minorHAnsi"/>
          <w:szCs w:val="22"/>
        </w:rPr>
        <w:t>(p&lt;</w:t>
      </w:r>
      <w:r w:rsidR="00467C5C" w:rsidRPr="00666239">
        <w:rPr>
          <w:rFonts w:asciiTheme="minorHAnsi" w:eastAsia="Calibri" w:hAnsiTheme="minorHAnsi"/>
          <w:szCs w:val="22"/>
        </w:rPr>
        <w:t>0</w:t>
      </w:r>
      <w:r w:rsidR="002C262B" w:rsidRPr="00666239">
        <w:rPr>
          <w:rFonts w:asciiTheme="minorHAnsi" w:eastAsia="Calibri" w:hAnsiTheme="minorHAnsi"/>
          <w:szCs w:val="22"/>
        </w:rPr>
        <w:t>.0001)</w:t>
      </w:r>
      <w:r w:rsidR="00F76A3E" w:rsidRPr="00666239">
        <w:rPr>
          <w:rFonts w:asciiTheme="minorHAnsi" w:hAnsiTheme="minorHAnsi"/>
        </w:rPr>
        <w:t>, s</w:t>
      </w:r>
      <w:r w:rsidR="002C262B" w:rsidRPr="00666239">
        <w:rPr>
          <w:rFonts w:asciiTheme="minorHAnsi" w:hAnsiTheme="minorHAnsi"/>
        </w:rPr>
        <w:t>ports</w:t>
      </w:r>
      <w:r w:rsidR="00F76A3E" w:rsidRPr="00666239">
        <w:rPr>
          <w:rFonts w:asciiTheme="minorHAnsi" w:hAnsiTheme="minorHAnsi"/>
        </w:rPr>
        <w:t xml:space="preserve"> betting</w:t>
      </w:r>
      <w:r w:rsidR="002C262B" w:rsidRPr="00666239">
        <w:rPr>
          <w:rFonts w:asciiTheme="minorHAnsi" w:hAnsiTheme="minorHAnsi"/>
        </w:rPr>
        <w:t xml:space="preserve"> </w:t>
      </w:r>
      <w:r w:rsidR="002C262B" w:rsidRPr="00666239">
        <w:rPr>
          <w:rFonts w:asciiTheme="minorHAnsi" w:eastAsia="Calibri" w:hAnsiTheme="minorHAnsi"/>
          <w:szCs w:val="22"/>
        </w:rPr>
        <w:t>(p&lt;</w:t>
      </w:r>
      <w:r w:rsidR="00467C5C" w:rsidRPr="00666239">
        <w:rPr>
          <w:rFonts w:asciiTheme="minorHAnsi" w:eastAsia="Calibri" w:hAnsiTheme="minorHAnsi"/>
          <w:szCs w:val="22"/>
        </w:rPr>
        <w:t>0</w:t>
      </w:r>
      <w:r w:rsidR="002C262B" w:rsidRPr="00666239">
        <w:rPr>
          <w:rFonts w:asciiTheme="minorHAnsi" w:eastAsia="Calibri" w:hAnsiTheme="minorHAnsi"/>
          <w:szCs w:val="22"/>
        </w:rPr>
        <w:t>.0001)</w:t>
      </w:r>
      <w:r w:rsidR="00F76A3E" w:rsidRPr="00666239">
        <w:rPr>
          <w:rFonts w:asciiTheme="minorHAnsi" w:hAnsiTheme="minorHAnsi"/>
        </w:rPr>
        <w:t>, c</w:t>
      </w:r>
      <w:r w:rsidR="002C262B" w:rsidRPr="00666239">
        <w:rPr>
          <w:rFonts w:asciiTheme="minorHAnsi" w:hAnsiTheme="minorHAnsi"/>
        </w:rPr>
        <w:t xml:space="preserve">asino tables </w:t>
      </w:r>
      <w:r w:rsidR="002C262B" w:rsidRPr="00666239">
        <w:rPr>
          <w:rFonts w:asciiTheme="minorHAnsi" w:eastAsia="Calibri" w:hAnsiTheme="minorHAnsi"/>
          <w:szCs w:val="22"/>
        </w:rPr>
        <w:t>(p</w:t>
      </w:r>
      <w:r w:rsidR="00467C5C" w:rsidRPr="00666239">
        <w:rPr>
          <w:rFonts w:asciiTheme="minorHAnsi" w:eastAsia="Calibri" w:hAnsiTheme="minorHAnsi"/>
          <w:szCs w:val="22"/>
        </w:rPr>
        <w:t>=0</w:t>
      </w:r>
      <w:r w:rsidR="002C262B" w:rsidRPr="00666239">
        <w:rPr>
          <w:rFonts w:asciiTheme="minorHAnsi" w:eastAsia="Calibri" w:hAnsiTheme="minorHAnsi"/>
          <w:szCs w:val="22"/>
        </w:rPr>
        <w:t>.0001)</w:t>
      </w:r>
      <w:r w:rsidR="00F76A3E" w:rsidRPr="00666239">
        <w:rPr>
          <w:rFonts w:asciiTheme="minorHAnsi" w:hAnsiTheme="minorHAnsi"/>
        </w:rPr>
        <w:t xml:space="preserve"> and ‘other’ </w:t>
      </w:r>
      <w:r w:rsidR="002C262B" w:rsidRPr="00666239">
        <w:rPr>
          <w:rFonts w:asciiTheme="minorHAnsi" w:eastAsia="Calibri" w:hAnsiTheme="minorHAnsi"/>
          <w:szCs w:val="22"/>
        </w:rPr>
        <w:t>(p&lt;</w:t>
      </w:r>
      <w:r w:rsidR="00381ADC" w:rsidRPr="00666239">
        <w:rPr>
          <w:rFonts w:asciiTheme="minorHAnsi" w:eastAsia="Calibri" w:hAnsiTheme="minorHAnsi"/>
          <w:szCs w:val="22"/>
        </w:rPr>
        <w:t>0</w:t>
      </w:r>
      <w:r w:rsidR="002C262B" w:rsidRPr="00666239">
        <w:rPr>
          <w:rFonts w:asciiTheme="minorHAnsi" w:eastAsia="Calibri" w:hAnsiTheme="minorHAnsi"/>
          <w:szCs w:val="22"/>
        </w:rPr>
        <w:t>.0001)</w:t>
      </w:r>
      <w:r w:rsidR="00F76A3E" w:rsidRPr="00666239">
        <w:rPr>
          <w:rFonts w:asciiTheme="minorHAnsi" w:hAnsiTheme="minorHAnsi"/>
        </w:rPr>
        <w:t>.</w:t>
      </w:r>
      <w:r w:rsidR="005057F7">
        <w:rPr>
          <w:rFonts w:asciiTheme="minorHAnsi" w:hAnsiTheme="minorHAnsi"/>
        </w:rPr>
        <w:t xml:space="preserve"> </w:t>
      </w:r>
      <w:r w:rsidR="00F76A3E" w:rsidRPr="00666239">
        <w:rPr>
          <w:rFonts w:asciiTheme="minorHAnsi" w:hAnsiTheme="minorHAnsi"/>
        </w:rPr>
        <w:t xml:space="preserve"> </w:t>
      </w:r>
      <w:r w:rsidR="005625F9" w:rsidRPr="00666239">
        <w:rPr>
          <w:rFonts w:asciiTheme="minorHAnsi" w:hAnsiTheme="minorHAnsi"/>
        </w:rPr>
        <w:t>I</w:t>
      </w:r>
      <w:r w:rsidR="005625F9" w:rsidRPr="00666239">
        <w:rPr>
          <w:rFonts w:asciiTheme="minorHAnsi" w:eastAsia="Calibri" w:hAnsiTheme="minorHAnsi"/>
          <w:szCs w:val="22"/>
        </w:rPr>
        <w:t>nstant kiwi (or other scratch tickets) (p&lt;</w:t>
      </w:r>
      <w:r w:rsidR="00467C5C" w:rsidRPr="00666239">
        <w:rPr>
          <w:rFonts w:asciiTheme="minorHAnsi" w:eastAsia="Calibri" w:hAnsiTheme="minorHAnsi"/>
          <w:szCs w:val="22"/>
        </w:rPr>
        <w:t>0</w:t>
      </w:r>
      <w:r w:rsidR="005625F9" w:rsidRPr="00666239">
        <w:rPr>
          <w:rFonts w:asciiTheme="minorHAnsi" w:eastAsia="Calibri" w:hAnsiTheme="minorHAnsi"/>
          <w:szCs w:val="22"/>
        </w:rPr>
        <w:t>.0001)</w:t>
      </w:r>
      <w:r w:rsidR="005625F9" w:rsidRPr="00666239">
        <w:rPr>
          <w:rFonts w:asciiTheme="minorHAnsi" w:hAnsiTheme="minorHAnsi"/>
        </w:rPr>
        <w:t xml:space="preserve"> and housie </w:t>
      </w:r>
      <w:r w:rsidR="005625F9" w:rsidRPr="00666239">
        <w:rPr>
          <w:rFonts w:asciiTheme="minorHAnsi" w:eastAsia="Calibri" w:hAnsiTheme="minorHAnsi"/>
          <w:szCs w:val="22"/>
        </w:rPr>
        <w:t>(p</w:t>
      </w:r>
      <w:r w:rsidR="00467C5C" w:rsidRPr="00666239">
        <w:rPr>
          <w:rFonts w:asciiTheme="minorHAnsi" w:eastAsia="Calibri" w:hAnsiTheme="minorHAnsi"/>
          <w:szCs w:val="22"/>
        </w:rPr>
        <w:t>=0</w:t>
      </w:r>
      <w:r w:rsidR="005625F9" w:rsidRPr="00666239">
        <w:rPr>
          <w:rFonts w:asciiTheme="minorHAnsi" w:eastAsia="Calibri" w:hAnsiTheme="minorHAnsi"/>
          <w:szCs w:val="22"/>
        </w:rPr>
        <w:t>.00</w:t>
      </w:r>
      <w:r w:rsidR="00666239" w:rsidRPr="00666239">
        <w:rPr>
          <w:rFonts w:asciiTheme="minorHAnsi" w:eastAsia="Calibri" w:hAnsiTheme="minorHAnsi"/>
          <w:szCs w:val="22"/>
        </w:rPr>
        <w:t>9</w:t>
      </w:r>
      <w:r w:rsidR="005625F9" w:rsidRPr="00666239">
        <w:rPr>
          <w:rFonts w:asciiTheme="minorHAnsi" w:hAnsiTheme="minorHAnsi"/>
        </w:rPr>
        <w:t>)</w:t>
      </w:r>
      <w:r w:rsidR="005625F9" w:rsidRPr="00AF3A24">
        <w:rPr>
          <w:rFonts w:asciiTheme="minorHAnsi" w:hAnsiTheme="minorHAnsi"/>
        </w:rPr>
        <w:t xml:space="preserve"> were significantly more popular amongst female</w:t>
      </w:r>
      <w:r w:rsidR="005057F7">
        <w:rPr>
          <w:rFonts w:asciiTheme="minorHAnsi" w:hAnsiTheme="minorHAnsi"/>
        </w:rPr>
        <w:t>s</w:t>
      </w:r>
      <w:r w:rsidR="005625F9" w:rsidRPr="00AF3A24">
        <w:rPr>
          <w:rFonts w:asciiTheme="minorHAnsi" w:hAnsiTheme="minorHAnsi"/>
        </w:rPr>
        <w:t xml:space="preserve"> than males. </w:t>
      </w:r>
      <w:r w:rsidR="00D16254">
        <w:rPr>
          <w:rFonts w:asciiTheme="minorHAnsi" w:hAnsiTheme="minorHAnsi"/>
        </w:rPr>
        <w:t xml:space="preserve"> See </w:t>
      </w:r>
      <w:r w:rsidR="002333B4">
        <w:rPr>
          <w:rFonts w:asciiTheme="minorHAnsi" w:hAnsiTheme="minorHAnsi"/>
        </w:rPr>
        <w:t>Table 19</w:t>
      </w:r>
      <w:r w:rsidR="00D16254">
        <w:rPr>
          <w:rFonts w:asciiTheme="minorHAnsi" w:hAnsiTheme="minorHAnsi"/>
        </w:rPr>
        <w:t xml:space="preserve"> </w:t>
      </w:r>
      <w:r w:rsidR="00D16254" w:rsidRPr="00AF3A24">
        <w:rPr>
          <w:rFonts w:asciiTheme="minorHAnsi" w:hAnsiTheme="minorHAnsi"/>
        </w:rPr>
        <w:t>(</w:t>
      </w:r>
      <w:r w:rsidR="002333B4">
        <w:rPr>
          <w:rFonts w:asciiTheme="minorHAnsi" w:hAnsiTheme="minorHAnsi"/>
        </w:rPr>
        <w:t>Appendix B</w:t>
      </w:r>
      <w:r w:rsidR="00D16254">
        <w:rPr>
          <w:rFonts w:asciiTheme="minorHAnsi" w:hAnsiTheme="minorHAnsi"/>
        </w:rPr>
        <w:t xml:space="preserve">) for further details. </w:t>
      </w:r>
    </w:p>
    <w:p w14:paraId="6AE430CF" w14:textId="77777777" w:rsidR="009349FF" w:rsidRPr="00AF3A24" w:rsidRDefault="009349FF" w:rsidP="009349FF">
      <w:pPr>
        <w:pStyle w:val="Caption"/>
        <w:keepNext/>
        <w:spacing w:after="0" w:line="276" w:lineRule="auto"/>
        <w:ind w:left="993" w:hanging="993"/>
        <w:rPr>
          <w:rFonts w:asciiTheme="minorHAnsi" w:hAnsiTheme="minorHAnsi" w:cstheme="minorHAnsi"/>
          <w:i/>
        </w:rPr>
      </w:pPr>
      <w:bookmarkStart w:id="49" w:name="_Ref395620010"/>
      <w:bookmarkStart w:id="50" w:name="_Toc425426980"/>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7</w:t>
      </w:r>
      <w:r w:rsidRPr="00AF3A24">
        <w:rPr>
          <w:rFonts w:asciiTheme="minorHAnsi" w:hAnsiTheme="minorHAnsi" w:cstheme="minorHAnsi"/>
          <w:i/>
          <w:noProof/>
        </w:rPr>
        <w:fldChar w:fldCharType="end"/>
      </w:r>
      <w:bookmarkEnd w:id="49"/>
      <w:r w:rsidRPr="00AF3A24">
        <w:rPr>
          <w:rFonts w:asciiTheme="minorHAnsi" w:hAnsiTheme="minorHAnsi" w:cstheme="minorHAnsi"/>
          <w:i/>
        </w:rPr>
        <w:t xml:space="preserve">: </w:t>
      </w:r>
      <w:r w:rsidRPr="00AF3A24">
        <w:rPr>
          <w:rFonts w:asciiTheme="minorHAnsi" w:hAnsiTheme="minorHAnsi" w:cstheme="minorHAnsi"/>
          <w:i/>
        </w:rPr>
        <w:tab/>
        <w:t>Gambling activities in the last 12 months, by gender,</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Pr="00AF3A24">
        <w:rPr>
          <w:rFonts w:asciiTheme="minorHAnsi" w:hAnsiTheme="minorHAnsi" w:cstheme="minorHAnsi"/>
          <w:i/>
          <w:vertAlign w:val="superscript"/>
        </w:rPr>
        <w:t>1</w:t>
      </w:r>
      <w:bookmarkEnd w:id="50"/>
    </w:p>
    <w:p w14:paraId="4F315E9F" w14:textId="77777777" w:rsidR="009349FF" w:rsidRPr="00AF3A24" w:rsidRDefault="009349FF" w:rsidP="009349FF">
      <w:pPr>
        <w:spacing w:line="240" w:lineRule="auto"/>
        <w:jc w:val="center"/>
        <w:rPr>
          <w:rFonts w:asciiTheme="minorHAnsi" w:hAnsiTheme="minorHAnsi"/>
        </w:rPr>
      </w:pPr>
      <w:r w:rsidRPr="00AF3A24">
        <w:rPr>
          <w:rFonts w:asciiTheme="minorHAnsi" w:hAnsiTheme="minorHAnsi"/>
          <w:noProof/>
          <w:lang w:eastAsia="en-NZ"/>
        </w:rPr>
        <w:drawing>
          <wp:inline distT="0" distB="0" distL="0" distR="0" wp14:anchorId="33DC8D80" wp14:editId="2F2D2B9C">
            <wp:extent cx="5943600" cy="3696335"/>
            <wp:effectExtent l="0" t="0" r="19050" b="1841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07E97B" w14:textId="77777777" w:rsidR="009349FF" w:rsidRPr="0045616C" w:rsidRDefault="009349FF" w:rsidP="009349FF">
      <w:pPr>
        <w:spacing w:before="0" w:line="240" w:lineRule="auto"/>
        <w:ind w:left="709"/>
        <w:rPr>
          <w:rFonts w:asciiTheme="minorHAnsi" w:hAnsiTheme="minorHAnsi" w:cstheme="minorHAnsi"/>
          <w:sz w:val="16"/>
        </w:rPr>
      </w:pPr>
      <w:r w:rsidRPr="0045616C">
        <w:rPr>
          <w:rFonts w:asciiTheme="minorHAnsi" w:hAnsiTheme="minorHAnsi" w:cstheme="minorHAnsi"/>
          <w:sz w:val="16"/>
        </w:rPr>
        <w:t xml:space="preserve">Notes: </w:t>
      </w:r>
    </w:p>
    <w:p w14:paraId="2E94E6DB" w14:textId="77777777" w:rsidR="009349FF" w:rsidRPr="0045616C" w:rsidRDefault="009349FF" w:rsidP="006A0B0E">
      <w:pPr>
        <w:pStyle w:val="ListParagraph"/>
        <w:numPr>
          <w:ilvl w:val="0"/>
          <w:numId w:val="33"/>
        </w:numPr>
        <w:spacing w:line="240" w:lineRule="auto"/>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09392B" w:rsidRPr="00F11F34">
        <w:rPr>
          <w:rFonts w:asciiTheme="minorHAnsi" w:hAnsiTheme="minorHAnsi" w:cstheme="minorHAnsi"/>
          <w:sz w:val="14"/>
        </w:rPr>
        <w:t xml:space="preserve"> </w:t>
      </w:r>
      <w:r w:rsidR="0009392B" w:rsidRPr="00F11F34">
        <w:rPr>
          <w:rFonts w:asciiTheme="minorHAnsi" w:hAnsiTheme="minorHAnsi" w:cstheme="minorHAnsi"/>
          <w:sz w:val="16"/>
        </w:rPr>
        <w:t>Error bars are indicative of 95% confidence intervals.</w:t>
      </w:r>
    </w:p>
    <w:p w14:paraId="21692ADD" w14:textId="77777777" w:rsidR="003004C8" w:rsidRPr="00AF3A24" w:rsidRDefault="003004C8" w:rsidP="003004C8">
      <w:pPr>
        <w:spacing w:line="240" w:lineRule="auto"/>
        <w:rPr>
          <w:rFonts w:asciiTheme="minorHAnsi" w:hAnsiTheme="minorHAnsi" w:cstheme="minorHAnsi"/>
          <w:sz w:val="18"/>
        </w:rPr>
      </w:pPr>
    </w:p>
    <w:p w14:paraId="5A9E28D0" w14:textId="77777777" w:rsidR="00600F72" w:rsidRPr="00201509" w:rsidRDefault="00600F72" w:rsidP="00600F72">
      <w:pPr>
        <w:pStyle w:val="Heading4"/>
      </w:pPr>
      <w:r w:rsidRPr="00201509">
        <w:t>By age-group</w:t>
      </w:r>
    </w:p>
    <w:p w14:paraId="0090AD2D" w14:textId="77777777" w:rsidR="00AE3002" w:rsidRPr="00AF3A24" w:rsidRDefault="007C3EC7" w:rsidP="00AE3002">
      <w:pPr>
        <w:rPr>
          <w:rFonts w:asciiTheme="minorHAnsi" w:hAnsiTheme="minorHAnsi"/>
        </w:rPr>
      </w:pPr>
      <w:r w:rsidRPr="000604DD">
        <w:rPr>
          <w:rFonts w:asciiTheme="minorHAnsi" w:hAnsiTheme="minorHAnsi"/>
        </w:rPr>
        <w:t xml:space="preserve">As </w:t>
      </w:r>
      <w:r w:rsidR="00DB48C9">
        <w:rPr>
          <w:rFonts w:asciiTheme="minorHAnsi" w:hAnsiTheme="minorHAnsi"/>
        </w:rPr>
        <w:t>shown</w:t>
      </w:r>
      <w:r w:rsidRPr="000604DD">
        <w:rPr>
          <w:rFonts w:asciiTheme="minorHAnsi" w:hAnsiTheme="minorHAnsi"/>
        </w:rPr>
        <w:t xml:space="preserve"> earlier in </w:t>
      </w:r>
      <w:r w:rsidR="002333B4">
        <w:rPr>
          <w:rFonts w:asciiTheme="minorHAnsi" w:hAnsiTheme="minorHAnsi"/>
        </w:rPr>
        <w:t>Figure 6</w:t>
      </w:r>
      <w:r w:rsidRPr="000604DD">
        <w:rPr>
          <w:rFonts w:asciiTheme="minorHAnsi" w:hAnsiTheme="minorHAnsi"/>
        </w:rPr>
        <w:t>, there was a significant interaction between past</w:t>
      </w:r>
      <w:r w:rsidR="00930704" w:rsidRPr="000604DD">
        <w:rPr>
          <w:rFonts w:asciiTheme="minorHAnsi" w:hAnsiTheme="minorHAnsi"/>
        </w:rPr>
        <w:t>-</w:t>
      </w:r>
      <w:r w:rsidRPr="000604DD">
        <w:rPr>
          <w:rFonts w:asciiTheme="minorHAnsi" w:hAnsiTheme="minorHAnsi"/>
        </w:rPr>
        <w:t xml:space="preserve">year gambling </w:t>
      </w:r>
      <w:r w:rsidR="00930704" w:rsidRPr="000604DD">
        <w:rPr>
          <w:rFonts w:asciiTheme="minorHAnsi" w:hAnsiTheme="minorHAnsi"/>
        </w:rPr>
        <w:t>status (i.e.</w:t>
      </w:r>
      <w:r w:rsidR="00930704">
        <w:rPr>
          <w:rFonts w:asciiTheme="minorHAnsi" w:hAnsiTheme="minorHAnsi"/>
        </w:rPr>
        <w:t xml:space="preserve"> gambler </w:t>
      </w:r>
      <w:r w:rsidR="00AE3002">
        <w:rPr>
          <w:rFonts w:asciiTheme="minorHAnsi" w:hAnsiTheme="minorHAnsi"/>
        </w:rPr>
        <w:t>/</w:t>
      </w:r>
      <w:r w:rsidR="00930704">
        <w:rPr>
          <w:rFonts w:asciiTheme="minorHAnsi" w:hAnsiTheme="minorHAnsi"/>
        </w:rPr>
        <w:t xml:space="preserve"> non-gambler) </w:t>
      </w:r>
      <w:r w:rsidRPr="00AF3A24">
        <w:rPr>
          <w:rFonts w:asciiTheme="minorHAnsi" w:hAnsiTheme="minorHAnsi"/>
        </w:rPr>
        <w:t>and age</w:t>
      </w:r>
      <w:r w:rsidR="00930704">
        <w:rPr>
          <w:rFonts w:asciiTheme="minorHAnsi" w:hAnsiTheme="minorHAnsi"/>
        </w:rPr>
        <w:t xml:space="preserve">-group. </w:t>
      </w:r>
      <w:r w:rsidR="00AE3002">
        <w:rPr>
          <w:rFonts w:asciiTheme="minorHAnsi" w:hAnsiTheme="minorHAnsi"/>
        </w:rPr>
        <w:t xml:space="preserve"> </w:t>
      </w:r>
      <w:r w:rsidR="000B77D6">
        <w:rPr>
          <w:rFonts w:asciiTheme="minorHAnsi" w:hAnsiTheme="minorHAnsi"/>
        </w:rPr>
        <w:t xml:space="preserve">The association between age-group was investigated in relation to individual </w:t>
      </w:r>
      <w:r w:rsidR="000B77D6">
        <w:rPr>
          <w:rFonts w:asciiTheme="minorHAnsi" w:hAnsiTheme="minorHAnsi"/>
        </w:rPr>
        <w:lastRenderedPageBreak/>
        <w:t xml:space="preserve">gambling </w:t>
      </w:r>
      <w:r w:rsidR="000B77D6" w:rsidRPr="00666239">
        <w:rPr>
          <w:rFonts w:asciiTheme="minorHAnsi" w:hAnsiTheme="minorHAnsi"/>
        </w:rPr>
        <w:t>activities, with significant interactions being observed for the following modes of gambling</w:t>
      </w:r>
      <w:r w:rsidR="00AE3002" w:rsidRPr="00666239">
        <w:rPr>
          <w:rFonts w:asciiTheme="minorHAnsi" w:hAnsiTheme="minorHAnsi"/>
        </w:rPr>
        <w:t>: Lotto only (</w:t>
      </w:r>
      <w:r w:rsidR="00381ADC" w:rsidRPr="00666239">
        <w:rPr>
          <w:rFonts w:asciiTheme="minorHAnsi" w:hAnsiTheme="minorHAnsi"/>
        </w:rPr>
        <w:t>p</w:t>
      </w:r>
      <w:r w:rsidR="00AE3002" w:rsidRPr="00666239">
        <w:rPr>
          <w:rFonts w:asciiTheme="minorHAnsi" w:hAnsiTheme="minorHAnsi"/>
        </w:rPr>
        <w:t>&lt;0.0001); any non-Lotto (</w:t>
      </w:r>
      <w:r w:rsidR="00381ADC" w:rsidRPr="00666239">
        <w:rPr>
          <w:rFonts w:asciiTheme="minorHAnsi" w:hAnsiTheme="minorHAnsi"/>
        </w:rPr>
        <w:t>p</w:t>
      </w:r>
      <w:r w:rsidR="00AE3002" w:rsidRPr="00666239">
        <w:rPr>
          <w:rFonts w:asciiTheme="minorHAnsi" w:hAnsiTheme="minorHAnsi"/>
        </w:rPr>
        <w:t>&lt;0.0001); any EGM (</w:t>
      </w:r>
      <w:r w:rsidR="00381ADC" w:rsidRPr="00666239">
        <w:rPr>
          <w:rFonts w:asciiTheme="minorHAnsi" w:hAnsiTheme="minorHAnsi"/>
        </w:rPr>
        <w:t>p=</w:t>
      </w:r>
      <w:r w:rsidR="00AE3002" w:rsidRPr="00666239">
        <w:rPr>
          <w:rFonts w:asciiTheme="minorHAnsi" w:hAnsiTheme="minorHAnsi"/>
        </w:rPr>
        <w:t>0.00</w:t>
      </w:r>
      <w:r w:rsidR="00666239" w:rsidRPr="00666239">
        <w:rPr>
          <w:rFonts w:asciiTheme="minorHAnsi" w:hAnsiTheme="minorHAnsi"/>
        </w:rPr>
        <w:t>0</w:t>
      </w:r>
      <w:r w:rsidR="00AE3002" w:rsidRPr="00666239">
        <w:rPr>
          <w:rFonts w:asciiTheme="minorHAnsi" w:hAnsiTheme="minorHAnsi"/>
        </w:rPr>
        <w:t>1); any casino</w:t>
      </w:r>
      <w:r w:rsidR="00DB48C9" w:rsidRPr="00666239">
        <w:rPr>
          <w:rFonts w:asciiTheme="minorHAnsi" w:hAnsiTheme="minorHAnsi"/>
        </w:rPr>
        <w:t xml:space="preserve"> activity</w:t>
      </w:r>
      <w:r w:rsidR="00AE3002" w:rsidRPr="00666239">
        <w:rPr>
          <w:rFonts w:asciiTheme="minorHAnsi" w:hAnsiTheme="minorHAnsi"/>
        </w:rPr>
        <w:t xml:space="preserve"> (</w:t>
      </w:r>
      <w:r w:rsidR="00381ADC" w:rsidRPr="00666239">
        <w:rPr>
          <w:rFonts w:asciiTheme="minorHAnsi" w:hAnsiTheme="minorHAnsi"/>
        </w:rPr>
        <w:t>p</w:t>
      </w:r>
      <w:r w:rsidR="00AE3002" w:rsidRPr="00666239">
        <w:rPr>
          <w:rFonts w:asciiTheme="minorHAnsi" w:hAnsiTheme="minorHAnsi"/>
        </w:rPr>
        <w:t>&lt;0.0001); Lotto (</w:t>
      </w:r>
      <w:r w:rsidR="00381ADC" w:rsidRPr="00666239">
        <w:rPr>
          <w:rFonts w:asciiTheme="minorHAnsi" w:hAnsiTheme="minorHAnsi"/>
        </w:rPr>
        <w:t>p</w:t>
      </w:r>
      <w:r w:rsidR="00AE3002" w:rsidRPr="00666239">
        <w:rPr>
          <w:rFonts w:asciiTheme="minorHAnsi" w:hAnsiTheme="minorHAnsi"/>
        </w:rPr>
        <w:t>&lt;0.0001); Instant Kiwi (</w:t>
      </w:r>
      <w:r w:rsidR="00381ADC" w:rsidRPr="00666239">
        <w:rPr>
          <w:rFonts w:asciiTheme="minorHAnsi" w:hAnsiTheme="minorHAnsi"/>
        </w:rPr>
        <w:t>p</w:t>
      </w:r>
      <w:r w:rsidR="00AE3002" w:rsidRPr="00666239">
        <w:rPr>
          <w:rFonts w:asciiTheme="minorHAnsi" w:hAnsiTheme="minorHAnsi"/>
        </w:rPr>
        <w:t xml:space="preserve">&lt;0.0001); </w:t>
      </w:r>
      <w:r w:rsidR="00666239" w:rsidRPr="00666239">
        <w:rPr>
          <w:rFonts w:asciiTheme="minorHAnsi" w:hAnsiTheme="minorHAnsi"/>
        </w:rPr>
        <w:t xml:space="preserve">non-casino EGMs (p=0.002), casino EGMs (p=0.0079), </w:t>
      </w:r>
      <w:r w:rsidR="00AE3002" w:rsidRPr="00666239">
        <w:rPr>
          <w:rFonts w:asciiTheme="minorHAnsi" w:hAnsiTheme="minorHAnsi"/>
        </w:rPr>
        <w:t>track betting (</w:t>
      </w:r>
      <w:r w:rsidR="00381ADC" w:rsidRPr="00666239">
        <w:rPr>
          <w:rFonts w:asciiTheme="minorHAnsi" w:hAnsiTheme="minorHAnsi"/>
        </w:rPr>
        <w:t>p</w:t>
      </w:r>
      <w:r w:rsidR="00666239" w:rsidRPr="00666239">
        <w:rPr>
          <w:rFonts w:asciiTheme="minorHAnsi" w:hAnsiTheme="minorHAnsi"/>
        </w:rPr>
        <w:t>&lt;</w:t>
      </w:r>
      <w:r w:rsidR="00AE3002" w:rsidRPr="00666239">
        <w:rPr>
          <w:rFonts w:asciiTheme="minorHAnsi" w:hAnsiTheme="minorHAnsi"/>
        </w:rPr>
        <w:t>0.000</w:t>
      </w:r>
      <w:r w:rsidR="00666239" w:rsidRPr="00666239">
        <w:rPr>
          <w:rFonts w:asciiTheme="minorHAnsi" w:hAnsiTheme="minorHAnsi"/>
        </w:rPr>
        <w:t>1</w:t>
      </w:r>
      <w:r w:rsidR="00AE3002" w:rsidRPr="00666239">
        <w:rPr>
          <w:rFonts w:asciiTheme="minorHAnsi" w:hAnsiTheme="minorHAnsi"/>
        </w:rPr>
        <w:t>); sports betting  (</w:t>
      </w:r>
      <w:r w:rsidR="00381ADC" w:rsidRPr="00666239">
        <w:rPr>
          <w:rFonts w:asciiTheme="minorHAnsi" w:hAnsiTheme="minorHAnsi"/>
        </w:rPr>
        <w:t>p</w:t>
      </w:r>
      <w:r w:rsidR="00AE3002" w:rsidRPr="00666239">
        <w:rPr>
          <w:rFonts w:asciiTheme="minorHAnsi" w:hAnsiTheme="minorHAnsi"/>
        </w:rPr>
        <w:t>&lt;0.0001); and, casino tables  (</w:t>
      </w:r>
      <w:r w:rsidR="00381ADC" w:rsidRPr="00666239">
        <w:rPr>
          <w:rFonts w:asciiTheme="minorHAnsi" w:hAnsiTheme="minorHAnsi"/>
        </w:rPr>
        <w:t>p</w:t>
      </w:r>
      <w:r w:rsidR="00AE3002" w:rsidRPr="00666239">
        <w:rPr>
          <w:rFonts w:asciiTheme="minorHAnsi" w:hAnsiTheme="minorHAnsi"/>
        </w:rPr>
        <w:t>&lt;0.0001).</w:t>
      </w:r>
    </w:p>
    <w:p w14:paraId="49504341" w14:textId="4AA17768" w:rsidR="00D16254" w:rsidRPr="00AF3A24" w:rsidRDefault="00323251" w:rsidP="00D16254">
      <w:pPr>
        <w:rPr>
          <w:rFonts w:asciiTheme="minorHAnsi" w:hAnsiTheme="minorHAnsi"/>
        </w:rPr>
      </w:pPr>
      <w:r>
        <w:rPr>
          <w:rFonts w:asciiTheme="minorHAnsi" w:hAnsiTheme="minorHAnsi"/>
        </w:rPr>
        <w:t xml:space="preserve">A few trends were observed in relation to age-group and gambling activities, however, they should be treated with caution as the differences were not always large and/or some of the confidence intervals overlapped. </w:t>
      </w:r>
      <w:r w:rsidR="00DB48C9">
        <w:rPr>
          <w:rFonts w:asciiTheme="minorHAnsi" w:hAnsiTheme="minorHAnsi"/>
        </w:rPr>
        <w:t xml:space="preserve">Participation </w:t>
      </w:r>
      <w:r w:rsidR="0030101D">
        <w:rPr>
          <w:rFonts w:asciiTheme="minorHAnsi" w:hAnsiTheme="minorHAnsi"/>
        </w:rPr>
        <w:t xml:space="preserve">in </w:t>
      </w:r>
      <w:r w:rsidR="00C175F2">
        <w:rPr>
          <w:rFonts w:asciiTheme="minorHAnsi" w:hAnsiTheme="minorHAnsi"/>
        </w:rPr>
        <w:t xml:space="preserve">the following </w:t>
      </w:r>
      <w:r w:rsidR="00DB48C9">
        <w:rPr>
          <w:rFonts w:asciiTheme="minorHAnsi" w:hAnsiTheme="minorHAnsi"/>
        </w:rPr>
        <w:t>activities peaked with adults aged 25-34: a</w:t>
      </w:r>
      <w:r w:rsidR="00DB48C9" w:rsidRPr="00AF3A24">
        <w:rPr>
          <w:rFonts w:asciiTheme="minorHAnsi" w:hAnsiTheme="minorHAnsi"/>
        </w:rPr>
        <w:t>ny non-Lotto</w:t>
      </w:r>
      <w:r w:rsidR="00DB48C9">
        <w:rPr>
          <w:rFonts w:asciiTheme="minorHAnsi" w:hAnsiTheme="minorHAnsi"/>
        </w:rPr>
        <w:t>, a</w:t>
      </w:r>
      <w:r w:rsidR="00DB48C9" w:rsidRPr="00AF3A24">
        <w:rPr>
          <w:rFonts w:asciiTheme="minorHAnsi" w:hAnsiTheme="minorHAnsi"/>
        </w:rPr>
        <w:t>ny EGM</w:t>
      </w:r>
      <w:r w:rsidR="00DB48C9">
        <w:rPr>
          <w:rFonts w:asciiTheme="minorHAnsi" w:hAnsiTheme="minorHAnsi"/>
        </w:rPr>
        <w:t>, a</w:t>
      </w:r>
      <w:r w:rsidR="00DB48C9" w:rsidRPr="00AF3A24">
        <w:rPr>
          <w:rFonts w:asciiTheme="minorHAnsi" w:hAnsiTheme="minorHAnsi"/>
        </w:rPr>
        <w:t xml:space="preserve">ny </w:t>
      </w:r>
      <w:r w:rsidR="00DB48C9" w:rsidRPr="0030101D">
        <w:rPr>
          <w:rFonts w:asciiTheme="minorHAnsi" w:hAnsiTheme="minorHAnsi"/>
        </w:rPr>
        <w:t>casino activity</w:t>
      </w:r>
      <w:r w:rsidR="0030101D" w:rsidRPr="0030101D">
        <w:rPr>
          <w:rFonts w:asciiTheme="minorHAnsi" w:hAnsiTheme="minorHAnsi"/>
        </w:rPr>
        <w:t xml:space="preserve"> (</w:t>
      </w:r>
      <w:r w:rsidR="00483B93">
        <w:rPr>
          <w:rFonts w:asciiTheme="minorHAnsi" w:hAnsiTheme="minorHAnsi"/>
        </w:rPr>
        <w:t>Figure 8</w:t>
      </w:r>
      <w:r w:rsidR="0030101D" w:rsidRPr="0030101D">
        <w:rPr>
          <w:rFonts w:asciiTheme="minorHAnsi" w:hAnsiTheme="minorHAnsi"/>
        </w:rPr>
        <w:t>)</w:t>
      </w:r>
      <w:r w:rsidR="00DB48C9">
        <w:rPr>
          <w:rFonts w:asciiTheme="minorHAnsi" w:hAnsiTheme="minorHAnsi"/>
        </w:rPr>
        <w:t xml:space="preserve">, </w:t>
      </w:r>
      <w:r w:rsidR="00DB48C9" w:rsidRPr="00AF3A24">
        <w:rPr>
          <w:rFonts w:asciiTheme="minorHAnsi" w:hAnsiTheme="minorHAnsi"/>
        </w:rPr>
        <w:t>I</w:t>
      </w:r>
      <w:r w:rsidR="00DB48C9" w:rsidRPr="0030101D">
        <w:rPr>
          <w:rFonts w:asciiTheme="minorHAnsi" w:hAnsiTheme="minorHAnsi"/>
        </w:rPr>
        <w:t>nstant Kiw</w:t>
      </w:r>
      <w:r w:rsidR="00DB48C9" w:rsidRPr="00AF3A24">
        <w:rPr>
          <w:rFonts w:asciiTheme="minorHAnsi" w:hAnsiTheme="minorHAnsi"/>
        </w:rPr>
        <w:t>i</w:t>
      </w:r>
      <w:r w:rsidR="0030101D">
        <w:rPr>
          <w:rFonts w:asciiTheme="minorHAnsi" w:hAnsiTheme="minorHAnsi"/>
        </w:rPr>
        <w:t xml:space="preserve"> (</w:t>
      </w:r>
      <w:r w:rsidR="00A77897">
        <w:rPr>
          <w:rFonts w:asciiTheme="minorHAnsi" w:hAnsiTheme="minorHAnsi"/>
        </w:rPr>
        <w:t xml:space="preserve">for males but not females - see </w:t>
      </w:r>
      <w:r w:rsidR="002333B4">
        <w:rPr>
          <w:rFonts w:asciiTheme="minorHAnsi" w:hAnsiTheme="minorHAnsi"/>
        </w:rPr>
        <w:t>Figure 9</w:t>
      </w:r>
      <w:r w:rsidR="0030101D">
        <w:rPr>
          <w:rFonts w:asciiTheme="minorHAnsi" w:hAnsiTheme="minorHAnsi"/>
        </w:rPr>
        <w:t>)</w:t>
      </w:r>
      <w:r w:rsidR="00DB48C9">
        <w:rPr>
          <w:rFonts w:asciiTheme="minorHAnsi" w:hAnsiTheme="minorHAnsi"/>
        </w:rPr>
        <w:t>, s</w:t>
      </w:r>
      <w:r w:rsidR="00DB48C9" w:rsidRPr="00AF3A24">
        <w:rPr>
          <w:rFonts w:asciiTheme="minorHAnsi" w:hAnsiTheme="minorHAnsi"/>
        </w:rPr>
        <w:t>ports</w:t>
      </w:r>
      <w:r w:rsidR="00DB48C9">
        <w:rPr>
          <w:rFonts w:asciiTheme="minorHAnsi" w:hAnsiTheme="minorHAnsi"/>
        </w:rPr>
        <w:t xml:space="preserve"> betting and casino t</w:t>
      </w:r>
      <w:r w:rsidR="00DB48C9" w:rsidRPr="00AF3A24">
        <w:rPr>
          <w:rFonts w:asciiTheme="minorHAnsi" w:hAnsiTheme="minorHAnsi"/>
        </w:rPr>
        <w:t>ables</w:t>
      </w:r>
      <w:r w:rsidR="00DB48C9">
        <w:rPr>
          <w:rFonts w:asciiTheme="minorHAnsi" w:hAnsiTheme="minorHAnsi"/>
        </w:rPr>
        <w:t xml:space="preserve">.  </w:t>
      </w:r>
      <w:r w:rsidR="0030101D">
        <w:rPr>
          <w:rFonts w:asciiTheme="minorHAnsi" w:hAnsiTheme="minorHAnsi"/>
        </w:rPr>
        <w:t xml:space="preserve">Three activities were particularly popular with those aged 45-54: </w:t>
      </w:r>
      <w:r w:rsidR="00DB48C9">
        <w:rPr>
          <w:rFonts w:asciiTheme="minorHAnsi" w:hAnsiTheme="minorHAnsi"/>
        </w:rPr>
        <w:t>Lotto only</w:t>
      </w:r>
      <w:r w:rsidR="0030101D">
        <w:rPr>
          <w:rFonts w:asciiTheme="minorHAnsi" w:hAnsiTheme="minorHAnsi"/>
        </w:rPr>
        <w:t>;</w:t>
      </w:r>
      <w:r w:rsidR="00DB48C9">
        <w:rPr>
          <w:rFonts w:asciiTheme="minorHAnsi" w:hAnsiTheme="minorHAnsi"/>
        </w:rPr>
        <w:t xml:space="preserve"> </w:t>
      </w:r>
      <w:r w:rsidR="00DB48C9" w:rsidRPr="0030101D">
        <w:rPr>
          <w:rFonts w:asciiTheme="minorHAnsi" w:hAnsiTheme="minorHAnsi"/>
        </w:rPr>
        <w:t>Lotto</w:t>
      </w:r>
      <w:r w:rsidR="00DB48C9">
        <w:rPr>
          <w:rFonts w:asciiTheme="minorHAnsi" w:hAnsiTheme="minorHAnsi"/>
        </w:rPr>
        <w:t xml:space="preserve"> </w:t>
      </w:r>
      <w:r w:rsidR="0030101D">
        <w:rPr>
          <w:rFonts w:asciiTheme="minorHAnsi" w:hAnsiTheme="minorHAnsi"/>
        </w:rPr>
        <w:t>(</w:t>
      </w:r>
      <w:r w:rsidR="002333B4">
        <w:rPr>
          <w:rFonts w:asciiTheme="minorHAnsi" w:hAnsiTheme="minorHAnsi"/>
        </w:rPr>
        <w:t>Figure 10</w:t>
      </w:r>
      <w:r w:rsidR="0030101D">
        <w:rPr>
          <w:rFonts w:asciiTheme="minorHAnsi" w:hAnsiTheme="minorHAnsi"/>
        </w:rPr>
        <w:t xml:space="preserve">); </w:t>
      </w:r>
      <w:r w:rsidR="00DB48C9">
        <w:rPr>
          <w:rFonts w:asciiTheme="minorHAnsi" w:hAnsiTheme="minorHAnsi"/>
        </w:rPr>
        <w:t>and</w:t>
      </w:r>
      <w:r w:rsidR="0030101D">
        <w:rPr>
          <w:rFonts w:asciiTheme="minorHAnsi" w:hAnsiTheme="minorHAnsi"/>
        </w:rPr>
        <w:t>,</w:t>
      </w:r>
      <w:r w:rsidR="00DB48C9">
        <w:rPr>
          <w:rFonts w:asciiTheme="minorHAnsi" w:hAnsiTheme="minorHAnsi"/>
        </w:rPr>
        <w:t xml:space="preserve"> track betting</w:t>
      </w:r>
      <w:r w:rsidR="0030101D">
        <w:rPr>
          <w:rFonts w:asciiTheme="minorHAnsi" w:hAnsiTheme="minorHAnsi"/>
        </w:rPr>
        <w:t>.</w:t>
      </w:r>
      <w:r w:rsidR="00DB48C9">
        <w:rPr>
          <w:rFonts w:asciiTheme="minorHAnsi" w:hAnsiTheme="minorHAnsi"/>
        </w:rPr>
        <w:t xml:space="preserve"> </w:t>
      </w:r>
      <w:r w:rsidR="0030101D">
        <w:rPr>
          <w:rFonts w:asciiTheme="minorHAnsi" w:hAnsiTheme="minorHAnsi"/>
        </w:rPr>
        <w:t xml:space="preserve"> F</w:t>
      </w:r>
      <w:r w:rsidR="00354017">
        <w:rPr>
          <w:rFonts w:asciiTheme="minorHAnsi" w:hAnsiTheme="minorHAnsi"/>
        </w:rPr>
        <w:t xml:space="preserve">urther details can be found in </w:t>
      </w:r>
      <w:r w:rsidR="002333B4">
        <w:rPr>
          <w:rFonts w:asciiTheme="minorHAnsi" w:hAnsiTheme="minorHAnsi"/>
        </w:rPr>
        <w:t>Table 19</w:t>
      </w:r>
      <w:r w:rsidR="00D16254">
        <w:rPr>
          <w:rFonts w:asciiTheme="minorHAnsi" w:hAnsiTheme="minorHAnsi"/>
        </w:rPr>
        <w:t xml:space="preserve">, </w:t>
      </w:r>
      <w:r w:rsidR="002333B4">
        <w:rPr>
          <w:rFonts w:asciiTheme="minorHAnsi" w:hAnsiTheme="minorHAnsi"/>
        </w:rPr>
        <w:t>Appendix B</w:t>
      </w:r>
      <w:r w:rsidR="00D16254">
        <w:rPr>
          <w:rFonts w:asciiTheme="minorHAnsi" w:hAnsiTheme="minorHAnsi"/>
        </w:rPr>
        <w:t xml:space="preserve">. </w:t>
      </w:r>
    </w:p>
    <w:p w14:paraId="2730FF64" w14:textId="77777777" w:rsidR="0030101D" w:rsidRPr="00AF3A24" w:rsidRDefault="0030101D" w:rsidP="0030101D">
      <w:pPr>
        <w:pStyle w:val="Caption"/>
        <w:keepNext/>
        <w:spacing w:after="0" w:line="276" w:lineRule="auto"/>
        <w:ind w:left="993" w:hanging="993"/>
        <w:rPr>
          <w:rFonts w:asciiTheme="minorHAnsi" w:hAnsiTheme="minorHAnsi" w:cstheme="minorHAnsi"/>
          <w:i/>
        </w:rPr>
      </w:pPr>
      <w:bookmarkStart w:id="51" w:name="_Ref399405323"/>
      <w:bookmarkStart w:id="52" w:name="_Toc425426981"/>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8</w:t>
      </w:r>
      <w:r w:rsidRPr="00AF3A24">
        <w:rPr>
          <w:rFonts w:asciiTheme="minorHAnsi" w:hAnsiTheme="minorHAnsi" w:cstheme="minorHAnsi"/>
          <w:i/>
          <w:noProof/>
        </w:rPr>
        <w:fldChar w:fldCharType="end"/>
      </w:r>
      <w:bookmarkEnd w:id="51"/>
      <w:r w:rsidRPr="00AF3A24">
        <w:rPr>
          <w:rFonts w:asciiTheme="minorHAnsi" w:hAnsiTheme="minorHAnsi" w:cstheme="minorHAnsi"/>
          <w:i/>
        </w:rPr>
        <w:t xml:space="preserve">: </w:t>
      </w:r>
      <w:r w:rsidRPr="00AF3A24">
        <w:rPr>
          <w:rFonts w:asciiTheme="minorHAnsi" w:hAnsiTheme="minorHAnsi" w:cstheme="minorHAnsi"/>
          <w:i/>
        </w:rPr>
        <w:tab/>
        <w:t>Gambling on any casino activity (EGMs or tables) in the last 12 months, by age group and gender,</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Pr="00AF3A24">
        <w:rPr>
          <w:rFonts w:asciiTheme="minorHAnsi" w:hAnsiTheme="minorHAnsi" w:cstheme="minorHAnsi"/>
          <w:i/>
          <w:vertAlign w:val="superscript"/>
        </w:rPr>
        <w:t>1</w:t>
      </w:r>
      <w:bookmarkEnd w:id="52"/>
    </w:p>
    <w:p w14:paraId="1DC2580D" w14:textId="77777777" w:rsidR="0030101D" w:rsidRPr="00AF3A24" w:rsidRDefault="0030101D" w:rsidP="0030101D">
      <w:pPr>
        <w:spacing w:line="276" w:lineRule="auto"/>
        <w:rPr>
          <w:rFonts w:asciiTheme="minorHAnsi" w:hAnsiTheme="minorHAnsi"/>
        </w:rPr>
      </w:pPr>
      <w:r w:rsidRPr="00AF3A24">
        <w:rPr>
          <w:rFonts w:asciiTheme="minorHAnsi" w:hAnsiTheme="minorHAnsi"/>
          <w:noProof/>
          <w:lang w:eastAsia="en-NZ"/>
        </w:rPr>
        <w:drawing>
          <wp:inline distT="0" distB="0" distL="0" distR="0" wp14:anchorId="72EEDDC7" wp14:editId="50BF20E4">
            <wp:extent cx="5937662" cy="3431969"/>
            <wp:effectExtent l="0" t="0" r="25400" b="165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3B8B174" w14:textId="77777777" w:rsidR="0030101D" w:rsidRPr="0045616C" w:rsidRDefault="0030101D" w:rsidP="0030101D">
      <w:pPr>
        <w:spacing w:before="0" w:line="240" w:lineRule="auto"/>
        <w:ind w:left="709"/>
        <w:rPr>
          <w:rFonts w:asciiTheme="minorHAnsi" w:hAnsiTheme="minorHAnsi" w:cstheme="minorHAnsi"/>
          <w:sz w:val="16"/>
        </w:rPr>
      </w:pPr>
      <w:r w:rsidRPr="0045616C">
        <w:rPr>
          <w:rFonts w:asciiTheme="minorHAnsi" w:hAnsiTheme="minorHAnsi" w:cstheme="minorHAnsi"/>
          <w:sz w:val="16"/>
        </w:rPr>
        <w:t xml:space="preserve">Notes: </w:t>
      </w:r>
    </w:p>
    <w:p w14:paraId="1F7C9AF7" w14:textId="77777777" w:rsidR="0030101D" w:rsidRPr="0045616C" w:rsidRDefault="0030101D" w:rsidP="006A0B0E">
      <w:pPr>
        <w:pStyle w:val="ListParagraph"/>
        <w:numPr>
          <w:ilvl w:val="0"/>
          <w:numId w:val="36"/>
        </w:numPr>
        <w:spacing w:line="240" w:lineRule="auto"/>
        <w:rPr>
          <w:rFonts w:asciiTheme="minorHAnsi" w:hAnsiTheme="minorHAnsi" w:cstheme="minorHAnsi"/>
          <w:sz w:val="16"/>
        </w:rPr>
      </w:pPr>
      <w:r w:rsidRPr="0045616C">
        <w:rPr>
          <w:rFonts w:asciiTheme="minorHAnsi" w:hAnsiTheme="minorHAnsi" w:cstheme="minorHAnsi"/>
          <w:sz w:val="16"/>
        </w:rPr>
        <w:t>Source: 2011/12 New Zealand Health Survey</w:t>
      </w:r>
      <w:r w:rsidRPr="00B970C8">
        <w:rPr>
          <w:rFonts w:asciiTheme="minorHAnsi" w:hAnsiTheme="minorHAnsi" w:cstheme="minorHAnsi"/>
          <w:sz w:val="16"/>
          <w:szCs w:val="16"/>
        </w:rPr>
        <w:t xml:space="preserve">. </w:t>
      </w:r>
      <w:r w:rsidR="0009392B" w:rsidRPr="00B970C8">
        <w:rPr>
          <w:rFonts w:asciiTheme="minorHAnsi" w:hAnsiTheme="minorHAnsi" w:cstheme="minorHAnsi"/>
          <w:sz w:val="16"/>
          <w:szCs w:val="16"/>
        </w:rPr>
        <w:t xml:space="preserve"> Error bars are indicative of 95% confidence intervals.</w:t>
      </w:r>
    </w:p>
    <w:p w14:paraId="0A51B7D2" w14:textId="77777777" w:rsidR="00930704" w:rsidRDefault="00930704" w:rsidP="00930704">
      <w:pPr>
        <w:rPr>
          <w:rFonts w:asciiTheme="minorHAnsi" w:hAnsiTheme="minorHAnsi"/>
        </w:rPr>
      </w:pPr>
    </w:p>
    <w:p w14:paraId="7C05AEB4" w14:textId="77777777" w:rsidR="0030101D" w:rsidRPr="00AF3A24" w:rsidRDefault="0030101D" w:rsidP="0030101D">
      <w:pPr>
        <w:pStyle w:val="Caption"/>
        <w:keepNext/>
        <w:spacing w:after="0" w:line="276" w:lineRule="auto"/>
        <w:ind w:left="993" w:hanging="993"/>
        <w:rPr>
          <w:rFonts w:asciiTheme="minorHAnsi" w:hAnsiTheme="minorHAnsi" w:cstheme="minorHAnsi"/>
          <w:i/>
        </w:rPr>
      </w:pPr>
      <w:bookmarkStart w:id="53" w:name="_Ref399405336"/>
      <w:bookmarkStart w:id="54" w:name="_Toc425426982"/>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9</w:t>
      </w:r>
      <w:r w:rsidRPr="00AF3A24">
        <w:rPr>
          <w:rFonts w:asciiTheme="minorHAnsi" w:hAnsiTheme="minorHAnsi" w:cstheme="minorHAnsi"/>
          <w:i/>
          <w:noProof/>
        </w:rPr>
        <w:fldChar w:fldCharType="end"/>
      </w:r>
      <w:bookmarkEnd w:id="53"/>
      <w:r w:rsidRPr="00AF3A24">
        <w:rPr>
          <w:rFonts w:asciiTheme="minorHAnsi" w:hAnsiTheme="minorHAnsi" w:cstheme="minorHAnsi"/>
          <w:i/>
        </w:rPr>
        <w:t xml:space="preserve">: </w:t>
      </w:r>
      <w:r w:rsidRPr="00AF3A24">
        <w:rPr>
          <w:rFonts w:asciiTheme="minorHAnsi" w:hAnsiTheme="minorHAnsi" w:cstheme="minorHAnsi"/>
          <w:i/>
        </w:rPr>
        <w:tab/>
        <w:t>Gambling on Instant Kiwi (or other scratch tickets) in the last 12 months, by age group and gender,</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Pr="00AF3A24">
        <w:rPr>
          <w:rFonts w:asciiTheme="minorHAnsi" w:hAnsiTheme="minorHAnsi" w:cstheme="minorHAnsi"/>
          <w:i/>
          <w:vertAlign w:val="superscript"/>
        </w:rPr>
        <w:t>1</w:t>
      </w:r>
      <w:bookmarkEnd w:id="54"/>
    </w:p>
    <w:p w14:paraId="010C312C" w14:textId="77777777" w:rsidR="0030101D" w:rsidRPr="00AF3A24" w:rsidRDefault="0030101D" w:rsidP="0030101D">
      <w:pPr>
        <w:spacing w:line="276" w:lineRule="auto"/>
        <w:rPr>
          <w:rFonts w:asciiTheme="minorHAnsi" w:hAnsiTheme="minorHAnsi"/>
        </w:rPr>
      </w:pPr>
      <w:r w:rsidRPr="00AF3A24">
        <w:rPr>
          <w:rFonts w:asciiTheme="minorHAnsi" w:hAnsiTheme="minorHAnsi"/>
          <w:noProof/>
          <w:lang w:eastAsia="en-NZ"/>
        </w:rPr>
        <w:drawing>
          <wp:inline distT="0" distB="0" distL="0" distR="0" wp14:anchorId="4F5D9F92" wp14:editId="55BF8E96">
            <wp:extent cx="5949538" cy="3146961"/>
            <wp:effectExtent l="0" t="0" r="13335" b="1587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C7092D" w14:textId="77777777" w:rsidR="0030101D" w:rsidRPr="0045616C" w:rsidRDefault="0030101D" w:rsidP="0030101D">
      <w:pPr>
        <w:spacing w:before="0" w:line="240" w:lineRule="auto"/>
        <w:ind w:left="709"/>
        <w:rPr>
          <w:rFonts w:asciiTheme="minorHAnsi" w:hAnsiTheme="minorHAnsi" w:cstheme="minorHAnsi"/>
          <w:sz w:val="16"/>
        </w:rPr>
      </w:pPr>
      <w:r w:rsidRPr="0045616C">
        <w:rPr>
          <w:rFonts w:asciiTheme="minorHAnsi" w:hAnsiTheme="minorHAnsi" w:cstheme="minorHAnsi"/>
          <w:sz w:val="16"/>
        </w:rPr>
        <w:t xml:space="preserve">Notes: </w:t>
      </w:r>
    </w:p>
    <w:p w14:paraId="2DB7D2ED" w14:textId="77777777" w:rsidR="0030101D" w:rsidRDefault="0030101D" w:rsidP="006A0B0E">
      <w:pPr>
        <w:pStyle w:val="ListParagraph"/>
        <w:numPr>
          <w:ilvl w:val="0"/>
          <w:numId w:val="35"/>
        </w:numPr>
        <w:spacing w:line="240" w:lineRule="auto"/>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09392B">
        <w:rPr>
          <w:rFonts w:asciiTheme="minorHAnsi" w:hAnsiTheme="minorHAnsi" w:cstheme="minorHAnsi"/>
          <w:sz w:val="16"/>
        </w:rPr>
        <w:t xml:space="preserve"> </w:t>
      </w:r>
      <w:r w:rsidR="0009392B" w:rsidRPr="00B970C8">
        <w:rPr>
          <w:rFonts w:asciiTheme="minorHAnsi" w:hAnsiTheme="minorHAnsi" w:cstheme="minorHAnsi"/>
          <w:sz w:val="16"/>
        </w:rPr>
        <w:t>Error bars are indicative of 95% confidence intervals.</w:t>
      </w:r>
    </w:p>
    <w:p w14:paraId="0023894C" w14:textId="77777777" w:rsidR="000E0B32" w:rsidRPr="000E0B32" w:rsidRDefault="000E0B32" w:rsidP="000E0B32">
      <w:pPr>
        <w:spacing w:line="240" w:lineRule="auto"/>
        <w:rPr>
          <w:rFonts w:asciiTheme="minorHAnsi" w:hAnsiTheme="minorHAnsi" w:cstheme="minorHAnsi"/>
          <w:sz w:val="16"/>
        </w:rPr>
      </w:pPr>
    </w:p>
    <w:p w14:paraId="6E56C8C0" w14:textId="77777777" w:rsidR="0069709D" w:rsidRPr="00AF3A24" w:rsidRDefault="0069709D" w:rsidP="0069709D">
      <w:pPr>
        <w:pStyle w:val="Caption"/>
        <w:keepNext/>
        <w:spacing w:after="0" w:line="276" w:lineRule="auto"/>
        <w:ind w:left="993" w:hanging="993"/>
        <w:rPr>
          <w:rFonts w:asciiTheme="minorHAnsi" w:hAnsiTheme="minorHAnsi" w:cstheme="minorHAnsi"/>
          <w:i/>
        </w:rPr>
      </w:pPr>
      <w:bookmarkStart w:id="55" w:name="_Ref399405346"/>
      <w:bookmarkStart w:id="56" w:name="_Toc425426983"/>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10</w:t>
      </w:r>
      <w:r w:rsidRPr="00AF3A24">
        <w:rPr>
          <w:rFonts w:asciiTheme="minorHAnsi" w:hAnsiTheme="minorHAnsi" w:cstheme="minorHAnsi"/>
          <w:i/>
          <w:noProof/>
        </w:rPr>
        <w:fldChar w:fldCharType="end"/>
      </w:r>
      <w:bookmarkEnd w:id="55"/>
      <w:r w:rsidRPr="00AF3A24">
        <w:rPr>
          <w:rFonts w:asciiTheme="minorHAnsi" w:hAnsiTheme="minorHAnsi" w:cstheme="minorHAnsi"/>
          <w:i/>
        </w:rPr>
        <w:t xml:space="preserve">: </w:t>
      </w:r>
      <w:r w:rsidRPr="00AF3A24">
        <w:rPr>
          <w:rFonts w:asciiTheme="minorHAnsi" w:hAnsiTheme="minorHAnsi" w:cstheme="minorHAnsi"/>
          <w:i/>
        </w:rPr>
        <w:tab/>
        <w:t xml:space="preserve">Gambling on </w:t>
      </w:r>
      <w:r w:rsidR="00E321A2" w:rsidRPr="00AF3A24">
        <w:rPr>
          <w:rFonts w:asciiTheme="minorHAnsi" w:hAnsiTheme="minorHAnsi" w:cstheme="minorHAnsi"/>
          <w:i/>
        </w:rPr>
        <w:t>Lotto</w:t>
      </w:r>
      <w:r w:rsidRPr="00AF3A24">
        <w:rPr>
          <w:rFonts w:asciiTheme="minorHAnsi" w:hAnsiTheme="minorHAnsi" w:cstheme="minorHAnsi"/>
          <w:i/>
        </w:rPr>
        <w:t xml:space="preserve"> in the last 12 months, by age group and gender,</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Pr="00AF3A24">
        <w:rPr>
          <w:rFonts w:asciiTheme="minorHAnsi" w:hAnsiTheme="minorHAnsi" w:cstheme="minorHAnsi"/>
          <w:i/>
          <w:vertAlign w:val="superscript"/>
        </w:rPr>
        <w:t>1</w:t>
      </w:r>
      <w:bookmarkEnd w:id="56"/>
    </w:p>
    <w:p w14:paraId="12606B09" w14:textId="77777777" w:rsidR="0069709D" w:rsidRPr="00AF3A24" w:rsidRDefault="003F347D" w:rsidP="007955B3">
      <w:pPr>
        <w:spacing w:line="276" w:lineRule="auto"/>
        <w:rPr>
          <w:rFonts w:asciiTheme="minorHAnsi" w:hAnsiTheme="minorHAnsi"/>
        </w:rPr>
      </w:pPr>
      <w:r w:rsidRPr="00AF3A24">
        <w:rPr>
          <w:rFonts w:asciiTheme="minorHAnsi" w:hAnsiTheme="minorHAnsi"/>
          <w:noProof/>
          <w:lang w:eastAsia="en-NZ"/>
        </w:rPr>
        <w:drawing>
          <wp:inline distT="0" distB="0" distL="0" distR="0" wp14:anchorId="30CDF592" wp14:editId="6852BD26">
            <wp:extent cx="5949538" cy="3087585"/>
            <wp:effectExtent l="0" t="0" r="13335" b="1778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7F6EEBF" w14:textId="77777777" w:rsidR="000B498E" w:rsidRPr="0045616C" w:rsidRDefault="000B498E" w:rsidP="000B498E">
      <w:pPr>
        <w:spacing w:before="0" w:line="240" w:lineRule="auto"/>
        <w:ind w:left="709"/>
        <w:rPr>
          <w:rFonts w:asciiTheme="minorHAnsi" w:hAnsiTheme="minorHAnsi" w:cstheme="minorHAnsi"/>
          <w:sz w:val="16"/>
        </w:rPr>
      </w:pPr>
      <w:r w:rsidRPr="0045616C">
        <w:rPr>
          <w:rFonts w:asciiTheme="minorHAnsi" w:hAnsiTheme="minorHAnsi" w:cstheme="minorHAnsi"/>
          <w:sz w:val="16"/>
        </w:rPr>
        <w:t xml:space="preserve">Notes: </w:t>
      </w:r>
    </w:p>
    <w:p w14:paraId="7731CAE2" w14:textId="77777777" w:rsidR="0009392B" w:rsidRPr="0009392B" w:rsidRDefault="000B498E" w:rsidP="0009392B">
      <w:pPr>
        <w:pStyle w:val="ListParagraph"/>
        <w:numPr>
          <w:ilvl w:val="0"/>
          <w:numId w:val="34"/>
        </w:numPr>
        <w:spacing w:line="240" w:lineRule="auto"/>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09392B">
        <w:rPr>
          <w:rFonts w:asciiTheme="minorHAnsi" w:hAnsiTheme="minorHAnsi" w:cstheme="minorHAnsi"/>
          <w:sz w:val="16"/>
        </w:rPr>
        <w:t xml:space="preserve"> </w:t>
      </w:r>
      <w:r w:rsidR="0009392B" w:rsidRPr="00B970C8">
        <w:rPr>
          <w:rFonts w:asciiTheme="minorHAnsi" w:hAnsiTheme="minorHAnsi" w:cstheme="minorHAnsi"/>
          <w:sz w:val="16"/>
        </w:rPr>
        <w:t>Error bars are indicative of 95% confidence intervals.</w:t>
      </w:r>
    </w:p>
    <w:p w14:paraId="4C413477" w14:textId="77777777" w:rsidR="00600F72" w:rsidRPr="00527FEF" w:rsidRDefault="00600F72" w:rsidP="00600F72">
      <w:pPr>
        <w:pStyle w:val="Heading4"/>
      </w:pPr>
      <w:r w:rsidRPr="00527FEF">
        <w:lastRenderedPageBreak/>
        <w:t>By ethnicity</w:t>
      </w:r>
    </w:p>
    <w:p w14:paraId="7C869683" w14:textId="77777777" w:rsidR="00FA65A3" w:rsidRDefault="00D04ED7" w:rsidP="00B06CD5">
      <w:pPr>
        <w:rPr>
          <w:rFonts w:asciiTheme="minorHAnsi" w:hAnsiTheme="minorHAnsi"/>
        </w:rPr>
      </w:pPr>
      <w:r>
        <w:rPr>
          <w:rFonts w:asciiTheme="minorHAnsi" w:hAnsiTheme="minorHAnsi"/>
        </w:rPr>
        <w:t>Rates of participation in individual gambling activities for each of the four main ethnic groups are presented in</w:t>
      </w:r>
      <w:r w:rsidR="00C455C4" w:rsidRPr="00C455C4">
        <w:rPr>
          <w:rFonts w:asciiTheme="minorHAnsi" w:hAnsiTheme="minorHAnsi"/>
        </w:rPr>
        <w:t xml:space="preserve"> </w:t>
      </w:r>
      <w:r w:rsidR="00C455C4">
        <w:rPr>
          <w:rFonts w:asciiTheme="minorHAnsi" w:hAnsiTheme="minorHAnsi"/>
        </w:rPr>
        <w:t>Table 19, Appendix B</w:t>
      </w:r>
      <w:r>
        <w:rPr>
          <w:rFonts w:asciiTheme="minorHAnsi" w:hAnsiTheme="minorHAnsi"/>
        </w:rPr>
        <w:t xml:space="preserve">.  </w:t>
      </w:r>
      <w:r w:rsidR="0002023B" w:rsidRPr="00B06CD5">
        <w:rPr>
          <w:rFonts w:asciiTheme="minorHAnsi" w:hAnsiTheme="minorHAnsi"/>
        </w:rPr>
        <w:t>After a</w:t>
      </w:r>
      <w:r w:rsidR="00594C77" w:rsidRPr="00B06CD5">
        <w:rPr>
          <w:rFonts w:asciiTheme="minorHAnsi" w:hAnsiTheme="minorHAnsi"/>
        </w:rPr>
        <w:t>djusting for age</w:t>
      </w:r>
      <w:r w:rsidR="0002023B" w:rsidRPr="00B06CD5">
        <w:rPr>
          <w:rFonts w:asciiTheme="minorHAnsi" w:hAnsiTheme="minorHAnsi"/>
        </w:rPr>
        <w:t xml:space="preserve">, significant associations </w:t>
      </w:r>
      <w:r w:rsidR="00B06CD5" w:rsidRPr="00B06CD5">
        <w:rPr>
          <w:rFonts w:asciiTheme="minorHAnsi" w:hAnsiTheme="minorHAnsi"/>
        </w:rPr>
        <w:t xml:space="preserve">were observed between ethnicity and participation in the following </w:t>
      </w:r>
      <w:r w:rsidR="00B06CD5" w:rsidRPr="00DF51FE">
        <w:rPr>
          <w:rFonts w:asciiTheme="minorHAnsi" w:hAnsiTheme="minorHAnsi"/>
        </w:rPr>
        <w:t xml:space="preserve">gambling activities:  any non-Lotto (p&lt;0.0001); any </w:t>
      </w:r>
      <w:r w:rsidR="00820A15">
        <w:rPr>
          <w:rFonts w:asciiTheme="minorHAnsi" w:hAnsiTheme="minorHAnsi"/>
        </w:rPr>
        <w:t>EGM</w:t>
      </w:r>
      <w:r w:rsidR="00AD07D4" w:rsidRPr="00DF51FE">
        <w:rPr>
          <w:rFonts w:asciiTheme="minorHAnsi" w:hAnsiTheme="minorHAnsi"/>
        </w:rPr>
        <w:t xml:space="preserve"> (casino or non-casino)</w:t>
      </w:r>
      <w:r w:rsidR="00B06CD5" w:rsidRPr="00DF51FE">
        <w:rPr>
          <w:rFonts w:asciiTheme="minorHAnsi" w:hAnsiTheme="minorHAnsi"/>
        </w:rPr>
        <w:t xml:space="preserve"> (p&lt;0.0001); Lotto (p&lt;0.0001); Instant Kiwi </w:t>
      </w:r>
      <w:r w:rsidR="00A33450" w:rsidRPr="00DF51FE">
        <w:rPr>
          <w:rFonts w:asciiTheme="minorHAnsi" w:hAnsiTheme="minorHAnsi"/>
        </w:rPr>
        <w:t xml:space="preserve">or other scratch tickets </w:t>
      </w:r>
      <w:r w:rsidR="00B06CD5" w:rsidRPr="00DF51FE">
        <w:rPr>
          <w:rFonts w:asciiTheme="minorHAnsi" w:hAnsiTheme="minorHAnsi"/>
        </w:rPr>
        <w:t xml:space="preserve">(p&lt;0.0001); non-casino </w:t>
      </w:r>
      <w:r w:rsidR="00820A15">
        <w:rPr>
          <w:rFonts w:asciiTheme="minorHAnsi" w:hAnsiTheme="minorHAnsi"/>
        </w:rPr>
        <w:t>EGMs</w:t>
      </w:r>
      <w:r w:rsidR="00AD07D4" w:rsidRPr="00DF51FE">
        <w:rPr>
          <w:rFonts w:asciiTheme="minorHAnsi" w:hAnsiTheme="minorHAnsi"/>
        </w:rPr>
        <w:t xml:space="preserve"> (p</w:t>
      </w:r>
      <w:r w:rsidR="00B06CD5" w:rsidRPr="00DF51FE">
        <w:rPr>
          <w:rFonts w:asciiTheme="minorHAnsi" w:hAnsiTheme="minorHAnsi"/>
        </w:rPr>
        <w:t xml:space="preserve">&lt;0.0001); </w:t>
      </w:r>
      <w:r w:rsidR="002F0ECF" w:rsidRPr="00DF51FE">
        <w:rPr>
          <w:rFonts w:asciiTheme="minorHAnsi" w:hAnsiTheme="minorHAnsi"/>
        </w:rPr>
        <w:t xml:space="preserve">track betting </w:t>
      </w:r>
      <w:r w:rsidR="00B06CD5" w:rsidRPr="00DF51FE">
        <w:rPr>
          <w:rFonts w:asciiTheme="minorHAnsi" w:hAnsiTheme="minorHAnsi"/>
        </w:rPr>
        <w:t>(p&lt;0.0001);</w:t>
      </w:r>
      <w:r w:rsidR="00C22E1D">
        <w:rPr>
          <w:rFonts w:asciiTheme="minorHAnsi" w:hAnsiTheme="minorHAnsi"/>
        </w:rPr>
        <w:t xml:space="preserve"> K</w:t>
      </w:r>
      <w:r w:rsidR="00DF51FE" w:rsidRPr="00DF51FE">
        <w:rPr>
          <w:rFonts w:asciiTheme="minorHAnsi" w:hAnsiTheme="minorHAnsi"/>
        </w:rPr>
        <w:t>eno (p=0.0021);</w:t>
      </w:r>
      <w:r w:rsidR="00B06CD5" w:rsidRPr="00DF51FE">
        <w:rPr>
          <w:rFonts w:asciiTheme="minorHAnsi" w:hAnsiTheme="minorHAnsi"/>
        </w:rPr>
        <w:t xml:space="preserve"> and, </w:t>
      </w:r>
      <w:r w:rsidR="002F0ECF" w:rsidRPr="00DF51FE">
        <w:rPr>
          <w:rFonts w:asciiTheme="minorHAnsi" w:hAnsiTheme="minorHAnsi"/>
        </w:rPr>
        <w:t xml:space="preserve">housie </w:t>
      </w:r>
      <w:r w:rsidR="00B06CD5" w:rsidRPr="00DF51FE">
        <w:rPr>
          <w:rFonts w:asciiTheme="minorHAnsi" w:hAnsiTheme="minorHAnsi"/>
        </w:rPr>
        <w:t xml:space="preserve">(p&lt;0.0001). </w:t>
      </w:r>
      <w:r w:rsidRPr="00DF51FE">
        <w:rPr>
          <w:rFonts w:asciiTheme="minorHAnsi" w:hAnsiTheme="minorHAnsi"/>
        </w:rPr>
        <w:t xml:space="preserve"> </w:t>
      </w:r>
      <w:r w:rsidR="00C455C4">
        <w:rPr>
          <w:rFonts w:asciiTheme="minorHAnsi" w:hAnsiTheme="minorHAnsi"/>
        </w:rPr>
        <w:t>Table 5</w:t>
      </w:r>
      <w:r w:rsidR="002F0ECF" w:rsidRPr="002F0ECF">
        <w:rPr>
          <w:rFonts w:asciiTheme="minorHAnsi" w:hAnsiTheme="minorHAnsi"/>
        </w:rPr>
        <w:t xml:space="preserve"> provides odds ratios and 95% confidence intervals for each of these activities by ethnicity. </w:t>
      </w:r>
      <w:r w:rsidR="00FA65A3">
        <w:rPr>
          <w:rFonts w:asciiTheme="minorHAnsi" w:hAnsiTheme="minorHAnsi"/>
        </w:rPr>
        <w:t xml:space="preserve"> In summary: </w:t>
      </w:r>
    </w:p>
    <w:p w14:paraId="52492543" w14:textId="77777777" w:rsidR="00FA65A3" w:rsidRDefault="005D789C" w:rsidP="005D789C">
      <w:pPr>
        <w:pStyle w:val="ListParagraph"/>
        <w:numPr>
          <w:ilvl w:val="0"/>
          <w:numId w:val="9"/>
        </w:numPr>
        <w:rPr>
          <w:rFonts w:asciiTheme="minorHAnsi" w:hAnsiTheme="minorHAnsi"/>
        </w:rPr>
      </w:pPr>
      <w:r w:rsidRPr="005D789C">
        <w:rPr>
          <w:rFonts w:asciiTheme="minorHAnsi" w:hAnsiTheme="minorHAnsi"/>
        </w:rPr>
        <w:t xml:space="preserve">Compared with </w:t>
      </w:r>
      <w:r w:rsidR="002F0ECF" w:rsidRPr="005D789C">
        <w:rPr>
          <w:rFonts w:asciiTheme="minorHAnsi" w:hAnsiTheme="minorHAnsi"/>
        </w:rPr>
        <w:t>European/Other</w:t>
      </w:r>
      <w:r w:rsidRPr="005D789C">
        <w:rPr>
          <w:rFonts w:asciiTheme="minorHAnsi" w:hAnsiTheme="minorHAnsi"/>
        </w:rPr>
        <w:t xml:space="preserve">, Māori </w:t>
      </w:r>
      <w:r w:rsidR="002945AC" w:rsidRPr="005D789C">
        <w:rPr>
          <w:rFonts w:asciiTheme="minorHAnsi" w:hAnsiTheme="minorHAnsi"/>
        </w:rPr>
        <w:t>were mo</w:t>
      </w:r>
      <w:r w:rsidRPr="005D789C">
        <w:rPr>
          <w:rFonts w:asciiTheme="minorHAnsi" w:hAnsiTheme="minorHAnsi"/>
        </w:rPr>
        <w:t>re</w:t>
      </w:r>
      <w:r w:rsidR="002945AC" w:rsidRPr="005D789C">
        <w:rPr>
          <w:rFonts w:asciiTheme="minorHAnsi" w:hAnsiTheme="minorHAnsi"/>
        </w:rPr>
        <w:t xml:space="preserve"> likely</w:t>
      </w:r>
      <w:r w:rsidRPr="005D789C">
        <w:rPr>
          <w:rFonts w:asciiTheme="minorHAnsi" w:hAnsiTheme="minorHAnsi"/>
        </w:rPr>
        <w:t xml:space="preserve"> and </w:t>
      </w:r>
      <w:r w:rsidR="002F0ECF" w:rsidRPr="005D789C">
        <w:rPr>
          <w:rFonts w:asciiTheme="minorHAnsi" w:hAnsiTheme="minorHAnsi"/>
        </w:rPr>
        <w:t>Pacific and</w:t>
      </w:r>
      <w:r w:rsidRPr="005D789C">
        <w:rPr>
          <w:rFonts w:asciiTheme="minorHAnsi" w:hAnsiTheme="minorHAnsi"/>
        </w:rPr>
        <w:t xml:space="preserve"> </w:t>
      </w:r>
      <w:r w:rsidR="002F0ECF" w:rsidRPr="005D789C">
        <w:rPr>
          <w:rFonts w:asciiTheme="minorHAnsi" w:hAnsiTheme="minorHAnsi"/>
        </w:rPr>
        <w:t>Asian</w:t>
      </w:r>
      <w:r w:rsidRPr="005D789C">
        <w:rPr>
          <w:rFonts w:asciiTheme="minorHAnsi" w:hAnsiTheme="minorHAnsi"/>
        </w:rPr>
        <w:t xml:space="preserve"> less likely,</w:t>
      </w:r>
      <w:r w:rsidR="002F0ECF" w:rsidRPr="005D789C">
        <w:rPr>
          <w:rFonts w:asciiTheme="minorHAnsi" w:hAnsiTheme="minorHAnsi"/>
        </w:rPr>
        <w:t xml:space="preserve"> to</w:t>
      </w:r>
      <w:r w:rsidR="006646CF" w:rsidRPr="005D789C">
        <w:rPr>
          <w:rFonts w:asciiTheme="minorHAnsi" w:hAnsiTheme="minorHAnsi"/>
        </w:rPr>
        <w:t xml:space="preserve"> have gambled on any </w:t>
      </w:r>
      <w:r w:rsidR="00820A15" w:rsidRPr="005D789C">
        <w:rPr>
          <w:rFonts w:asciiTheme="minorHAnsi" w:hAnsiTheme="minorHAnsi"/>
        </w:rPr>
        <w:t>EGM</w:t>
      </w:r>
      <w:r w:rsidR="006646CF" w:rsidRPr="005D789C">
        <w:rPr>
          <w:rFonts w:asciiTheme="minorHAnsi" w:hAnsiTheme="minorHAnsi"/>
        </w:rPr>
        <w:t xml:space="preserve"> (casino or non-casino), </w:t>
      </w:r>
      <w:r w:rsidR="00820A15" w:rsidRPr="005D789C">
        <w:rPr>
          <w:rFonts w:asciiTheme="minorHAnsi" w:hAnsiTheme="minorHAnsi"/>
        </w:rPr>
        <w:t xml:space="preserve">and </w:t>
      </w:r>
      <w:r w:rsidR="006646CF" w:rsidRPr="005D789C">
        <w:rPr>
          <w:rFonts w:asciiTheme="minorHAnsi" w:hAnsiTheme="minorHAnsi"/>
        </w:rPr>
        <w:t xml:space="preserve">non-casino </w:t>
      </w:r>
      <w:r w:rsidR="00820A15" w:rsidRPr="005D789C">
        <w:rPr>
          <w:rFonts w:asciiTheme="minorHAnsi" w:hAnsiTheme="minorHAnsi"/>
        </w:rPr>
        <w:t>EGMs</w:t>
      </w:r>
      <w:r w:rsidR="002945AC" w:rsidRPr="005D789C">
        <w:rPr>
          <w:rFonts w:asciiTheme="minorHAnsi" w:hAnsiTheme="minorHAnsi"/>
        </w:rPr>
        <w:t xml:space="preserve">. </w:t>
      </w:r>
    </w:p>
    <w:p w14:paraId="5B2756FA" w14:textId="77777777" w:rsidR="005D789C" w:rsidRPr="005D789C" w:rsidRDefault="005D789C" w:rsidP="005D789C">
      <w:pPr>
        <w:pStyle w:val="ListParagraph"/>
        <w:numPr>
          <w:ilvl w:val="0"/>
          <w:numId w:val="9"/>
        </w:numPr>
        <w:rPr>
          <w:rFonts w:asciiTheme="minorHAnsi" w:hAnsiTheme="minorHAnsi"/>
        </w:rPr>
      </w:pPr>
      <w:r w:rsidRPr="005D789C">
        <w:rPr>
          <w:rFonts w:asciiTheme="minorHAnsi" w:hAnsiTheme="minorHAnsi"/>
        </w:rPr>
        <w:t>Compared with European/Other, Pacific and Asian</w:t>
      </w:r>
      <w:r>
        <w:rPr>
          <w:rFonts w:asciiTheme="minorHAnsi" w:hAnsiTheme="minorHAnsi"/>
        </w:rPr>
        <w:t xml:space="preserve"> were</w:t>
      </w:r>
      <w:r w:rsidRPr="005D789C">
        <w:rPr>
          <w:rFonts w:asciiTheme="minorHAnsi" w:hAnsiTheme="minorHAnsi"/>
        </w:rPr>
        <w:t xml:space="preserve"> less likely to have gambled on any non-Lotto, Lotto, Instant Kiwi or other scratch tickets,</w:t>
      </w:r>
    </w:p>
    <w:p w14:paraId="0F409448" w14:textId="77777777" w:rsidR="00FA65A3" w:rsidRDefault="005D789C" w:rsidP="005D789C">
      <w:pPr>
        <w:pStyle w:val="ListParagraph"/>
        <w:numPr>
          <w:ilvl w:val="0"/>
          <w:numId w:val="9"/>
        </w:numPr>
        <w:rPr>
          <w:rFonts w:asciiTheme="minorHAnsi" w:hAnsiTheme="minorHAnsi"/>
        </w:rPr>
      </w:pPr>
      <w:r>
        <w:rPr>
          <w:rFonts w:asciiTheme="minorHAnsi" w:hAnsiTheme="minorHAnsi"/>
        </w:rPr>
        <w:t xml:space="preserve">Compared with European/Other, Pacific </w:t>
      </w:r>
      <w:r w:rsidRPr="00985B63">
        <w:rPr>
          <w:rFonts w:asciiTheme="minorHAnsi" w:hAnsiTheme="minorHAnsi"/>
        </w:rPr>
        <w:t xml:space="preserve">and Asian </w:t>
      </w:r>
      <w:r w:rsidR="002945AC" w:rsidRPr="00985B63">
        <w:rPr>
          <w:rFonts w:asciiTheme="minorHAnsi" w:hAnsiTheme="minorHAnsi"/>
        </w:rPr>
        <w:t xml:space="preserve">were </w:t>
      </w:r>
      <w:r w:rsidR="00FA65A3" w:rsidRPr="00985B63">
        <w:rPr>
          <w:rFonts w:asciiTheme="minorHAnsi" w:hAnsiTheme="minorHAnsi"/>
        </w:rPr>
        <w:t xml:space="preserve">significantly </w:t>
      </w:r>
      <w:r>
        <w:rPr>
          <w:rFonts w:asciiTheme="minorHAnsi" w:hAnsiTheme="minorHAnsi"/>
        </w:rPr>
        <w:t>less</w:t>
      </w:r>
      <w:r w:rsidR="002945AC" w:rsidRPr="00985B63">
        <w:rPr>
          <w:rFonts w:asciiTheme="minorHAnsi" w:hAnsiTheme="minorHAnsi"/>
        </w:rPr>
        <w:t xml:space="preserve"> likely to have participated in track betting.  </w:t>
      </w:r>
    </w:p>
    <w:p w14:paraId="3B85515E" w14:textId="77777777" w:rsidR="005D789C" w:rsidRPr="00985B63" w:rsidRDefault="005D789C" w:rsidP="005D789C">
      <w:pPr>
        <w:pStyle w:val="ListParagraph"/>
        <w:numPr>
          <w:ilvl w:val="0"/>
          <w:numId w:val="9"/>
        </w:numPr>
        <w:rPr>
          <w:rFonts w:asciiTheme="minorHAnsi" w:hAnsiTheme="minorHAnsi"/>
        </w:rPr>
      </w:pPr>
      <w:r>
        <w:rPr>
          <w:rFonts w:asciiTheme="minorHAnsi" w:hAnsiTheme="minorHAnsi"/>
        </w:rPr>
        <w:t xml:space="preserve">Compared with European/Other, </w:t>
      </w:r>
      <w:r w:rsidRPr="00985B63">
        <w:rPr>
          <w:rFonts w:asciiTheme="minorHAnsi" w:hAnsiTheme="minorHAnsi"/>
        </w:rPr>
        <w:t>Māori and Pacific were</w:t>
      </w:r>
      <w:r>
        <w:rPr>
          <w:rFonts w:asciiTheme="minorHAnsi" w:hAnsiTheme="minorHAnsi"/>
        </w:rPr>
        <w:t xml:space="preserve"> significantly more likely to have gambled on Keno in the past 12 months. </w:t>
      </w:r>
    </w:p>
    <w:p w14:paraId="048F5A5E" w14:textId="77777777" w:rsidR="00FA65A3" w:rsidRPr="00985B63" w:rsidRDefault="005D789C" w:rsidP="005D789C">
      <w:pPr>
        <w:pStyle w:val="ListParagraph"/>
        <w:numPr>
          <w:ilvl w:val="0"/>
          <w:numId w:val="9"/>
        </w:numPr>
        <w:rPr>
          <w:rFonts w:asciiTheme="minorHAnsi" w:hAnsiTheme="minorHAnsi"/>
        </w:rPr>
      </w:pPr>
      <w:r>
        <w:rPr>
          <w:rFonts w:asciiTheme="minorHAnsi" w:hAnsiTheme="minorHAnsi"/>
        </w:rPr>
        <w:t xml:space="preserve">Compared with European/Other, </w:t>
      </w:r>
      <w:r w:rsidR="00FA65A3" w:rsidRPr="00985B63">
        <w:rPr>
          <w:rFonts w:asciiTheme="minorHAnsi" w:hAnsiTheme="minorHAnsi"/>
        </w:rPr>
        <w:t>Māori and Pacific were</w:t>
      </w:r>
      <w:r>
        <w:rPr>
          <w:rFonts w:asciiTheme="minorHAnsi" w:hAnsiTheme="minorHAnsi"/>
        </w:rPr>
        <w:t xml:space="preserve"> significantly more likely </w:t>
      </w:r>
      <w:r w:rsidR="00985B63" w:rsidRPr="00985B63">
        <w:rPr>
          <w:rFonts w:asciiTheme="minorHAnsi" w:hAnsiTheme="minorHAnsi"/>
        </w:rPr>
        <w:t xml:space="preserve">and Asian </w:t>
      </w:r>
      <w:r>
        <w:rPr>
          <w:rFonts w:asciiTheme="minorHAnsi" w:hAnsiTheme="minorHAnsi"/>
        </w:rPr>
        <w:t xml:space="preserve">less likely </w:t>
      </w:r>
      <w:r w:rsidR="00FA65A3" w:rsidRPr="00985B63">
        <w:rPr>
          <w:rFonts w:asciiTheme="minorHAnsi" w:hAnsiTheme="minorHAnsi"/>
        </w:rPr>
        <w:t>to have gambled on housie</w:t>
      </w:r>
      <w:r w:rsidR="00C22E1D">
        <w:rPr>
          <w:rFonts w:asciiTheme="minorHAnsi" w:hAnsiTheme="minorHAnsi"/>
        </w:rPr>
        <w:t xml:space="preserve"> </w:t>
      </w:r>
      <w:r w:rsidR="00FA65A3" w:rsidRPr="00985B63">
        <w:rPr>
          <w:rFonts w:asciiTheme="minorHAnsi" w:hAnsiTheme="minorHAnsi"/>
        </w:rPr>
        <w:t xml:space="preserve">in the past 12 months. </w:t>
      </w:r>
    </w:p>
    <w:p w14:paraId="0A8A8C1D" w14:textId="77777777" w:rsidR="00E60034" w:rsidRDefault="00E60034">
      <w:pPr>
        <w:spacing w:before="0" w:after="200" w:line="276" w:lineRule="auto"/>
        <w:jc w:val="left"/>
        <w:rPr>
          <w:rFonts w:asciiTheme="minorHAnsi" w:hAnsiTheme="minorHAnsi"/>
          <w:b/>
          <w:bCs/>
          <w:i/>
          <w:sz w:val="20"/>
          <w:szCs w:val="20"/>
        </w:rPr>
      </w:pPr>
      <w:bookmarkStart w:id="57" w:name="_Ref399429020"/>
      <w:r>
        <w:rPr>
          <w:rFonts w:asciiTheme="minorHAnsi" w:hAnsiTheme="minorHAnsi"/>
          <w:i/>
        </w:rPr>
        <w:br w:type="page"/>
      </w:r>
    </w:p>
    <w:p w14:paraId="002DDE59" w14:textId="4AF88DFF" w:rsidR="00894773" w:rsidRPr="00AF3A24" w:rsidRDefault="00894773" w:rsidP="00894773">
      <w:pPr>
        <w:pStyle w:val="Caption"/>
        <w:keepNext/>
        <w:spacing w:line="276" w:lineRule="auto"/>
        <w:ind w:left="993" w:hanging="993"/>
        <w:rPr>
          <w:rFonts w:asciiTheme="minorHAnsi" w:hAnsiTheme="minorHAnsi" w:cstheme="minorHAnsi"/>
          <w:i/>
        </w:rPr>
      </w:pPr>
      <w:bookmarkStart w:id="58" w:name="_Toc425426872"/>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5</w:t>
      </w:r>
      <w:r w:rsidRPr="00AF3A24">
        <w:rPr>
          <w:rFonts w:asciiTheme="minorHAnsi" w:hAnsiTheme="minorHAnsi"/>
          <w:i/>
        </w:rPr>
        <w:fldChar w:fldCharType="end"/>
      </w:r>
      <w:bookmarkEnd w:id="57"/>
      <w:r w:rsidRPr="00AF3A24">
        <w:rPr>
          <w:rFonts w:asciiTheme="minorHAnsi" w:hAnsiTheme="minorHAnsi"/>
          <w:i/>
        </w:rPr>
        <w:t>:</w:t>
      </w:r>
      <w:r w:rsidRPr="00AF3A24">
        <w:rPr>
          <w:rFonts w:asciiTheme="minorHAnsi" w:hAnsiTheme="minorHAnsi" w:cstheme="minorHAnsi"/>
          <w:i/>
        </w:rPr>
        <w:tab/>
        <w:t xml:space="preserve">Past year participation in specific types of gambling activities by </w:t>
      </w:r>
      <w:r>
        <w:rPr>
          <w:rFonts w:asciiTheme="minorHAnsi" w:hAnsiTheme="minorHAnsi" w:cstheme="minorHAnsi"/>
          <w:i/>
        </w:rPr>
        <w:t>ethnicity</w:t>
      </w:r>
      <w:r w:rsidRPr="00AF3A24">
        <w:rPr>
          <w:rFonts w:asciiTheme="minorHAnsi" w:hAnsiTheme="minorHAnsi" w:cstheme="minorHAnsi"/>
          <w:i/>
        </w:rPr>
        <w:t xml:space="preserve"> – </w:t>
      </w:r>
      <w:r>
        <w:rPr>
          <w:rFonts w:asciiTheme="minorHAnsi" w:hAnsiTheme="minorHAnsi" w:cstheme="minorHAnsi"/>
          <w:i/>
        </w:rPr>
        <w:t>o</w:t>
      </w:r>
      <w:r w:rsidRPr="00AF3A24">
        <w:rPr>
          <w:rFonts w:asciiTheme="minorHAnsi" w:hAnsiTheme="minorHAnsi" w:cstheme="minorHAnsi"/>
          <w:i/>
        </w:rPr>
        <w:t>dds ratios and p-values</w:t>
      </w:r>
      <w:r w:rsidR="00870472">
        <w:rPr>
          <w:rFonts w:asciiTheme="minorHAnsi" w:hAnsiTheme="minorHAnsi" w:cstheme="minorHAnsi"/>
          <w:i/>
        </w:rPr>
        <w:t xml:space="preserve"> (adjusted prevalence)</w:t>
      </w:r>
      <w:r w:rsidRPr="00AF3A24">
        <w:rPr>
          <w:rFonts w:asciiTheme="minorHAnsi" w:hAnsiTheme="minorHAnsi" w:cstheme="minorHAnsi"/>
          <w:i/>
        </w:rPr>
        <w:t xml:space="preserve"> </w:t>
      </w:r>
      <w:r w:rsidR="00DC770D" w:rsidRPr="00DC770D">
        <w:rPr>
          <w:rFonts w:asciiTheme="minorHAnsi" w:hAnsiTheme="minorHAnsi" w:cstheme="minorHAnsi"/>
          <w:i/>
          <w:vertAlign w:val="superscript"/>
        </w:rPr>
        <w:t>1</w:t>
      </w:r>
      <w:bookmarkEnd w:id="58"/>
    </w:p>
    <w:tbl>
      <w:tblPr>
        <w:tblStyle w:val="TableGrid"/>
        <w:tblW w:w="9752" w:type="dxa"/>
        <w:jc w:val="center"/>
        <w:tblLayout w:type="fixed"/>
        <w:tblLook w:val="04A0" w:firstRow="1" w:lastRow="0" w:firstColumn="1" w:lastColumn="0" w:noHBand="0" w:noVBand="1"/>
      </w:tblPr>
      <w:tblGrid>
        <w:gridCol w:w="3270"/>
        <w:gridCol w:w="1301"/>
        <w:gridCol w:w="1302"/>
        <w:gridCol w:w="1302"/>
        <w:gridCol w:w="1302"/>
        <w:gridCol w:w="1275"/>
      </w:tblGrid>
      <w:tr w:rsidR="00A33450" w:rsidRPr="00282775" w14:paraId="33234ECB" w14:textId="77777777" w:rsidTr="00955FA0">
        <w:trPr>
          <w:trHeight w:val="386"/>
          <w:jc w:val="center"/>
        </w:trPr>
        <w:tc>
          <w:tcPr>
            <w:tcW w:w="3270" w:type="dxa"/>
            <w:vMerge w:val="restart"/>
            <w:shd w:val="clear" w:color="auto" w:fill="92CDDC" w:themeFill="accent5" w:themeFillTint="99"/>
            <w:vAlign w:val="center"/>
          </w:tcPr>
          <w:p w14:paraId="7AB7BD71" w14:textId="77777777" w:rsidR="00A33450" w:rsidRPr="00282775" w:rsidRDefault="00A33450" w:rsidP="00A3345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GAMBLING ACTIVITY</w:t>
            </w:r>
          </w:p>
        </w:tc>
        <w:tc>
          <w:tcPr>
            <w:tcW w:w="5207" w:type="dxa"/>
            <w:gridSpan w:val="4"/>
            <w:tcBorders>
              <w:bottom w:val="single" w:sz="4" w:space="0" w:color="auto"/>
            </w:tcBorders>
            <w:shd w:val="clear" w:color="auto" w:fill="92CDDC" w:themeFill="accent5" w:themeFillTint="99"/>
            <w:vAlign w:val="center"/>
          </w:tcPr>
          <w:p w14:paraId="75EB9255" w14:textId="77777777" w:rsidR="00A33450" w:rsidRPr="00282775" w:rsidRDefault="00A33450" w:rsidP="00A3345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ETHNICITY</w:t>
            </w:r>
            <w:r w:rsidR="00894773" w:rsidRPr="00282775">
              <w:rPr>
                <w:rFonts w:asciiTheme="minorHAnsi" w:hAnsiTheme="minorHAnsi" w:cstheme="minorHAnsi"/>
                <w:b/>
                <w:sz w:val="16"/>
                <w:szCs w:val="16"/>
              </w:rPr>
              <w:t xml:space="preserve"> </w:t>
            </w:r>
            <w:r w:rsidR="00894773" w:rsidRPr="00282775">
              <w:rPr>
                <w:rFonts w:asciiTheme="minorHAnsi" w:hAnsiTheme="minorHAnsi" w:cstheme="minorHAnsi"/>
                <w:b/>
                <w:sz w:val="16"/>
                <w:szCs w:val="16"/>
                <w:vertAlign w:val="superscript"/>
              </w:rPr>
              <w:t>2</w:t>
            </w:r>
          </w:p>
        </w:tc>
        <w:tc>
          <w:tcPr>
            <w:tcW w:w="1275" w:type="dxa"/>
            <w:vMerge w:val="restart"/>
            <w:shd w:val="clear" w:color="auto" w:fill="92CDDC" w:themeFill="accent5" w:themeFillTint="99"/>
            <w:vAlign w:val="center"/>
          </w:tcPr>
          <w:p w14:paraId="6959BFE3"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 xml:space="preserve">p-value </w:t>
            </w:r>
            <w:r w:rsidR="00894773" w:rsidRPr="00282775">
              <w:rPr>
                <w:rFonts w:asciiTheme="minorHAnsi" w:hAnsiTheme="minorHAnsi" w:cstheme="minorHAnsi"/>
                <w:b/>
                <w:sz w:val="16"/>
                <w:szCs w:val="16"/>
                <w:vertAlign w:val="superscript"/>
              </w:rPr>
              <w:t>3</w:t>
            </w:r>
          </w:p>
        </w:tc>
      </w:tr>
      <w:tr w:rsidR="00A33450" w:rsidRPr="00282775" w14:paraId="5FA20855" w14:textId="77777777" w:rsidTr="00955FA0">
        <w:trPr>
          <w:trHeight w:val="386"/>
          <w:jc w:val="center"/>
        </w:trPr>
        <w:tc>
          <w:tcPr>
            <w:tcW w:w="3270" w:type="dxa"/>
            <w:vMerge/>
            <w:shd w:val="clear" w:color="auto" w:fill="92CDDC" w:themeFill="accent5" w:themeFillTint="99"/>
          </w:tcPr>
          <w:p w14:paraId="6C9287BA" w14:textId="77777777" w:rsidR="00A33450" w:rsidRPr="00282775" w:rsidRDefault="00A33450" w:rsidP="00955FA0">
            <w:pPr>
              <w:spacing w:before="0" w:line="240" w:lineRule="auto"/>
              <w:jc w:val="left"/>
              <w:rPr>
                <w:rFonts w:asciiTheme="minorHAnsi" w:hAnsiTheme="minorHAnsi" w:cstheme="minorHAnsi"/>
                <w:b/>
                <w:sz w:val="16"/>
                <w:szCs w:val="16"/>
              </w:rPr>
            </w:pPr>
          </w:p>
        </w:tc>
        <w:tc>
          <w:tcPr>
            <w:tcW w:w="1301" w:type="dxa"/>
            <w:tcBorders>
              <w:bottom w:val="single" w:sz="4" w:space="0" w:color="auto"/>
            </w:tcBorders>
            <w:shd w:val="clear" w:color="auto" w:fill="92CDDC" w:themeFill="accent5" w:themeFillTint="99"/>
            <w:vAlign w:val="center"/>
          </w:tcPr>
          <w:p w14:paraId="4C6DDD6F"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Māori</w:t>
            </w:r>
          </w:p>
        </w:tc>
        <w:tc>
          <w:tcPr>
            <w:tcW w:w="1302" w:type="dxa"/>
            <w:shd w:val="clear" w:color="auto" w:fill="92CDDC" w:themeFill="accent5" w:themeFillTint="99"/>
            <w:vAlign w:val="center"/>
          </w:tcPr>
          <w:p w14:paraId="2DD4D6B3"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Pacific</w:t>
            </w:r>
          </w:p>
        </w:tc>
        <w:tc>
          <w:tcPr>
            <w:tcW w:w="1302" w:type="dxa"/>
            <w:shd w:val="clear" w:color="auto" w:fill="92CDDC" w:themeFill="accent5" w:themeFillTint="99"/>
            <w:vAlign w:val="center"/>
          </w:tcPr>
          <w:p w14:paraId="593D4FAB"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Asian</w:t>
            </w:r>
          </w:p>
        </w:tc>
        <w:tc>
          <w:tcPr>
            <w:tcW w:w="1302" w:type="dxa"/>
            <w:shd w:val="clear" w:color="auto" w:fill="92CDDC" w:themeFill="accent5" w:themeFillTint="99"/>
          </w:tcPr>
          <w:p w14:paraId="20262745"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European / Other</w:t>
            </w:r>
          </w:p>
        </w:tc>
        <w:tc>
          <w:tcPr>
            <w:tcW w:w="1275" w:type="dxa"/>
            <w:vMerge/>
            <w:shd w:val="clear" w:color="auto" w:fill="92CDDC" w:themeFill="accent5" w:themeFillTint="99"/>
            <w:vAlign w:val="center"/>
          </w:tcPr>
          <w:p w14:paraId="72BD34DD" w14:textId="77777777" w:rsidR="00A33450" w:rsidRPr="00282775" w:rsidRDefault="00A33450" w:rsidP="00955FA0">
            <w:pPr>
              <w:spacing w:before="0" w:line="240" w:lineRule="auto"/>
              <w:jc w:val="center"/>
              <w:rPr>
                <w:rFonts w:asciiTheme="minorHAnsi" w:hAnsiTheme="minorHAnsi" w:cstheme="minorHAnsi"/>
                <w:b/>
                <w:sz w:val="16"/>
                <w:szCs w:val="16"/>
              </w:rPr>
            </w:pPr>
          </w:p>
        </w:tc>
      </w:tr>
      <w:tr w:rsidR="00A33450" w:rsidRPr="00282775" w14:paraId="4440A237" w14:textId="77777777" w:rsidTr="00282775">
        <w:trPr>
          <w:trHeight w:val="386"/>
          <w:jc w:val="center"/>
        </w:trPr>
        <w:tc>
          <w:tcPr>
            <w:tcW w:w="3270" w:type="dxa"/>
            <w:vMerge/>
            <w:tcBorders>
              <w:bottom w:val="single" w:sz="4" w:space="0" w:color="auto"/>
            </w:tcBorders>
            <w:shd w:val="clear" w:color="auto" w:fill="92CDDC" w:themeFill="accent5" w:themeFillTint="99"/>
          </w:tcPr>
          <w:p w14:paraId="66267D11" w14:textId="77777777" w:rsidR="00A33450" w:rsidRPr="00282775" w:rsidRDefault="00A33450" w:rsidP="00955FA0">
            <w:pPr>
              <w:spacing w:before="0" w:line="240" w:lineRule="auto"/>
              <w:jc w:val="left"/>
              <w:rPr>
                <w:rFonts w:asciiTheme="minorHAnsi" w:hAnsiTheme="minorHAnsi" w:cstheme="minorHAnsi"/>
                <w:b/>
                <w:sz w:val="16"/>
                <w:szCs w:val="16"/>
              </w:rPr>
            </w:pPr>
          </w:p>
        </w:tc>
        <w:tc>
          <w:tcPr>
            <w:tcW w:w="1301" w:type="dxa"/>
            <w:tcBorders>
              <w:bottom w:val="single" w:sz="4" w:space="0" w:color="auto"/>
            </w:tcBorders>
            <w:shd w:val="clear" w:color="auto" w:fill="92CDDC" w:themeFill="accent5" w:themeFillTint="99"/>
            <w:vAlign w:val="center"/>
          </w:tcPr>
          <w:p w14:paraId="6D98ED5C"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Odds ratio</w:t>
            </w:r>
          </w:p>
          <w:p w14:paraId="1ED6C9C0"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(95% CI)</w:t>
            </w:r>
          </w:p>
        </w:tc>
        <w:tc>
          <w:tcPr>
            <w:tcW w:w="1302" w:type="dxa"/>
            <w:tcBorders>
              <w:bottom w:val="single" w:sz="4" w:space="0" w:color="auto"/>
            </w:tcBorders>
            <w:shd w:val="clear" w:color="auto" w:fill="92CDDC" w:themeFill="accent5" w:themeFillTint="99"/>
            <w:vAlign w:val="center"/>
          </w:tcPr>
          <w:p w14:paraId="310690CF"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Odds ratio</w:t>
            </w:r>
          </w:p>
          <w:p w14:paraId="63EE28AB"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(95% CI)</w:t>
            </w:r>
          </w:p>
        </w:tc>
        <w:tc>
          <w:tcPr>
            <w:tcW w:w="1302" w:type="dxa"/>
            <w:tcBorders>
              <w:bottom w:val="single" w:sz="4" w:space="0" w:color="auto"/>
            </w:tcBorders>
            <w:shd w:val="clear" w:color="auto" w:fill="92CDDC" w:themeFill="accent5" w:themeFillTint="99"/>
            <w:vAlign w:val="center"/>
          </w:tcPr>
          <w:p w14:paraId="429B0F4C"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Odds ratio</w:t>
            </w:r>
          </w:p>
          <w:p w14:paraId="51A6B505" w14:textId="77777777" w:rsidR="00A33450" w:rsidRPr="00282775" w:rsidRDefault="00A33450" w:rsidP="00955FA0">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(95% CI)</w:t>
            </w:r>
          </w:p>
        </w:tc>
        <w:tc>
          <w:tcPr>
            <w:tcW w:w="1302" w:type="dxa"/>
            <w:tcBorders>
              <w:bottom w:val="single" w:sz="4" w:space="0" w:color="auto"/>
            </w:tcBorders>
            <w:shd w:val="clear" w:color="auto" w:fill="92CDDC" w:themeFill="accent5" w:themeFillTint="99"/>
            <w:vAlign w:val="center"/>
          </w:tcPr>
          <w:p w14:paraId="037B5590" w14:textId="77777777" w:rsidR="00A33450" w:rsidRPr="00282775" w:rsidRDefault="00282775" w:rsidP="00282775">
            <w:pPr>
              <w:spacing w:before="0" w:line="240" w:lineRule="auto"/>
              <w:jc w:val="center"/>
              <w:rPr>
                <w:rFonts w:asciiTheme="minorHAnsi" w:hAnsiTheme="minorHAnsi" w:cstheme="minorHAnsi"/>
                <w:b/>
                <w:sz w:val="16"/>
                <w:szCs w:val="16"/>
              </w:rPr>
            </w:pPr>
            <w:r>
              <w:rPr>
                <w:rFonts w:asciiTheme="minorHAnsi" w:hAnsiTheme="minorHAnsi" w:cstheme="minorHAnsi"/>
                <w:b/>
                <w:sz w:val="16"/>
                <w:szCs w:val="16"/>
              </w:rPr>
              <w:t>Odds ratio</w:t>
            </w:r>
          </w:p>
        </w:tc>
        <w:tc>
          <w:tcPr>
            <w:tcW w:w="1275" w:type="dxa"/>
            <w:vMerge/>
            <w:tcBorders>
              <w:bottom w:val="single" w:sz="4" w:space="0" w:color="auto"/>
            </w:tcBorders>
            <w:shd w:val="clear" w:color="auto" w:fill="92CDDC" w:themeFill="accent5" w:themeFillTint="99"/>
            <w:vAlign w:val="center"/>
          </w:tcPr>
          <w:p w14:paraId="2D8E3980" w14:textId="77777777" w:rsidR="00A33450" w:rsidRPr="00282775" w:rsidRDefault="00A33450" w:rsidP="00955FA0">
            <w:pPr>
              <w:spacing w:before="0" w:line="240" w:lineRule="auto"/>
              <w:jc w:val="center"/>
              <w:rPr>
                <w:rFonts w:asciiTheme="minorHAnsi" w:hAnsiTheme="minorHAnsi" w:cstheme="minorHAnsi"/>
                <w:b/>
                <w:sz w:val="16"/>
                <w:szCs w:val="16"/>
              </w:rPr>
            </w:pPr>
          </w:p>
        </w:tc>
      </w:tr>
      <w:tr w:rsidR="00A33450" w:rsidRPr="00282775" w14:paraId="6AA3DFBF" w14:textId="77777777" w:rsidTr="00955FA0">
        <w:trPr>
          <w:jc w:val="center"/>
        </w:trPr>
        <w:tc>
          <w:tcPr>
            <w:tcW w:w="3270" w:type="dxa"/>
            <w:tcBorders>
              <w:top w:val="single" w:sz="4" w:space="0" w:color="auto"/>
              <w:bottom w:val="nil"/>
            </w:tcBorders>
            <w:shd w:val="clear" w:color="auto" w:fill="DAEEF3" w:themeFill="accent5" w:themeFillTint="33"/>
            <w:vAlign w:val="center"/>
          </w:tcPr>
          <w:p w14:paraId="7E9BF317"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 xml:space="preserve">Any non-Lotto </w:t>
            </w:r>
          </w:p>
        </w:tc>
        <w:tc>
          <w:tcPr>
            <w:tcW w:w="1301" w:type="dxa"/>
            <w:tcBorders>
              <w:left w:val="nil"/>
              <w:bottom w:val="nil"/>
              <w:right w:val="single" w:sz="4" w:space="0" w:color="auto"/>
            </w:tcBorders>
            <w:shd w:val="clear" w:color="auto" w:fill="DAEEF3" w:themeFill="accent5" w:themeFillTint="33"/>
            <w:vAlign w:val="center"/>
          </w:tcPr>
          <w:p w14:paraId="3FC9B4C3" w14:textId="77777777" w:rsidR="0098790D" w:rsidRPr="005D789C" w:rsidRDefault="0098790D"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1.2</w:t>
            </w:r>
            <w:r w:rsidRPr="005D789C">
              <w:rPr>
                <w:rFonts w:ascii="Calibri Light" w:hAnsi="Calibri Light"/>
                <w:color w:val="000000"/>
                <w:sz w:val="16"/>
                <w:szCs w:val="16"/>
              </w:rPr>
              <w:br/>
              <w:t>(1.0 - 1.3)</w:t>
            </w:r>
          </w:p>
        </w:tc>
        <w:tc>
          <w:tcPr>
            <w:tcW w:w="1302" w:type="dxa"/>
            <w:tcBorders>
              <w:left w:val="nil"/>
              <w:bottom w:val="nil"/>
              <w:right w:val="single" w:sz="4" w:space="0" w:color="auto"/>
            </w:tcBorders>
            <w:shd w:val="clear" w:color="auto" w:fill="DAEEF3" w:themeFill="accent5" w:themeFillTint="33"/>
            <w:vAlign w:val="center"/>
          </w:tcPr>
          <w:p w14:paraId="38287CF9" w14:textId="77777777" w:rsidR="00A33450" w:rsidRPr="005D789C" w:rsidRDefault="0098790D"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0.7</w:t>
            </w:r>
            <w:r w:rsidRPr="005D789C">
              <w:rPr>
                <w:rFonts w:ascii="Calibri Light" w:hAnsi="Calibri Light"/>
                <w:color w:val="000000"/>
                <w:sz w:val="16"/>
                <w:szCs w:val="16"/>
              </w:rPr>
              <w:br/>
              <w:t>(0.5 - 0.9)</w:t>
            </w:r>
          </w:p>
        </w:tc>
        <w:tc>
          <w:tcPr>
            <w:tcW w:w="1302" w:type="dxa"/>
            <w:tcBorders>
              <w:left w:val="single" w:sz="4" w:space="0" w:color="auto"/>
              <w:bottom w:val="nil"/>
              <w:right w:val="single" w:sz="4" w:space="0" w:color="auto"/>
            </w:tcBorders>
            <w:shd w:val="clear" w:color="auto" w:fill="DAEEF3" w:themeFill="accent5" w:themeFillTint="33"/>
            <w:vAlign w:val="center"/>
          </w:tcPr>
          <w:p w14:paraId="044F3806" w14:textId="77777777" w:rsidR="00A33450" w:rsidRPr="005D789C" w:rsidRDefault="0098790D"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0.3</w:t>
            </w:r>
            <w:r w:rsidRPr="005D789C">
              <w:rPr>
                <w:rFonts w:ascii="Calibri Light" w:hAnsi="Calibri Light"/>
                <w:color w:val="000000"/>
                <w:sz w:val="16"/>
                <w:szCs w:val="16"/>
              </w:rPr>
              <w:br/>
              <w:t>(0.3 - 0.4)</w:t>
            </w:r>
          </w:p>
        </w:tc>
        <w:tc>
          <w:tcPr>
            <w:tcW w:w="1302" w:type="dxa"/>
            <w:tcBorders>
              <w:left w:val="single" w:sz="4" w:space="0" w:color="auto"/>
              <w:bottom w:val="nil"/>
              <w:right w:val="single" w:sz="4" w:space="0" w:color="auto"/>
            </w:tcBorders>
            <w:shd w:val="clear" w:color="auto" w:fill="DAEEF3" w:themeFill="accent5" w:themeFillTint="33"/>
            <w:vAlign w:val="center"/>
          </w:tcPr>
          <w:p w14:paraId="6E24F04E"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left w:val="single" w:sz="4" w:space="0" w:color="auto"/>
              <w:bottom w:val="nil"/>
              <w:right w:val="single" w:sz="4" w:space="0" w:color="auto"/>
            </w:tcBorders>
            <w:shd w:val="clear" w:color="auto" w:fill="DAEEF3" w:themeFill="accent5" w:themeFillTint="33"/>
            <w:vAlign w:val="center"/>
          </w:tcPr>
          <w:p w14:paraId="1A23CE09"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A33450" w:rsidRPr="00282775" w14:paraId="6867B326" w14:textId="77777777" w:rsidTr="00955FA0">
        <w:trPr>
          <w:jc w:val="center"/>
        </w:trPr>
        <w:tc>
          <w:tcPr>
            <w:tcW w:w="3270" w:type="dxa"/>
            <w:tcBorders>
              <w:top w:val="nil"/>
              <w:bottom w:val="dashed" w:sz="4" w:space="0" w:color="auto"/>
            </w:tcBorders>
            <w:shd w:val="clear" w:color="auto" w:fill="DAEEF3" w:themeFill="accent5" w:themeFillTint="33"/>
            <w:vAlign w:val="center"/>
          </w:tcPr>
          <w:p w14:paraId="2BCB903C"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Any gaming machine (casino or non-casino)</w:t>
            </w:r>
          </w:p>
        </w:tc>
        <w:tc>
          <w:tcPr>
            <w:tcW w:w="1301" w:type="dxa"/>
            <w:tcBorders>
              <w:top w:val="nil"/>
              <w:left w:val="nil"/>
              <w:bottom w:val="dashed" w:sz="4" w:space="0" w:color="auto"/>
              <w:right w:val="single" w:sz="4" w:space="0" w:color="auto"/>
            </w:tcBorders>
            <w:shd w:val="clear" w:color="auto" w:fill="DAEEF3" w:themeFill="accent5" w:themeFillTint="33"/>
            <w:vAlign w:val="center"/>
          </w:tcPr>
          <w:p w14:paraId="3B690C36"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1.5</w:t>
            </w:r>
            <w:r w:rsidRPr="005D789C">
              <w:rPr>
                <w:rFonts w:ascii="Calibri Light" w:hAnsi="Calibri Light"/>
                <w:color w:val="000000"/>
                <w:sz w:val="16"/>
                <w:szCs w:val="16"/>
              </w:rPr>
              <w:br/>
              <w:t>(1.3 - 1.9)</w:t>
            </w:r>
          </w:p>
        </w:tc>
        <w:tc>
          <w:tcPr>
            <w:tcW w:w="1302" w:type="dxa"/>
            <w:tcBorders>
              <w:top w:val="nil"/>
              <w:left w:val="nil"/>
              <w:bottom w:val="dashed" w:sz="4" w:space="0" w:color="auto"/>
              <w:right w:val="single" w:sz="4" w:space="0" w:color="auto"/>
            </w:tcBorders>
            <w:shd w:val="clear" w:color="auto" w:fill="DAEEF3" w:themeFill="accent5" w:themeFillTint="33"/>
            <w:vAlign w:val="center"/>
          </w:tcPr>
          <w:p w14:paraId="48065938"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0.8</w:t>
            </w:r>
            <w:r w:rsidRPr="005D789C">
              <w:rPr>
                <w:rFonts w:ascii="Calibri Light" w:hAnsi="Calibri Light"/>
                <w:color w:val="000000"/>
                <w:sz w:val="16"/>
                <w:szCs w:val="16"/>
              </w:rPr>
              <w:br/>
              <w:t>(0.6 - 1.1)</w:t>
            </w:r>
          </w:p>
        </w:tc>
        <w:tc>
          <w:tcPr>
            <w:tcW w:w="1302" w:type="dxa"/>
            <w:tcBorders>
              <w:top w:val="nil"/>
              <w:left w:val="single" w:sz="4" w:space="0" w:color="auto"/>
              <w:bottom w:val="dashed" w:sz="4" w:space="0" w:color="auto"/>
              <w:right w:val="single" w:sz="4" w:space="0" w:color="auto"/>
            </w:tcBorders>
            <w:shd w:val="clear" w:color="auto" w:fill="DAEEF3" w:themeFill="accent5" w:themeFillTint="33"/>
            <w:vAlign w:val="center"/>
          </w:tcPr>
          <w:p w14:paraId="36999EDF"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0.4</w:t>
            </w:r>
            <w:r w:rsidRPr="005D789C">
              <w:rPr>
                <w:rFonts w:ascii="Calibri Light" w:hAnsi="Calibri Light"/>
                <w:color w:val="000000"/>
                <w:sz w:val="16"/>
                <w:szCs w:val="16"/>
              </w:rPr>
              <w:br/>
              <w:t>(0.3 - 0.6)</w:t>
            </w:r>
          </w:p>
        </w:tc>
        <w:tc>
          <w:tcPr>
            <w:tcW w:w="1302" w:type="dxa"/>
            <w:tcBorders>
              <w:top w:val="nil"/>
              <w:left w:val="single" w:sz="4" w:space="0" w:color="auto"/>
              <w:bottom w:val="dashed" w:sz="4" w:space="0" w:color="auto"/>
              <w:right w:val="single" w:sz="4" w:space="0" w:color="auto"/>
            </w:tcBorders>
            <w:shd w:val="clear" w:color="auto" w:fill="DAEEF3" w:themeFill="accent5" w:themeFillTint="33"/>
            <w:vAlign w:val="center"/>
          </w:tcPr>
          <w:p w14:paraId="3E70AF92"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dashed" w:sz="4" w:space="0" w:color="auto"/>
              <w:right w:val="single" w:sz="4" w:space="0" w:color="auto"/>
            </w:tcBorders>
            <w:shd w:val="clear" w:color="auto" w:fill="DAEEF3" w:themeFill="accent5" w:themeFillTint="33"/>
            <w:vAlign w:val="center"/>
          </w:tcPr>
          <w:p w14:paraId="040C56B9"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2F0ECF" w:rsidRPr="00282775" w14:paraId="75CA31CF" w14:textId="77777777" w:rsidTr="00955FA0">
        <w:trPr>
          <w:jc w:val="center"/>
        </w:trPr>
        <w:tc>
          <w:tcPr>
            <w:tcW w:w="3270" w:type="dxa"/>
            <w:tcBorders>
              <w:top w:val="dashed" w:sz="4" w:space="0" w:color="auto"/>
              <w:bottom w:val="nil"/>
            </w:tcBorders>
            <w:shd w:val="clear" w:color="auto" w:fill="DAEEF3" w:themeFill="accent5" w:themeFillTint="33"/>
            <w:vAlign w:val="center"/>
          </w:tcPr>
          <w:p w14:paraId="6D509EA1"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Lotto</w:t>
            </w:r>
          </w:p>
        </w:tc>
        <w:tc>
          <w:tcPr>
            <w:tcW w:w="1301" w:type="dxa"/>
            <w:tcBorders>
              <w:top w:val="dashed" w:sz="4" w:space="0" w:color="auto"/>
              <w:left w:val="nil"/>
              <w:bottom w:val="nil"/>
              <w:right w:val="single" w:sz="4" w:space="0" w:color="auto"/>
            </w:tcBorders>
            <w:shd w:val="clear" w:color="auto" w:fill="DAEEF3" w:themeFill="accent5" w:themeFillTint="33"/>
            <w:vAlign w:val="center"/>
          </w:tcPr>
          <w:p w14:paraId="48E280EC"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1.1</w:t>
            </w:r>
            <w:r w:rsidRPr="005D789C">
              <w:rPr>
                <w:rFonts w:ascii="Calibri Light" w:hAnsi="Calibri Light"/>
                <w:color w:val="000000"/>
                <w:sz w:val="16"/>
                <w:szCs w:val="16"/>
              </w:rPr>
              <w:br/>
              <w:t>(0.9 - 1.2)</w:t>
            </w:r>
          </w:p>
        </w:tc>
        <w:tc>
          <w:tcPr>
            <w:tcW w:w="1302" w:type="dxa"/>
            <w:tcBorders>
              <w:top w:val="dashed" w:sz="4" w:space="0" w:color="auto"/>
              <w:left w:val="nil"/>
              <w:bottom w:val="nil"/>
              <w:right w:val="single" w:sz="4" w:space="0" w:color="auto"/>
            </w:tcBorders>
            <w:shd w:val="clear" w:color="auto" w:fill="DAEEF3" w:themeFill="accent5" w:themeFillTint="33"/>
            <w:vAlign w:val="center"/>
          </w:tcPr>
          <w:p w14:paraId="3478B015"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0.9</w:t>
            </w:r>
            <w:r w:rsidRPr="005D789C">
              <w:rPr>
                <w:rFonts w:ascii="Calibri Light" w:hAnsi="Calibri Light"/>
                <w:color w:val="000000"/>
                <w:sz w:val="16"/>
                <w:szCs w:val="16"/>
              </w:rPr>
              <w:br/>
              <w:t>(0.7 - 1.1)</w:t>
            </w:r>
          </w:p>
        </w:tc>
        <w:tc>
          <w:tcPr>
            <w:tcW w:w="1302"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1507E102"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0.6</w:t>
            </w:r>
            <w:r w:rsidRPr="005D789C">
              <w:rPr>
                <w:rFonts w:ascii="Calibri Light" w:hAnsi="Calibri Light"/>
                <w:color w:val="000000"/>
                <w:sz w:val="16"/>
                <w:szCs w:val="16"/>
              </w:rPr>
              <w:br/>
              <w:t>(0.5 - 0.8)</w:t>
            </w:r>
          </w:p>
        </w:tc>
        <w:tc>
          <w:tcPr>
            <w:tcW w:w="1302"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6A4FD939"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144D5533"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A33450" w:rsidRPr="00282775" w14:paraId="6DD04092" w14:textId="77777777" w:rsidTr="00955FA0">
        <w:trPr>
          <w:jc w:val="center"/>
        </w:trPr>
        <w:tc>
          <w:tcPr>
            <w:tcW w:w="3270" w:type="dxa"/>
            <w:tcBorders>
              <w:top w:val="nil"/>
              <w:bottom w:val="nil"/>
            </w:tcBorders>
            <w:shd w:val="clear" w:color="auto" w:fill="DAEEF3" w:themeFill="accent5" w:themeFillTint="33"/>
            <w:vAlign w:val="center"/>
          </w:tcPr>
          <w:p w14:paraId="68E5B973"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Instant Kiwi or other scratch tickets</w:t>
            </w:r>
          </w:p>
        </w:tc>
        <w:tc>
          <w:tcPr>
            <w:tcW w:w="1301" w:type="dxa"/>
            <w:tcBorders>
              <w:top w:val="nil"/>
              <w:left w:val="nil"/>
              <w:bottom w:val="nil"/>
              <w:right w:val="single" w:sz="4" w:space="0" w:color="auto"/>
            </w:tcBorders>
            <w:shd w:val="clear" w:color="auto" w:fill="DAEEF3" w:themeFill="accent5" w:themeFillTint="33"/>
            <w:vAlign w:val="center"/>
          </w:tcPr>
          <w:p w14:paraId="5008564E"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1.0</w:t>
            </w:r>
            <w:r w:rsidRPr="005D789C">
              <w:rPr>
                <w:rFonts w:ascii="Calibri Light" w:hAnsi="Calibri Light"/>
                <w:color w:val="000000"/>
                <w:sz w:val="16"/>
                <w:szCs w:val="16"/>
              </w:rPr>
              <w:br/>
              <w:t>(0.9 - 1.2)</w:t>
            </w:r>
          </w:p>
        </w:tc>
        <w:tc>
          <w:tcPr>
            <w:tcW w:w="1302" w:type="dxa"/>
            <w:tcBorders>
              <w:top w:val="nil"/>
              <w:left w:val="nil"/>
              <w:bottom w:val="nil"/>
              <w:right w:val="single" w:sz="4" w:space="0" w:color="auto"/>
            </w:tcBorders>
            <w:shd w:val="clear" w:color="auto" w:fill="DAEEF3" w:themeFill="accent5" w:themeFillTint="33"/>
            <w:vAlign w:val="center"/>
          </w:tcPr>
          <w:p w14:paraId="6AE3CCE5"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0.6</w:t>
            </w:r>
            <w:r w:rsidRPr="005D789C">
              <w:rPr>
                <w:rFonts w:ascii="Calibri Light" w:hAnsi="Calibri Light"/>
                <w:color w:val="000000"/>
                <w:sz w:val="16"/>
                <w:szCs w:val="16"/>
              </w:rPr>
              <w:br/>
              <w:t>(0.4 - 0.8)</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40384FDF"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0.3</w:t>
            </w:r>
            <w:r w:rsidRPr="005D789C">
              <w:rPr>
                <w:rFonts w:ascii="Calibri Light" w:hAnsi="Calibri Light"/>
                <w:color w:val="000000"/>
                <w:sz w:val="16"/>
                <w:szCs w:val="16"/>
              </w:rPr>
              <w:br/>
              <w:t>(0.2 - 0.4)</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4B5D0064"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49E4E920"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A33450" w:rsidRPr="00282775" w14:paraId="387EC806" w14:textId="77777777" w:rsidTr="00955FA0">
        <w:trPr>
          <w:jc w:val="center"/>
        </w:trPr>
        <w:tc>
          <w:tcPr>
            <w:tcW w:w="3270" w:type="dxa"/>
            <w:tcBorders>
              <w:top w:val="nil"/>
              <w:bottom w:val="nil"/>
            </w:tcBorders>
            <w:shd w:val="clear" w:color="auto" w:fill="DAEEF3" w:themeFill="accent5" w:themeFillTint="33"/>
            <w:vAlign w:val="center"/>
          </w:tcPr>
          <w:p w14:paraId="694A19F9"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Non-casino gaming machines</w:t>
            </w:r>
          </w:p>
        </w:tc>
        <w:tc>
          <w:tcPr>
            <w:tcW w:w="1301" w:type="dxa"/>
            <w:tcBorders>
              <w:top w:val="nil"/>
              <w:left w:val="nil"/>
              <w:bottom w:val="nil"/>
              <w:right w:val="single" w:sz="4" w:space="0" w:color="auto"/>
            </w:tcBorders>
            <w:shd w:val="clear" w:color="auto" w:fill="DAEEF3" w:themeFill="accent5" w:themeFillTint="33"/>
            <w:vAlign w:val="center"/>
          </w:tcPr>
          <w:p w14:paraId="5AD345E3"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1.7</w:t>
            </w:r>
            <w:r w:rsidRPr="005D789C">
              <w:rPr>
                <w:rFonts w:ascii="Calibri Light" w:hAnsi="Calibri Light"/>
                <w:color w:val="000000"/>
                <w:sz w:val="16"/>
                <w:szCs w:val="16"/>
              </w:rPr>
              <w:br/>
              <w:t>(1.4 - 2.2)</w:t>
            </w:r>
          </w:p>
        </w:tc>
        <w:tc>
          <w:tcPr>
            <w:tcW w:w="1302" w:type="dxa"/>
            <w:tcBorders>
              <w:top w:val="nil"/>
              <w:left w:val="nil"/>
              <w:bottom w:val="nil"/>
              <w:right w:val="single" w:sz="4" w:space="0" w:color="auto"/>
            </w:tcBorders>
            <w:shd w:val="clear" w:color="auto" w:fill="DAEEF3" w:themeFill="accent5" w:themeFillTint="33"/>
            <w:vAlign w:val="center"/>
          </w:tcPr>
          <w:p w14:paraId="762D0CE6"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0.8</w:t>
            </w:r>
            <w:r w:rsidRPr="005D789C">
              <w:rPr>
                <w:rFonts w:ascii="Calibri Light" w:hAnsi="Calibri Light"/>
                <w:color w:val="000000"/>
                <w:sz w:val="16"/>
                <w:szCs w:val="16"/>
              </w:rPr>
              <w:br/>
              <w:t>(0.5 - 1.2)</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3954C1ED"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0.2</w:t>
            </w:r>
            <w:r w:rsidRPr="005D789C">
              <w:rPr>
                <w:rFonts w:ascii="Calibri Light" w:hAnsi="Calibri Light"/>
                <w:color w:val="000000"/>
                <w:sz w:val="16"/>
                <w:szCs w:val="16"/>
              </w:rPr>
              <w:br/>
              <w:t>(0.1 - 0.4)</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03A06A02"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3C0F7816"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A33450" w:rsidRPr="00282775" w14:paraId="075F2FCB" w14:textId="77777777" w:rsidTr="00955FA0">
        <w:trPr>
          <w:jc w:val="center"/>
        </w:trPr>
        <w:tc>
          <w:tcPr>
            <w:tcW w:w="3270" w:type="dxa"/>
            <w:tcBorders>
              <w:top w:val="nil"/>
              <w:bottom w:val="nil"/>
            </w:tcBorders>
            <w:shd w:val="clear" w:color="auto" w:fill="DAEEF3" w:themeFill="accent5" w:themeFillTint="33"/>
            <w:vAlign w:val="center"/>
          </w:tcPr>
          <w:p w14:paraId="72CC5476" w14:textId="77777777" w:rsidR="00A33450" w:rsidRPr="005D789C" w:rsidRDefault="00A33450"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Track betting</w:t>
            </w:r>
          </w:p>
        </w:tc>
        <w:tc>
          <w:tcPr>
            <w:tcW w:w="1301" w:type="dxa"/>
            <w:tcBorders>
              <w:top w:val="nil"/>
              <w:left w:val="nil"/>
              <w:bottom w:val="nil"/>
              <w:right w:val="single" w:sz="4" w:space="0" w:color="auto"/>
            </w:tcBorders>
            <w:shd w:val="clear" w:color="auto" w:fill="DAEEF3" w:themeFill="accent5" w:themeFillTint="33"/>
            <w:vAlign w:val="center"/>
          </w:tcPr>
          <w:p w14:paraId="23D11B3F"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0.8</w:t>
            </w:r>
            <w:r w:rsidRPr="005D789C">
              <w:rPr>
                <w:rFonts w:ascii="Calibri Light" w:hAnsi="Calibri Light"/>
                <w:color w:val="000000"/>
                <w:sz w:val="16"/>
                <w:szCs w:val="16"/>
              </w:rPr>
              <w:br/>
              <w:t>(0.6 - 1.0)</w:t>
            </w:r>
          </w:p>
        </w:tc>
        <w:tc>
          <w:tcPr>
            <w:tcW w:w="1302" w:type="dxa"/>
            <w:tcBorders>
              <w:top w:val="nil"/>
              <w:left w:val="nil"/>
              <w:bottom w:val="nil"/>
              <w:right w:val="single" w:sz="4" w:space="0" w:color="auto"/>
            </w:tcBorders>
            <w:shd w:val="clear" w:color="auto" w:fill="DAEEF3" w:themeFill="accent5" w:themeFillTint="33"/>
            <w:vAlign w:val="center"/>
          </w:tcPr>
          <w:p w14:paraId="280EF46A"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0.5</w:t>
            </w:r>
            <w:r w:rsidRPr="005D789C">
              <w:rPr>
                <w:rFonts w:ascii="Calibri Light" w:hAnsi="Calibri Light"/>
                <w:color w:val="000000"/>
                <w:sz w:val="16"/>
                <w:szCs w:val="16"/>
              </w:rPr>
              <w:br/>
              <w:t>(0.3 - 0.8)</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60C346A5" w14:textId="77777777" w:rsidR="00A33450"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0.1</w:t>
            </w:r>
            <w:r w:rsidRPr="005D789C">
              <w:rPr>
                <w:rFonts w:ascii="Calibri Light" w:hAnsi="Calibri Light"/>
                <w:color w:val="000000"/>
                <w:sz w:val="16"/>
                <w:szCs w:val="16"/>
              </w:rPr>
              <w:br/>
              <w:t>(0.1 - 0.3)</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3E7A145D"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6C6C0741"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DF51FE" w:rsidRPr="00282775" w14:paraId="3275D267" w14:textId="77777777" w:rsidTr="00A318DE">
        <w:trPr>
          <w:jc w:val="center"/>
        </w:trPr>
        <w:tc>
          <w:tcPr>
            <w:tcW w:w="3270" w:type="dxa"/>
            <w:tcBorders>
              <w:top w:val="nil"/>
              <w:bottom w:val="nil"/>
            </w:tcBorders>
            <w:shd w:val="clear" w:color="auto" w:fill="DAEEF3" w:themeFill="accent5" w:themeFillTint="33"/>
            <w:vAlign w:val="center"/>
          </w:tcPr>
          <w:p w14:paraId="69B936DD" w14:textId="77777777" w:rsidR="00DF51FE" w:rsidRPr="005D789C" w:rsidRDefault="00DF51FE" w:rsidP="00985B63">
            <w:pPr>
              <w:spacing w:before="0" w:line="240" w:lineRule="auto"/>
              <w:ind w:left="78"/>
              <w:jc w:val="left"/>
              <w:rPr>
                <w:rFonts w:asciiTheme="minorHAnsi" w:hAnsiTheme="minorHAnsi" w:cstheme="minorHAnsi"/>
                <w:sz w:val="16"/>
                <w:szCs w:val="16"/>
              </w:rPr>
            </w:pPr>
            <w:r w:rsidRPr="005D789C">
              <w:rPr>
                <w:rFonts w:asciiTheme="minorHAnsi" w:hAnsiTheme="minorHAnsi" w:cstheme="minorHAnsi"/>
                <w:sz w:val="16"/>
                <w:szCs w:val="16"/>
              </w:rPr>
              <w:t>Keno</w:t>
            </w:r>
          </w:p>
        </w:tc>
        <w:tc>
          <w:tcPr>
            <w:tcW w:w="1301" w:type="dxa"/>
            <w:tcBorders>
              <w:top w:val="nil"/>
              <w:left w:val="nil"/>
              <w:bottom w:val="nil"/>
              <w:right w:val="single" w:sz="4" w:space="0" w:color="auto"/>
            </w:tcBorders>
            <w:shd w:val="clear" w:color="auto" w:fill="DAEEF3" w:themeFill="accent5" w:themeFillTint="33"/>
            <w:vAlign w:val="center"/>
          </w:tcPr>
          <w:p w14:paraId="017ABE5D" w14:textId="77777777" w:rsidR="00DF51FE"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2.2</w:t>
            </w:r>
            <w:r w:rsidRPr="005D789C">
              <w:rPr>
                <w:rFonts w:ascii="Calibri Light" w:hAnsi="Calibri Light"/>
                <w:color w:val="000000"/>
                <w:sz w:val="16"/>
                <w:szCs w:val="16"/>
              </w:rPr>
              <w:br/>
              <w:t>(1.3 - 3.7)</w:t>
            </w:r>
          </w:p>
        </w:tc>
        <w:tc>
          <w:tcPr>
            <w:tcW w:w="1302" w:type="dxa"/>
            <w:tcBorders>
              <w:top w:val="nil"/>
              <w:left w:val="nil"/>
              <w:bottom w:val="nil"/>
              <w:right w:val="single" w:sz="4" w:space="0" w:color="auto"/>
            </w:tcBorders>
            <w:shd w:val="clear" w:color="auto" w:fill="DAEEF3" w:themeFill="accent5" w:themeFillTint="33"/>
            <w:vAlign w:val="center"/>
          </w:tcPr>
          <w:p w14:paraId="5CE5B5D9" w14:textId="77777777" w:rsidR="00DF51FE"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2.4</w:t>
            </w:r>
            <w:r w:rsidRPr="005D789C">
              <w:rPr>
                <w:rFonts w:ascii="Calibri Light" w:hAnsi="Calibri Light"/>
                <w:color w:val="000000"/>
                <w:sz w:val="16"/>
                <w:szCs w:val="16"/>
              </w:rPr>
              <w:br/>
              <w:t>(1.2 - 5.0)</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737E2B49" w14:textId="77777777" w:rsidR="00DF51FE" w:rsidRPr="005D789C" w:rsidRDefault="00985B63" w:rsidP="00985B63">
            <w:pPr>
              <w:spacing w:before="0" w:line="240" w:lineRule="auto"/>
              <w:jc w:val="center"/>
              <w:rPr>
                <w:rFonts w:ascii="Calibri Light" w:hAnsi="Calibri Light"/>
                <w:color w:val="000000"/>
                <w:sz w:val="16"/>
                <w:szCs w:val="16"/>
              </w:rPr>
            </w:pPr>
            <w:r w:rsidRPr="005D789C">
              <w:rPr>
                <w:rFonts w:ascii="Calibri Light" w:hAnsi="Calibri Light"/>
                <w:color w:val="000000"/>
                <w:sz w:val="16"/>
                <w:szCs w:val="16"/>
              </w:rPr>
              <w:t>0.5</w:t>
            </w:r>
            <w:r w:rsidRPr="005D789C">
              <w:rPr>
                <w:rFonts w:ascii="Calibri Light" w:hAnsi="Calibri Light"/>
                <w:color w:val="000000"/>
                <w:sz w:val="16"/>
                <w:szCs w:val="16"/>
              </w:rPr>
              <w:br/>
              <w:t>(0.1 - 2.5)</w:t>
            </w:r>
          </w:p>
        </w:tc>
        <w:tc>
          <w:tcPr>
            <w:tcW w:w="1302" w:type="dxa"/>
            <w:tcBorders>
              <w:top w:val="nil"/>
              <w:left w:val="single" w:sz="4" w:space="0" w:color="auto"/>
              <w:bottom w:val="nil"/>
              <w:right w:val="single" w:sz="4" w:space="0" w:color="auto"/>
            </w:tcBorders>
            <w:shd w:val="clear" w:color="auto" w:fill="DAEEF3" w:themeFill="accent5" w:themeFillTint="33"/>
            <w:vAlign w:val="center"/>
          </w:tcPr>
          <w:p w14:paraId="4A4F7293" w14:textId="77777777" w:rsidR="00DF51FE" w:rsidRPr="00282775" w:rsidRDefault="00DF51FE"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64EB5056" w14:textId="77777777" w:rsidR="00DF51FE" w:rsidRPr="00282775" w:rsidRDefault="00DF51FE"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0.0021</w:t>
            </w:r>
          </w:p>
        </w:tc>
      </w:tr>
      <w:tr w:rsidR="002F0ECF" w:rsidRPr="00282775" w14:paraId="1408C0E0" w14:textId="77777777" w:rsidTr="00955FA0">
        <w:trPr>
          <w:jc w:val="center"/>
        </w:trPr>
        <w:tc>
          <w:tcPr>
            <w:tcW w:w="3270" w:type="dxa"/>
            <w:tcBorders>
              <w:top w:val="nil"/>
              <w:bottom w:val="single" w:sz="4" w:space="0" w:color="auto"/>
            </w:tcBorders>
            <w:shd w:val="clear" w:color="auto" w:fill="DAEEF3" w:themeFill="accent5" w:themeFillTint="33"/>
            <w:vAlign w:val="center"/>
          </w:tcPr>
          <w:p w14:paraId="6D15871E" w14:textId="77777777" w:rsidR="00A33450" w:rsidRPr="00282775" w:rsidRDefault="00A33450" w:rsidP="00985B63">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Housie</w:t>
            </w:r>
          </w:p>
        </w:tc>
        <w:tc>
          <w:tcPr>
            <w:tcW w:w="1301" w:type="dxa"/>
            <w:tcBorders>
              <w:top w:val="nil"/>
              <w:left w:val="nil"/>
              <w:bottom w:val="single" w:sz="4" w:space="0" w:color="auto"/>
              <w:right w:val="single" w:sz="4" w:space="0" w:color="auto"/>
            </w:tcBorders>
            <w:shd w:val="clear" w:color="auto" w:fill="DAEEF3" w:themeFill="accent5" w:themeFillTint="33"/>
            <w:vAlign w:val="center"/>
          </w:tcPr>
          <w:p w14:paraId="6DED7199" w14:textId="77777777" w:rsidR="00A33450" w:rsidRPr="00282775" w:rsidRDefault="00985B63" w:rsidP="00985B63">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3.7</w:t>
            </w:r>
            <w:r w:rsidRPr="00282775">
              <w:rPr>
                <w:rFonts w:ascii="Calibri Light" w:hAnsi="Calibri Light"/>
                <w:color w:val="000000"/>
                <w:sz w:val="16"/>
                <w:szCs w:val="16"/>
              </w:rPr>
              <w:br/>
              <w:t>(2.2 - 6.0)</w:t>
            </w:r>
          </w:p>
        </w:tc>
        <w:tc>
          <w:tcPr>
            <w:tcW w:w="1302" w:type="dxa"/>
            <w:tcBorders>
              <w:top w:val="nil"/>
              <w:left w:val="nil"/>
              <w:bottom w:val="single" w:sz="4" w:space="0" w:color="auto"/>
              <w:right w:val="single" w:sz="4" w:space="0" w:color="auto"/>
            </w:tcBorders>
            <w:shd w:val="clear" w:color="auto" w:fill="DAEEF3" w:themeFill="accent5" w:themeFillTint="33"/>
            <w:vAlign w:val="center"/>
          </w:tcPr>
          <w:p w14:paraId="492BE368" w14:textId="77777777" w:rsidR="00A33450" w:rsidRPr="00282775" w:rsidRDefault="00985B63" w:rsidP="00985B63">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3.1</w:t>
            </w:r>
            <w:r w:rsidRPr="00282775">
              <w:rPr>
                <w:rFonts w:ascii="Calibri Light" w:hAnsi="Calibri Light"/>
                <w:color w:val="000000"/>
                <w:sz w:val="16"/>
                <w:szCs w:val="16"/>
              </w:rPr>
              <w:br/>
              <w:t>(1.6 - 6.0)</w:t>
            </w:r>
          </w:p>
        </w:tc>
        <w:tc>
          <w:tcPr>
            <w:tcW w:w="1302"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33BFEB1E" w14:textId="77777777" w:rsidR="00A33450" w:rsidRPr="00282775" w:rsidRDefault="00985B63" w:rsidP="00985B63">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0.0</w:t>
            </w:r>
            <w:r w:rsidRPr="00282775">
              <w:rPr>
                <w:rFonts w:ascii="Calibri Light" w:hAnsi="Calibri Light"/>
                <w:color w:val="000000"/>
                <w:sz w:val="16"/>
                <w:szCs w:val="16"/>
              </w:rPr>
              <w:br/>
              <w:t>(0.0 - 0.2)</w:t>
            </w:r>
          </w:p>
        </w:tc>
        <w:tc>
          <w:tcPr>
            <w:tcW w:w="1302"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64ABABAC"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28E5D428" w14:textId="77777777" w:rsidR="00A33450" w:rsidRPr="00282775" w:rsidRDefault="00A33450" w:rsidP="00985B63">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bl>
    <w:p w14:paraId="2EDC09A6" w14:textId="77777777" w:rsidR="00894773" w:rsidRPr="00AF3A24" w:rsidRDefault="00894773" w:rsidP="00894773">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4A6AE897" w14:textId="77777777" w:rsidR="00894773" w:rsidRPr="00997FAE" w:rsidRDefault="00894773" w:rsidP="006A0B0E">
      <w:pPr>
        <w:pStyle w:val="ListParagraph"/>
        <w:numPr>
          <w:ilvl w:val="0"/>
          <w:numId w:val="53"/>
        </w:numPr>
        <w:spacing w:line="240" w:lineRule="auto"/>
        <w:rPr>
          <w:rFonts w:asciiTheme="minorHAnsi" w:hAnsiTheme="minorHAnsi" w:cstheme="minorHAnsi"/>
          <w:sz w:val="16"/>
        </w:rPr>
      </w:pPr>
      <w:r w:rsidRPr="00997FAE">
        <w:rPr>
          <w:rFonts w:asciiTheme="minorHAnsi" w:hAnsiTheme="minorHAnsi" w:cstheme="minorHAnsi"/>
          <w:sz w:val="16"/>
        </w:rPr>
        <w:t xml:space="preserve">Source: 2011/12 New Zealand Health Survey. </w:t>
      </w:r>
    </w:p>
    <w:p w14:paraId="0269C70B" w14:textId="7CAB2228" w:rsidR="00894773" w:rsidRPr="00DC770D" w:rsidRDefault="00894773" w:rsidP="006A0B0E">
      <w:pPr>
        <w:pStyle w:val="ListParagraph"/>
        <w:numPr>
          <w:ilvl w:val="0"/>
          <w:numId w:val="53"/>
        </w:numPr>
        <w:spacing w:line="240" w:lineRule="auto"/>
        <w:rPr>
          <w:rFonts w:asciiTheme="minorHAnsi" w:hAnsiTheme="minorHAnsi" w:cstheme="minorHAnsi"/>
          <w:sz w:val="16"/>
        </w:rPr>
      </w:pPr>
      <w:r w:rsidRPr="00DC770D">
        <w:rPr>
          <w:rFonts w:asciiTheme="minorHAnsi" w:hAnsiTheme="minorHAnsi" w:cstheme="minorHAnsi"/>
          <w:sz w:val="16"/>
        </w:rPr>
        <w:t>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Percentages and 95% confidence intervals have been age-standardised in accordance with World Health Organisation (WHO) age population distributions</w:t>
      </w:r>
      <w:r w:rsidR="00645B95" w:rsidRPr="00DC770D">
        <w:rPr>
          <w:rFonts w:asciiTheme="minorHAnsi" w:hAnsiTheme="minorHAnsi" w:cstheme="minorHAnsi"/>
          <w:sz w:val="16"/>
        </w:rPr>
        <w:t xml:space="preserve"> </w:t>
      </w:r>
      <w:r w:rsidR="00645B95" w:rsidRPr="00191A8F">
        <w:rPr>
          <w:rFonts w:asciiTheme="minorHAnsi" w:hAnsiTheme="minorHAnsi" w:cstheme="minorHAnsi"/>
          <w:sz w:val="16"/>
        </w:rPr>
        <w:fldChar w:fldCharType="begin"/>
      </w:r>
      <w:r w:rsidR="00A34C5E">
        <w:rPr>
          <w:rFonts w:asciiTheme="minorHAnsi" w:hAnsiTheme="minorHAnsi" w:cstheme="minorHAnsi"/>
          <w:sz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sidRPr="00191A8F">
        <w:rPr>
          <w:rFonts w:asciiTheme="minorHAnsi" w:hAnsiTheme="minorHAnsi" w:cstheme="minorHAnsi"/>
          <w:sz w:val="16"/>
        </w:rPr>
        <w:fldChar w:fldCharType="separate"/>
      </w:r>
      <w:r w:rsidR="00645B95" w:rsidRPr="00483B93">
        <w:rPr>
          <w:rFonts w:asciiTheme="minorHAnsi" w:hAnsiTheme="minorHAnsi" w:cstheme="minorHAnsi"/>
          <w:noProof/>
          <w:sz w:val="16"/>
        </w:rPr>
        <w:t>(</w:t>
      </w:r>
      <w:hyperlink w:anchor="_ENREF_10" w:tooltip="Ahmad, 2001 #912" w:history="1">
        <w:r w:rsidR="00765F46" w:rsidRPr="00483B93">
          <w:rPr>
            <w:rFonts w:asciiTheme="minorHAnsi" w:hAnsiTheme="minorHAnsi" w:cstheme="minorHAnsi"/>
            <w:noProof/>
            <w:sz w:val="16"/>
          </w:rPr>
          <w:t>Ahmad et al., 2001</w:t>
        </w:r>
      </w:hyperlink>
      <w:r w:rsidR="00645B95" w:rsidRPr="00483B93">
        <w:rPr>
          <w:rFonts w:asciiTheme="minorHAnsi" w:hAnsiTheme="minorHAnsi" w:cstheme="minorHAnsi"/>
          <w:noProof/>
          <w:sz w:val="16"/>
        </w:rPr>
        <w:t>)</w:t>
      </w:r>
      <w:r w:rsidR="00645B95" w:rsidRPr="00191A8F">
        <w:rPr>
          <w:rFonts w:asciiTheme="minorHAnsi" w:hAnsiTheme="minorHAnsi" w:cstheme="minorHAnsi"/>
          <w:sz w:val="16"/>
        </w:rPr>
        <w:fldChar w:fldCharType="end"/>
      </w:r>
      <w:r w:rsidRPr="00983764">
        <w:rPr>
          <w:rFonts w:asciiTheme="minorHAnsi" w:hAnsiTheme="minorHAnsi" w:cstheme="minorHAnsi"/>
          <w:sz w:val="16"/>
        </w:rPr>
        <w:t>.</w:t>
      </w:r>
    </w:p>
    <w:p w14:paraId="2F05B0D6" w14:textId="77777777" w:rsidR="00894773" w:rsidRPr="00AF3A24" w:rsidRDefault="00894773" w:rsidP="006A0B0E">
      <w:pPr>
        <w:pStyle w:val="ListParagraph"/>
        <w:numPr>
          <w:ilvl w:val="0"/>
          <w:numId w:val="53"/>
        </w:numPr>
        <w:spacing w:line="240" w:lineRule="auto"/>
        <w:rPr>
          <w:rFonts w:asciiTheme="minorHAnsi" w:hAnsiTheme="minorHAnsi" w:cstheme="minorHAnsi"/>
          <w:sz w:val="16"/>
        </w:rPr>
      </w:pPr>
      <w:r w:rsidRPr="00A303F2">
        <w:rPr>
          <w:rFonts w:asciiTheme="minorHAnsi" w:hAnsiTheme="minorHAnsi" w:cstheme="minorHAnsi"/>
          <w:sz w:val="16"/>
        </w:rPr>
        <w:t>Logistic regression analyses have controlled for gender, age-gr</w:t>
      </w:r>
      <w:r w:rsidRPr="00AF3A24">
        <w:rPr>
          <w:rFonts w:asciiTheme="minorHAnsi" w:hAnsiTheme="minorHAnsi" w:cstheme="minorHAnsi"/>
          <w:sz w:val="16"/>
        </w:rPr>
        <w:t>oup, neighbourhood deprivation and geography (urban/rural).</w:t>
      </w:r>
    </w:p>
    <w:p w14:paraId="085DD24C" w14:textId="77777777" w:rsidR="00E60034" w:rsidRPr="00E60034" w:rsidRDefault="00E60034" w:rsidP="00E60034">
      <w:pPr>
        <w:rPr>
          <w:rFonts w:asciiTheme="minorHAnsi" w:hAnsiTheme="minorHAnsi"/>
        </w:rPr>
      </w:pPr>
    </w:p>
    <w:p w14:paraId="12595BD8" w14:textId="77777777" w:rsidR="00600F72" w:rsidRPr="006E3C38" w:rsidRDefault="00600F72" w:rsidP="00600F72">
      <w:pPr>
        <w:pStyle w:val="Heading4"/>
      </w:pPr>
      <w:r w:rsidRPr="006E3C38">
        <w:t>By neighbourhood deprivation</w:t>
      </w:r>
    </w:p>
    <w:p w14:paraId="092523B8" w14:textId="77A1AEC9" w:rsidR="0020526F" w:rsidRDefault="00955FA0" w:rsidP="00600F72">
      <w:pPr>
        <w:rPr>
          <w:rFonts w:asciiTheme="minorHAnsi" w:hAnsiTheme="minorHAnsi"/>
        </w:rPr>
      </w:pPr>
      <w:r>
        <w:rPr>
          <w:rFonts w:asciiTheme="minorHAnsi" w:hAnsiTheme="minorHAnsi"/>
        </w:rPr>
        <w:t>A number of trends were observed between neighbourhood deprivation and partic</w:t>
      </w:r>
      <w:r w:rsidR="0020526F">
        <w:rPr>
          <w:rFonts w:asciiTheme="minorHAnsi" w:hAnsiTheme="minorHAnsi"/>
        </w:rPr>
        <w:t xml:space="preserve">ipation in gambling activities </w:t>
      </w:r>
      <w:r w:rsidR="00C455C4">
        <w:rPr>
          <w:rFonts w:asciiTheme="minorHAnsi" w:hAnsiTheme="minorHAnsi"/>
        </w:rPr>
        <w:t>(see Table 19, Appendix B).</w:t>
      </w:r>
      <w:r w:rsidR="00AD38E6">
        <w:rPr>
          <w:rFonts w:asciiTheme="minorHAnsi" w:hAnsiTheme="minorHAnsi"/>
        </w:rPr>
        <w:t xml:space="preserve">  </w:t>
      </w:r>
      <w:r w:rsidR="0020526F">
        <w:rPr>
          <w:rFonts w:asciiTheme="minorHAnsi" w:hAnsiTheme="minorHAnsi"/>
        </w:rPr>
        <w:t xml:space="preserve">Gambling on the following activities </w:t>
      </w:r>
      <w:r w:rsidR="002E687B">
        <w:rPr>
          <w:rFonts w:asciiTheme="minorHAnsi" w:hAnsiTheme="minorHAnsi"/>
        </w:rPr>
        <w:t>were</w:t>
      </w:r>
      <w:r w:rsidR="0020526F" w:rsidRPr="0020526F">
        <w:rPr>
          <w:rFonts w:asciiTheme="minorHAnsi" w:hAnsiTheme="minorHAnsi"/>
        </w:rPr>
        <w:t xml:space="preserve"> </w:t>
      </w:r>
      <w:r w:rsidR="0020526F">
        <w:rPr>
          <w:rFonts w:asciiTheme="minorHAnsi" w:hAnsiTheme="minorHAnsi"/>
        </w:rPr>
        <w:t>significantly more prevalent amongst adults living in neighbourhoods with lower levels of deprivation: Lotto only (p=0.026</w:t>
      </w:r>
      <w:r w:rsidR="00D4061D">
        <w:rPr>
          <w:rFonts w:asciiTheme="minorHAnsi" w:hAnsiTheme="minorHAnsi"/>
        </w:rPr>
        <w:t>, see</w:t>
      </w:r>
      <w:r w:rsidR="00483B93">
        <w:rPr>
          <w:rFonts w:asciiTheme="minorHAnsi" w:hAnsiTheme="minorHAnsi"/>
        </w:rPr>
        <w:t xml:space="preserve"> Figure 11</w:t>
      </w:r>
      <w:r w:rsidR="0020526F">
        <w:rPr>
          <w:rFonts w:asciiTheme="minorHAnsi" w:hAnsiTheme="minorHAnsi"/>
        </w:rPr>
        <w:t>), sports betting (p=0.0138), and other (p=0.0305).  Conversely, gambling on housie was significantly associated with adults living in neighbourhoods with higher levels of deprivation (p=0.0015).</w:t>
      </w:r>
    </w:p>
    <w:p w14:paraId="70D810CC" w14:textId="77777777" w:rsidR="00BB62BF" w:rsidRPr="00D4061D" w:rsidRDefault="007955B3" w:rsidP="00D4061D">
      <w:pPr>
        <w:pStyle w:val="Caption"/>
        <w:keepNext/>
        <w:spacing w:after="0" w:line="276" w:lineRule="auto"/>
        <w:ind w:left="993" w:hanging="993"/>
        <w:rPr>
          <w:rFonts w:asciiTheme="minorHAnsi" w:hAnsiTheme="minorHAnsi" w:cstheme="minorHAnsi"/>
          <w:i/>
          <w:vertAlign w:val="superscript"/>
        </w:rPr>
      </w:pPr>
      <w:bookmarkStart w:id="59" w:name="_Ref399492582"/>
      <w:bookmarkStart w:id="60" w:name="_Toc425426984"/>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11</w:t>
      </w:r>
      <w:r w:rsidRPr="00AF3A24">
        <w:rPr>
          <w:rFonts w:asciiTheme="minorHAnsi" w:hAnsiTheme="minorHAnsi" w:cstheme="minorHAnsi"/>
          <w:i/>
          <w:noProof/>
        </w:rPr>
        <w:fldChar w:fldCharType="end"/>
      </w:r>
      <w:bookmarkEnd w:id="59"/>
      <w:r w:rsidRPr="00AF3A24">
        <w:rPr>
          <w:rFonts w:asciiTheme="minorHAnsi" w:hAnsiTheme="minorHAnsi" w:cstheme="minorHAnsi"/>
          <w:i/>
        </w:rPr>
        <w:t xml:space="preserve">: </w:t>
      </w:r>
      <w:r w:rsidRPr="00AF3A24">
        <w:rPr>
          <w:rFonts w:asciiTheme="minorHAnsi" w:hAnsiTheme="minorHAnsi" w:cstheme="minorHAnsi"/>
          <w:i/>
        </w:rPr>
        <w:tab/>
        <w:t xml:space="preserve">Gambling on Lotto </w:t>
      </w:r>
      <w:r w:rsidR="00AD38E6">
        <w:rPr>
          <w:rFonts w:asciiTheme="minorHAnsi" w:hAnsiTheme="minorHAnsi" w:cstheme="minorHAnsi"/>
          <w:i/>
        </w:rPr>
        <w:t xml:space="preserve">only </w:t>
      </w:r>
      <w:r w:rsidRPr="00AF3A24">
        <w:rPr>
          <w:rFonts w:asciiTheme="minorHAnsi" w:hAnsiTheme="minorHAnsi" w:cstheme="minorHAnsi"/>
          <w:i/>
        </w:rPr>
        <w:t>in the last 12 months, by neighbourhood deprivation</w:t>
      </w:r>
      <w:r w:rsidR="004F2B74" w:rsidRPr="004F2B74">
        <w:rPr>
          <w:rFonts w:asciiTheme="minorHAnsi" w:hAnsiTheme="minorHAnsi" w:cstheme="minorHAnsi"/>
          <w:i/>
          <w:vertAlign w:val="superscript"/>
        </w:rPr>
        <w:t>1</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004F2B74">
        <w:rPr>
          <w:rFonts w:asciiTheme="minorHAnsi" w:hAnsiTheme="minorHAnsi" w:cstheme="minorHAnsi"/>
          <w:i/>
          <w:vertAlign w:val="superscript"/>
        </w:rPr>
        <w:t>2</w:t>
      </w:r>
      <w:bookmarkEnd w:id="60"/>
    </w:p>
    <w:p w14:paraId="2C0962D6" w14:textId="77777777" w:rsidR="00AD38E6" w:rsidRDefault="00D4061D" w:rsidP="006E3C38">
      <w:pPr>
        <w:spacing w:line="240" w:lineRule="auto"/>
        <w:jc w:val="center"/>
      </w:pPr>
      <w:r>
        <w:rPr>
          <w:noProof/>
          <w:lang w:eastAsia="en-NZ"/>
        </w:rPr>
        <w:drawing>
          <wp:inline distT="0" distB="0" distL="0" distR="0" wp14:anchorId="492F5636" wp14:editId="380B35AD">
            <wp:extent cx="4885899" cy="2402006"/>
            <wp:effectExtent l="0" t="0" r="10160" b="1778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F2187FA" w14:textId="77777777" w:rsidR="00856273" w:rsidRPr="0045616C" w:rsidRDefault="00856273" w:rsidP="00856273">
      <w:pPr>
        <w:spacing w:before="0" w:line="240" w:lineRule="auto"/>
        <w:ind w:left="709"/>
        <w:rPr>
          <w:rFonts w:asciiTheme="minorHAnsi" w:hAnsiTheme="minorHAnsi" w:cstheme="minorHAnsi"/>
          <w:sz w:val="16"/>
        </w:rPr>
      </w:pPr>
      <w:r w:rsidRPr="0045616C">
        <w:rPr>
          <w:rFonts w:asciiTheme="minorHAnsi" w:hAnsiTheme="minorHAnsi" w:cstheme="minorHAnsi"/>
          <w:sz w:val="16"/>
        </w:rPr>
        <w:t xml:space="preserve">Notes: </w:t>
      </w:r>
    </w:p>
    <w:p w14:paraId="446A72AA" w14:textId="77777777" w:rsidR="004F2B74" w:rsidRPr="004F2B74" w:rsidRDefault="00856273" w:rsidP="006A0B0E">
      <w:pPr>
        <w:pStyle w:val="ListParagraph"/>
        <w:numPr>
          <w:ilvl w:val="0"/>
          <w:numId w:val="37"/>
        </w:numPr>
        <w:spacing w:line="240" w:lineRule="auto"/>
        <w:rPr>
          <w:rFonts w:asciiTheme="minorHAnsi" w:hAnsiTheme="minorHAnsi" w:cstheme="minorHAnsi"/>
          <w:sz w:val="16"/>
        </w:rPr>
      </w:pPr>
      <w:r w:rsidRPr="004F2B74">
        <w:rPr>
          <w:rFonts w:asciiTheme="minorHAnsi" w:hAnsiTheme="minorHAnsi" w:cstheme="minorHAnsi"/>
          <w:sz w:val="16"/>
        </w:rPr>
        <w:t>Neighbourhood deprivation – as measured by NZDep2006 quintiles</w:t>
      </w:r>
      <w:r w:rsidR="004F2B74">
        <w:rPr>
          <w:rFonts w:asciiTheme="minorHAnsi" w:hAnsiTheme="minorHAnsi" w:cstheme="minorHAnsi"/>
          <w:sz w:val="16"/>
        </w:rPr>
        <w:t>.</w:t>
      </w:r>
      <w:r w:rsidR="004F2B74" w:rsidRPr="004F2B74">
        <w:rPr>
          <w:rFonts w:asciiTheme="minorHAnsi" w:hAnsiTheme="minorHAnsi" w:cstheme="minorHAnsi"/>
          <w:sz w:val="16"/>
        </w:rPr>
        <w:t xml:space="preserve"> </w:t>
      </w:r>
    </w:p>
    <w:p w14:paraId="42BDAC83" w14:textId="77777777" w:rsidR="00856273" w:rsidRDefault="004F2B74" w:rsidP="006A0B0E">
      <w:pPr>
        <w:pStyle w:val="ListParagraph"/>
        <w:numPr>
          <w:ilvl w:val="0"/>
          <w:numId w:val="37"/>
        </w:numPr>
        <w:spacing w:line="240" w:lineRule="auto"/>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09392B" w:rsidRPr="00B970C8">
        <w:rPr>
          <w:rFonts w:asciiTheme="minorHAnsi" w:hAnsiTheme="minorHAnsi" w:cstheme="minorHAnsi"/>
          <w:sz w:val="14"/>
        </w:rPr>
        <w:t xml:space="preserve"> </w:t>
      </w:r>
      <w:r w:rsidR="0009392B" w:rsidRPr="00B970C8">
        <w:rPr>
          <w:rFonts w:asciiTheme="minorHAnsi" w:hAnsiTheme="minorHAnsi" w:cstheme="minorHAnsi"/>
          <w:sz w:val="16"/>
        </w:rPr>
        <w:t>Error bars are indicative of 95% confidence intervals.</w:t>
      </w:r>
    </w:p>
    <w:p w14:paraId="019005BF" w14:textId="77777777" w:rsidR="00A303F2" w:rsidRPr="00A303F2" w:rsidRDefault="00A303F2" w:rsidP="00A303F2">
      <w:pPr>
        <w:spacing w:line="240" w:lineRule="auto"/>
        <w:rPr>
          <w:rFonts w:asciiTheme="minorHAnsi" w:hAnsiTheme="minorHAnsi" w:cstheme="minorHAnsi"/>
          <w:sz w:val="16"/>
        </w:rPr>
      </w:pPr>
    </w:p>
    <w:p w14:paraId="0D390FEF" w14:textId="77777777" w:rsidR="00600F72" w:rsidRPr="00527FEF" w:rsidRDefault="00600F72" w:rsidP="00600F72">
      <w:pPr>
        <w:pStyle w:val="Heading4"/>
      </w:pPr>
      <w:r w:rsidRPr="00527FEF">
        <w:t>By geography</w:t>
      </w:r>
    </w:p>
    <w:p w14:paraId="6125095B" w14:textId="77777777" w:rsidR="00527FEF" w:rsidRDefault="008D53F7" w:rsidP="00527FEF">
      <w:pPr>
        <w:pStyle w:val="BodyText"/>
        <w:spacing w:line="480" w:lineRule="auto"/>
      </w:pPr>
      <w:r>
        <w:t>Adult respondents who were l</w:t>
      </w:r>
      <w:r w:rsidR="00A303F2">
        <w:t>iving in a rural location were significantly</w:t>
      </w:r>
      <w:r w:rsidR="00C9276C">
        <w:t xml:space="preserve"> less likely </w:t>
      </w:r>
      <w:r>
        <w:t xml:space="preserve">than their urban counterparts </w:t>
      </w:r>
      <w:r w:rsidR="00C9276C">
        <w:t xml:space="preserve">to gamble on any </w:t>
      </w:r>
      <w:r w:rsidR="002E687B">
        <w:t>EGM</w:t>
      </w:r>
      <w:r w:rsidR="00C9276C">
        <w:t xml:space="preserve"> (casino or non-casino), any casino gambling (tables or </w:t>
      </w:r>
      <w:r w:rsidR="002E687B">
        <w:t>EGMs</w:t>
      </w:r>
      <w:r w:rsidR="00C9276C">
        <w:t xml:space="preserve">), casino </w:t>
      </w:r>
      <w:r w:rsidR="002E687B">
        <w:t>EGMs</w:t>
      </w:r>
      <w:r w:rsidR="00C9276C">
        <w:t xml:space="preserve">, casino tables, sports betting, and housie. </w:t>
      </w:r>
      <w:r>
        <w:t xml:space="preserve"> </w:t>
      </w:r>
      <w:r w:rsidR="00DD52A2">
        <w:t>Table 5</w:t>
      </w:r>
      <w:r>
        <w:t xml:space="preserve"> provides odds ratios and p-values for this set of analysis</w:t>
      </w:r>
      <w:r w:rsidR="00293186">
        <w:t xml:space="preserve">, with </w:t>
      </w:r>
      <w:r>
        <w:t xml:space="preserve">prevalence </w:t>
      </w:r>
      <w:r w:rsidR="009D4F54">
        <w:t>data (estimates and 95% confidence intervals) b</w:t>
      </w:r>
      <w:r w:rsidR="00293186">
        <w:t xml:space="preserve">eing </w:t>
      </w:r>
      <w:r>
        <w:t xml:space="preserve">presented in </w:t>
      </w:r>
      <w:r w:rsidR="00DD52A2">
        <w:t>Table 19 (see Appendix B).</w:t>
      </w:r>
    </w:p>
    <w:p w14:paraId="64E4E2FA" w14:textId="3C6C450E" w:rsidR="00A303F2" w:rsidRPr="00AF3A24" w:rsidRDefault="00A303F2" w:rsidP="00737C49">
      <w:pPr>
        <w:pStyle w:val="Caption"/>
        <w:keepNext/>
        <w:spacing w:after="0" w:line="240" w:lineRule="auto"/>
        <w:ind w:left="993" w:hanging="993"/>
        <w:rPr>
          <w:rFonts w:asciiTheme="minorHAnsi" w:hAnsiTheme="minorHAnsi" w:cstheme="minorHAnsi"/>
          <w:i/>
        </w:rPr>
      </w:pPr>
      <w:bookmarkStart w:id="61" w:name="_Toc425426873"/>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6</w:t>
      </w:r>
      <w:r w:rsidRPr="00AF3A24">
        <w:rPr>
          <w:rFonts w:asciiTheme="minorHAnsi" w:hAnsiTheme="minorHAnsi"/>
          <w:i/>
        </w:rPr>
        <w:fldChar w:fldCharType="end"/>
      </w:r>
      <w:r w:rsidRPr="00AF3A24">
        <w:rPr>
          <w:rFonts w:asciiTheme="minorHAnsi" w:hAnsiTheme="minorHAnsi"/>
          <w:i/>
        </w:rPr>
        <w:t>:</w:t>
      </w:r>
      <w:r w:rsidRPr="00AF3A24">
        <w:rPr>
          <w:rFonts w:asciiTheme="minorHAnsi" w:hAnsiTheme="minorHAnsi" w:cstheme="minorHAnsi"/>
          <w:i/>
        </w:rPr>
        <w:tab/>
        <w:t xml:space="preserve">Past year participation in specific types of gambling activities by </w:t>
      </w:r>
      <w:r w:rsidR="00CA3DE6">
        <w:rPr>
          <w:rFonts w:asciiTheme="minorHAnsi" w:hAnsiTheme="minorHAnsi" w:cstheme="minorHAnsi"/>
          <w:i/>
        </w:rPr>
        <w:t>geography</w:t>
      </w:r>
      <w:r w:rsidRPr="00AF3A24">
        <w:rPr>
          <w:rFonts w:asciiTheme="minorHAnsi" w:hAnsiTheme="minorHAnsi" w:cstheme="minorHAnsi"/>
          <w:i/>
        </w:rPr>
        <w:t xml:space="preserve"> – </w:t>
      </w:r>
      <w:r>
        <w:rPr>
          <w:rFonts w:asciiTheme="minorHAnsi" w:hAnsiTheme="minorHAnsi" w:cstheme="minorHAnsi"/>
          <w:i/>
        </w:rPr>
        <w:t>o</w:t>
      </w:r>
      <w:r w:rsidRPr="00AF3A24">
        <w:rPr>
          <w:rFonts w:asciiTheme="minorHAnsi" w:hAnsiTheme="minorHAnsi" w:cstheme="minorHAnsi"/>
          <w:i/>
        </w:rPr>
        <w:t>dds ratios and p-values</w:t>
      </w:r>
      <w:r w:rsidR="00870472">
        <w:rPr>
          <w:rFonts w:asciiTheme="minorHAnsi" w:hAnsiTheme="minorHAnsi" w:cstheme="minorHAnsi"/>
          <w:i/>
        </w:rPr>
        <w:t xml:space="preserve"> (unadjusted prevalence)</w:t>
      </w:r>
      <w:r w:rsidRPr="005309E2">
        <w:rPr>
          <w:rFonts w:asciiTheme="minorHAnsi" w:hAnsiTheme="minorHAnsi" w:cstheme="minorHAnsi"/>
          <w:i/>
          <w:vertAlign w:val="superscript"/>
        </w:rPr>
        <w:t xml:space="preserve"> </w:t>
      </w:r>
      <w:r w:rsidR="00DC770D" w:rsidRPr="005309E2">
        <w:rPr>
          <w:rFonts w:asciiTheme="minorHAnsi" w:hAnsiTheme="minorHAnsi" w:cstheme="minorHAnsi"/>
          <w:i/>
          <w:vertAlign w:val="superscript"/>
        </w:rPr>
        <w:t>1</w:t>
      </w:r>
      <w:bookmarkEnd w:id="61"/>
    </w:p>
    <w:tbl>
      <w:tblPr>
        <w:tblStyle w:val="TableGrid"/>
        <w:tblW w:w="8041" w:type="dxa"/>
        <w:jc w:val="center"/>
        <w:tblLayout w:type="fixed"/>
        <w:tblLook w:val="04A0" w:firstRow="1" w:lastRow="0" w:firstColumn="1" w:lastColumn="0" w:noHBand="0" w:noVBand="1"/>
      </w:tblPr>
      <w:tblGrid>
        <w:gridCol w:w="3950"/>
        <w:gridCol w:w="1620"/>
        <w:gridCol w:w="1196"/>
        <w:gridCol w:w="1275"/>
      </w:tblGrid>
      <w:tr w:rsidR="00A303F2" w:rsidRPr="00282775" w14:paraId="78E3BAFB" w14:textId="77777777" w:rsidTr="00737C49">
        <w:trPr>
          <w:trHeight w:val="323"/>
          <w:jc w:val="center"/>
        </w:trPr>
        <w:tc>
          <w:tcPr>
            <w:tcW w:w="3950" w:type="dxa"/>
            <w:vMerge w:val="restart"/>
            <w:shd w:val="clear" w:color="auto" w:fill="92CDDC" w:themeFill="accent5" w:themeFillTint="99"/>
            <w:vAlign w:val="center"/>
          </w:tcPr>
          <w:p w14:paraId="3BE47D2B" w14:textId="77777777" w:rsidR="00A303F2" w:rsidRPr="00282775" w:rsidRDefault="00A303F2" w:rsidP="00282775">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GAMBLING ACTIVITY</w:t>
            </w:r>
          </w:p>
        </w:tc>
        <w:tc>
          <w:tcPr>
            <w:tcW w:w="2816" w:type="dxa"/>
            <w:gridSpan w:val="2"/>
            <w:shd w:val="clear" w:color="auto" w:fill="92CDDC" w:themeFill="accent5" w:themeFillTint="99"/>
            <w:vAlign w:val="center"/>
          </w:tcPr>
          <w:p w14:paraId="47A2A71F" w14:textId="77777777" w:rsidR="00A303F2" w:rsidRPr="00282775" w:rsidRDefault="00A303F2" w:rsidP="00076DDA">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GEOGRAPHY</w:t>
            </w:r>
          </w:p>
        </w:tc>
        <w:tc>
          <w:tcPr>
            <w:tcW w:w="1275" w:type="dxa"/>
            <w:vMerge w:val="restart"/>
            <w:shd w:val="clear" w:color="auto" w:fill="92CDDC" w:themeFill="accent5" w:themeFillTint="99"/>
            <w:vAlign w:val="center"/>
          </w:tcPr>
          <w:p w14:paraId="45F23B8F" w14:textId="77777777" w:rsidR="00A303F2" w:rsidRPr="00282775" w:rsidRDefault="00A303F2" w:rsidP="00282775">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 xml:space="preserve">p-value </w:t>
            </w:r>
            <w:r w:rsidRPr="00282775">
              <w:rPr>
                <w:rFonts w:asciiTheme="minorHAnsi" w:hAnsiTheme="minorHAnsi" w:cstheme="minorHAnsi"/>
                <w:b/>
                <w:sz w:val="16"/>
                <w:szCs w:val="16"/>
                <w:vertAlign w:val="superscript"/>
              </w:rPr>
              <w:t>2</w:t>
            </w:r>
          </w:p>
        </w:tc>
      </w:tr>
      <w:tr w:rsidR="00A303F2" w:rsidRPr="00282775" w14:paraId="66ABC940" w14:textId="77777777" w:rsidTr="008E0AFA">
        <w:trPr>
          <w:trHeight w:val="255"/>
          <w:jc w:val="center"/>
        </w:trPr>
        <w:tc>
          <w:tcPr>
            <w:tcW w:w="3950" w:type="dxa"/>
            <w:vMerge/>
            <w:shd w:val="clear" w:color="auto" w:fill="92CDDC" w:themeFill="accent5" w:themeFillTint="99"/>
          </w:tcPr>
          <w:p w14:paraId="53892DD0" w14:textId="77777777" w:rsidR="00A303F2" w:rsidRPr="00282775" w:rsidRDefault="00A303F2" w:rsidP="00282775">
            <w:pPr>
              <w:spacing w:before="0" w:line="240" w:lineRule="auto"/>
              <w:jc w:val="left"/>
              <w:rPr>
                <w:rFonts w:asciiTheme="minorHAnsi" w:hAnsiTheme="minorHAnsi" w:cstheme="minorHAnsi"/>
                <w:b/>
                <w:sz w:val="16"/>
                <w:szCs w:val="16"/>
              </w:rPr>
            </w:pPr>
          </w:p>
        </w:tc>
        <w:tc>
          <w:tcPr>
            <w:tcW w:w="1620" w:type="dxa"/>
            <w:shd w:val="clear" w:color="auto" w:fill="92CDDC" w:themeFill="accent5" w:themeFillTint="99"/>
            <w:vAlign w:val="center"/>
          </w:tcPr>
          <w:p w14:paraId="50AF5D80" w14:textId="77777777" w:rsidR="00A303F2" w:rsidRPr="00282775" w:rsidRDefault="008E0AFA" w:rsidP="00076DDA">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Rural</w:t>
            </w:r>
          </w:p>
        </w:tc>
        <w:tc>
          <w:tcPr>
            <w:tcW w:w="1196" w:type="dxa"/>
            <w:shd w:val="clear" w:color="auto" w:fill="92CDDC" w:themeFill="accent5" w:themeFillTint="99"/>
            <w:vAlign w:val="center"/>
          </w:tcPr>
          <w:p w14:paraId="72A2E8A4" w14:textId="77777777" w:rsidR="00A303F2" w:rsidRPr="00282775" w:rsidRDefault="008E0AFA" w:rsidP="00076DDA">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Urban</w:t>
            </w:r>
          </w:p>
        </w:tc>
        <w:tc>
          <w:tcPr>
            <w:tcW w:w="1275" w:type="dxa"/>
            <w:vMerge/>
            <w:shd w:val="clear" w:color="auto" w:fill="92CDDC" w:themeFill="accent5" w:themeFillTint="99"/>
            <w:vAlign w:val="center"/>
          </w:tcPr>
          <w:p w14:paraId="6EC3C00E" w14:textId="77777777" w:rsidR="00A303F2" w:rsidRPr="00282775" w:rsidRDefault="00A303F2" w:rsidP="00282775">
            <w:pPr>
              <w:spacing w:before="0" w:line="240" w:lineRule="auto"/>
              <w:jc w:val="center"/>
              <w:rPr>
                <w:rFonts w:asciiTheme="minorHAnsi" w:hAnsiTheme="minorHAnsi" w:cstheme="minorHAnsi"/>
                <w:b/>
                <w:sz w:val="16"/>
                <w:szCs w:val="16"/>
              </w:rPr>
            </w:pPr>
          </w:p>
        </w:tc>
      </w:tr>
      <w:tr w:rsidR="00A303F2" w:rsidRPr="00282775" w14:paraId="13A70254" w14:textId="77777777" w:rsidTr="008E0AFA">
        <w:trPr>
          <w:trHeight w:val="386"/>
          <w:jc w:val="center"/>
        </w:trPr>
        <w:tc>
          <w:tcPr>
            <w:tcW w:w="3950" w:type="dxa"/>
            <w:vMerge/>
            <w:tcBorders>
              <w:bottom w:val="single" w:sz="4" w:space="0" w:color="auto"/>
            </w:tcBorders>
            <w:shd w:val="clear" w:color="auto" w:fill="92CDDC" w:themeFill="accent5" w:themeFillTint="99"/>
          </w:tcPr>
          <w:p w14:paraId="6754994E" w14:textId="77777777" w:rsidR="00A303F2" w:rsidRPr="00282775" w:rsidRDefault="00A303F2" w:rsidP="00282775">
            <w:pPr>
              <w:spacing w:before="0" w:line="240" w:lineRule="auto"/>
              <w:jc w:val="left"/>
              <w:rPr>
                <w:rFonts w:asciiTheme="minorHAnsi" w:hAnsiTheme="minorHAnsi" w:cstheme="minorHAnsi"/>
                <w:b/>
                <w:sz w:val="16"/>
                <w:szCs w:val="16"/>
              </w:rPr>
            </w:pPr>
          </w:p>
        </w:tc>
        <w:tc>
          <w:tcPr>
            <w:tcW w:w="1620" w:type="dxa"/>
            <w:tcBorders>
              <w:bottom w:val="single" w:sz="4" w:space="0" w:color="auto"/>
            </w:tcBorders>
            <w:shd w:val="clear" w:color="auto" w:fill="92CDDC" w:themeFill="accent5" w:themeFillTint="99"/>
          </w:tcPr>
          <w:p w14:paraId="338A253F" w14:textId="77777777" w:rsidR="00A303F2" w:rsidRPr="00282775" w:rsidRDefault="00A303F2" w:rsidP="00282775">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Odds ratio</w:t>
            </w:r>
          </w:p>
          <w:p w14:paraId="55C3A88B" w14:textId="77777777" w:rsidR="00A303F2" w:rsidRPr="00282775" w:rsidRDefault="00A303F2" w:rsidP="00282775">
            <w:pPr>
              <w:spacing w:before="0" w:line="240" w:lineRule="auto"/>
              <w:jc w:val="center"/>
              <w:rPr>
                <w:rFonts w:asciiTheme="minorHAnsi" w:hAnsiTheme="minorHAnsi" w:cstheme="minorHAnsi"/>
                <w:b/>
                <w:sz w:val="16"/>
                <w:szCs w:val="16"/>
              </w:rPr>
            </w:pPr>
            <w:r w:rsidRPr="00282775">
              <w:rPr>
                <w:rFonts w:asciiTheme="minorHAnsi" w:hAnsiTheme="minorHAnsi" w:cstheme="minorHAnsi"/>
                <w:b/>
                <w:sz w:val="16"/>
                <w:szCs w:val="16"/>
              </w:rPr>
              <w:t>(95% CI)</w:t>
            </w:r>
          </w:p>
        </w:tc>
        <w:tc>
          <w:tcPr>
            <w:tcW w:w="1196" w:type="dxa"/>
            <w:tcBorders>
              <w:bottom w:val="single" w:sz="4" w:space="0" w:color="auto"/>
            </w:tcBorders>
            <w:shd w:val="clear" w:color="auto" w:fill="92CDDC" w:themeFill="accent5" w:themeFillTint="99"/>
            <w:vAlign w:val="center"/>
          </w:tcPr>
          <w:p w14:paraId="4E25C159" w14:textId="77777777" w:rsidR="00A303F2" w:rsidRPr="00282775" w:rsidRDefault="00282775" w:rsidP="00282775">
            <w:pPr>
              <w:spacing w:before="0" w:line="240" w:lineRule="auto"/>
              <w:jc w:val="center"/>
              <w:rPr>
                <w:rFonts w:asciiTheme="minorHAnsi" w:hAnsiTheme="minorHAnsi" w:cstheme="minorHAnsi"/>
                <w:b/>
                <w:sz w:val="16"/>
                <w:szCs w:val="16"/>
              </w:rPr>
            </w:pPr>
            <w:r>
              <w:rPr>
                <w:rFonts w:asciiTheme="minorHAnsi" w:hAnsiTheme="minorHAnsi" w:cstheme="minorHAnsi"/>
                <w:b/>
                <w:sz w:val="16"/>
                <w:szCs w:val="16"/>
              </w:rPr>
              <w:t>Odds ratio</w:t>
            </w:r>
          </w:p>
        </w:tc>
        <w:tc>
          <w:tcPr>
            <w:tcW w:w="1275" w:type="dxa"/>
            <w:vMerge/>
            <w:tcBorders>
              <w:bottom w:val="single" w:sz="4" w:space="0" w:color="auto"/>
            </w:tcBorders>
            <w:shd w:val="clear" w:color="auto" w:fill="92CDDC" w:themeFill="accent5" w:themeFillTint="99"/>
            <w:vAlign w:val="center"/>
          </w:tcPr>
          <w:p w14:paraId="19775FE8" w14:textId="77777777" w:rsidR="00A303F2" w:rsidRPr="00282775" w:rsidRDefault="00A303F2" w:rsidP="00282775">
            <w:pPr>
              <w:spacing w:before="0" w:line="240" w:lineRule="auto"/>
              <w:jc w:val="center"/>
              <w:rPr>
                <w:rFonts w:asciiTheme="minorHAnsi" w:hAnsiTheme="minorHAnsi" w:cstheme="minorHAnsi"/>
                <w:b/>
                <w:sz w:val="16"/>
                <w:szCs w:val="16"/>
              </w:rPr>
            </w:pPr>
          </w:p>
        </w:tc>
      </w:tr>
      <w:tr w:rsidR="00A303F2" w:rsidRPr="00282775" w14:paraId="714FD806" w14:textId="77777777" w:rsidTr="008E0AFA">
        <w:trPr>
          <w:jc w:val="center"/>
        </w:trPr>
        <w:tc>
          <w:tcPr>
            <w:tcW w:w="3950" w:type="dxa"/>
            <w:tcBorders>
              <w:top w:val="nil"/>
              <w:bottom w:val="nil"/>
            </w:tcBorders>
            <w:shd w:val="clear" w:color="auto" w:fill="DAEEF3" w:themeFill="accent5" w:themeFillTint="33"/>
            <w:vAlign w:val="center"/>
          </w:tcPr>
          <w:p w14:paraId="09110917" w14:textId="77777777" w:rsidR="00A303F2" w:rsidRPr="00282775" w:rsidRDefault="00A303F2"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Any gaming machine (casino or non-casino)</w:t>
            </w:r>
          </w:p>
        </w:tc>
        <w:tc>
          <w:tcPr>
            <w:tcW w:w="1620" w:type="dxa"/>
            <w:tcBorders>
              <w:top w:val="nil"/>
              <w:bottom w:val="nil"/>
              <w:right w:val="nil"/>
            </w:tcBorders>
            <w:shd w:val="clear" w:color="auto" w:fill="DAEEF3" w:themeFill="accent5" w:themeFillTint="33"/>
            <w:vAlign w:val="center"/>
          </w:tcPr>
          <w:p w14:paraId="6D967026" w14:textId="77777777" w:rsidR="00A303F2" w:rsidRPr="00282775" w:rsidRDefault="00282775" w:rsidP="00282775">
            <w:pPr>
              <w:overflowPunct/>
              <w:autoSpaceDE/>
              <w:autoSpaceDN/>
              <w:adjustRightInd/>
              <w:spacing w:before="0" w:line="240" w:lineRule="auto"/>
              <w:jc w:val="center"/>
              <w:textAlignment w:val="auto"/>
              <w:rPr>
                <w:rFonts w:ascii="Calibri Light" w:hAnsi="Calibri Light"/>
                <w:color w:val="000000"/>
                <w:sz w:val="16"/>
                <w:szCs w:val="16"/>
              </w:rPr>
            </w:pPr>
            <w:r w:rsidRPr="00282775">
              <w:rPr>
                <w:rFonts w:ascii="Calibri Light" w:hAnsi="Calibri Light"/>
                <w:color w:val="000000"/>
                <w:sz w:val="16"/>
                <w:szCs w:val="16"/>
              </w:rPr>
              <w:t>0.7</w:t>
            </w:r>
            <w:r w:rsidRPr="00282775">
              <w:rPr>
                <w:rFonts w:ascii="Calibri Light" w:hAnsi="Calibri Light"/>
                <w:color w:val="000000"/>
                <w:sz w:val="16"/>
                <w:szCs w:val="16"/>
              </w:rPr>
              <w:br/>
              <w:t>(0.5 - 0.9)</w:t>
            </w:r>
          </w:p>
        </w:tc>
        <w:tc>
          <w:tcPr>
            <w:tcW w:w="1196" w:type="dxa"/>
            <w:tcBorders>
              <w:top w:val="nil"/>
              <w:bottom w:val="nil"/>
              <w:right w:val="single" w:sz="4" w:space="0" w:color="auto"/>
            </w:tcBorders>
            <w:shd w:val="clear" w:color="auto" w:fill="DAEEF3" w:themeFill="accent5" w:themeFillTint="33"/>
            <w:vAlign w:val="center"/>
          </w:tcPr>
          <w:p w14:paraId="3F5955DE" w14:textId="77777777" w:rsidR="00A303F2"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61400D6C" w14:textId="77777777" w:rsidR="00A303F2" w:rsidRPr="00282775" w:rsidRDefault="00A303F2"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0.00</w:t>
            </w:r>
            <w:r w:rsidR="00A318DE" w:rsidRPr="00282775">
              <w:rPr>
                <w:rFonts w:asciiTheme="minorHAnsi" w:hAnsiTheme="minorHAnsi" w:cstheme="minorHAnsi"/>
                <w:sz w:val="16"/>
                <w:szCs w:val="16"/>
              </w:rPr>
              <w:t>62</w:t>
            </w:r>
          </w:p>
        </w:tc>
      </w:tr>
      <w:tr w:rsidR="00CA3DE6" w:rsidRPr="00282775" w14:paraId="72F97875" w14:textId="77777777" w:rsidTr="008E0AFA">
        <w:trPr>
          <w:jc w:val="center"/>
        </w:trPr>
        <w:tc>
          <w:tcPr>
            <w:tcW w:w="3950" w:type="dxa"/>
            <w:tcBorders>
              <w:top w:val="nil"/>
              <w:bottom w:val="dashed" w:sz="4" w:space="0" w:color="auto"/>
            </w:tcBorders>
            <w:shd w:val="clear" w:color="auto" w:fill="DAEEF3" w:themeFill="accent5" w:themeFillTint="33"/>
            <w:vAlign w:val="center"/>
          </w:tcPr>
          <w:p w14:paraId="1F1F5EAF" w14:textId="77777777" w:rsidR="00CA3DE6" w:rsidRPr="00282775" w:rsidRDefault="00CA3DE6"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 xml:space="preserve">Any casino </w:t>
            </w:r>
            <w:r w:rsidR="00160F4C" w:rsidRPr="00282775">
              <w:rPr>
                <w:rFonts w:asciiTheme="minorHAnsi" w:hAnsiTheme="minorHAnsi" w:cstheme="minorHAnsi"/>
                <w:sz w:val="16"/>
                <w:szCs w:val="16"/>
              </w:rPr>
              <w:t>gambling (tables or gaming machines)</w:t>
            </w:r>
          </w:p>
        </w:tc>
        <w:tc>
          <w:tcPr>
            <w:tcW w:w="1620" w:type="dxa"/>
            <w:tcBorders>
              <w:top w:val="nil"/>
              <w:bottom w:val="dashed" w:sz="4" w:space="0" w:color="auto"/>
              <w:right w:val="nil"/>
            </w:tcBorders>
            <w:shd w:val="clear" w:color="auto" w:fill="DAEEF3" w:themeFill="accent5" w:themeFillTint="33"/>
            <w:vAlign w:val="center"/>
          </w:tcPr>
          <w:p w14:paraId="118026D6" w14:textId="77777777" w:rsidR="00CA3DE6" w:rsidRPr="00282775" w:rsidRDefault="00282775" w:rsidP="00282775">
            <w:pPr>
              <w:overflowPunct/>
              <w:autoSpaceDE/>
              <w:autoSpaceDN/>
              <w:adjustRightInd/>
              <w:spacing w:before="0" w:line="240" w:lineRule="auto"/>
              <w:jc w:val="center"/>
              <w:textAlignment w:val="auto"/>
              <w:rPr>
                <w:rFonts w:ascii="Calibri Light" w:hAnsi="Calibri Light"/>
                <w:color w:val="000000"/>
                <w:sz w:val="16"/>
                <w:szCs w:val="16"/>
              </w:rPr>
            </w:pPr>
            <w:r w:rsidRPr="00282775">
              <w:rPr>
                <w:rFonts w:ascii="Calibri Light" w:hAnsi="Calibri Light"/>
                <w:color w:val="000000"/>
                <w:sz w:val="16"/>
                <w:szCs w:val="16"/>
              </w:rPr>
              <w:t>0.4</w:t>
            </w:r>
            <w:r w:rsidRPr="00282775">
              <w:rPr>
                <w:rFonts w:ascii="Calibri Light" w:hAnsi="Calibri Light"/>
                <w:color w:val="000000"/>
                <w:sz w:val="16"/>
                <w:szCs w:val="16"/>
              </w:rPr>
              <w:br/>
              <w:t>(0.3 - 0.7)</w:t>
            </w:r>
          </w:p>
        </w:tc>
        <w:tc>
          <w:tcPr>
            <w:tcW w:w="1196" w:type="dxa"/>
            <w:tcBorders>
              <w:top w:val="nil"/>
              <w:bottom w:val="dashed" w:sz="4" w:space="0" w:color="auto"/>
              <w:right w:val="single" w:sz="4" w:space="0" w:color="auto"/>
            </w:tcBorders>
            <w:shd w:val="clear" w:color="auto" w:fill="DAEEF3" w:themeFill="accent5" w:themeFillTint="33"/>
            <w:vAlign w:val="center"/>
          </w:tcPr>
          <w:p w14:paraId="7C5E8940" w14:textId="77777777" w:rsidR="00CA3DE6"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dashed" w:sz="4" w:space="0" w:color="auto"/>
              <w:right w:val="single" w:sz="4" w:space="0" w:color="auto"/>
            </w:tcBorders>
            <w:shd w:val="clear" w:color="auto" w:fill="DAEEF3" w:themeFill="accent5" w:themeFillTint="33"/>
            <w:vAlign w:val="center"/>
          </w:tcPr>
          <w:p w14:paraId="51C44E37" w14:textId="77777777" w:rsidR="00CA3DE6" w:rsidRPr="00282775" w:rsidRDefault="00A318DE"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&lt;0.0001</w:t>
            </w:r>
          </w:p>
        </w:tc>
      </w:tr>
      <w:tr w:rsidR="00160F4C" w:rsidRPr="00282775" w14:paraId="1A67B4E1" w14:textId="77777777" w:rsidTr="008E0AFA">
        <w:trPr>
          <w:jc w:val="center"/>
        </w:trPr>
        <w:tc>
          <w:tcPr>
            <w:tcW w:w="3950" w:type="dxa"/>
            <w:tcBorders>
              <w:top w:val="dashed" w:sz="4" w:space="0" w:color="auto"/>
              <w:bottom w:val="nil"/>
              <w:right w:val="single" w:sz="4" w:space="0" w:color="auto"/>
            </w:tcBorders>
            <w:shd w:val="clear" w:color="auto" w:fill="DAEEF3" w:themeFill="accent5" w:themeFillTint="33"/>
            <w:vAlign w:val="center"/>
          </w:tcPr>
          <w:p w14:paraId="678F1098" w14:textId="77777777" w:rsidR="00160F4C" w:rsidRPr="00282775" w:rsidRDefault="00160F4C"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Casino gaming machines</w:t>
            </w:r>
          </w:p>
        </w:tc>
        <w:tc>
          <w:tcPr>
            <w:tcW w:w="1620"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767C8D3A" w14:textId="77777777" w:rsidR="00160F4C" w:rsidRPr="00282775" w:rsidRDefault="00282775" w:rsidP="00282775">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0.5</w:t>
            </w:r>
            <w:r w:rsidRPr="00282775">
              <w:rPr>
                <w:rFonts w:ascii="Calibri Light" w:hAnsi="Calibri Light"/>
                <w:color w:val="000000"/>
                <w:sz w:val="16"/>
                <w:szCs w:val="16"/>
              </w:rPr>
              <w:br/>
              <w:t>(0.4 - 0.8)</w:t>
            </w:r>
          </w:p>
        </w:tc>
        <w:tc>
          <w:tcPr>
            <w:tcW w:w="1196"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2342ED7F" w14:textId="77777777" w:rsidR="00160F4C"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dashed" w:sz="4" w:space="0" w:color="auto"/>
              <w:left w:val="single" w:sz="4" w:space="0" w:color="auto"/>
              <w:bottom w:val="nil"/>
              <w:right w:val="single" w:sz="4" w:space="0" w:color="auto"/>
            </w:tcBorders>
            <w:shd w:val="clear" w:color="auto" w:fill="DAEEF3" w:themeFill="accent5" w:themeFillTint="33"/>
            <w:vAlign w:val="center"/>
          </w:tcPr>
          <w:p w14:paraId="599DEBB0" w14:textId="77777777" w:rsidR="00160F4C" w:rsidRPr="00282775" w:rsidRDefault="00A318DE"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0.0014</w:t>
            </w:r>
          </w:p>
        </w:tc>
      </w:tr>
      <w:tr w:rsidR="00A303F2" w:rsidRPr="00282775" w14:paraId="4F876B05" w14:textId="77777777" w:rsidTr="008E0AFA">
        <w:trPr>
          <w:jc w:val="center"/>
        </w:trPr>
        <w:tc>
          <w:tcPr>
            <w:tcW w:w="3950" w:type="dxa"/>
            <w:tcBorders>
              <w:top w:val="nil"/>
              <w:bottom w:val="nil"/>
              <w:right w:val="single" w:sz="4" w:space="0" w:color="auto"/>
            </w:tcBorders>
            <w:shd w:val="clear" w:color="auto" w:fill="DAEEF3" w:themeFill="accent5" w:themeFillTint="33"/>
            <w:vAlign w:val="center"/>
          </w:tcPr>
          <w:p w14:paraId="1792CB78" w14:textId="77777777" w:rsidR="00A303F2" w:rsidRPr="00282775" w:rsidRDefault="00160F4C"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Casino tables</w:t>
            </w:r>
          </w:p>
        </w:tc>
        <w:tc>
          <w:tcPr>
            <w:tcW w:w="1620" w:type="dxa"/>
            <w:tcBorders>
              <w:top w:val="nil"/>
              <w:left w:val="single" w:sz="4" w:space="0" w:color="auto"/>
              <w:bottom w:val="nil"/>
              <w:right w:val="single" w:sz="4" w:space="0" w:color="auto"/>
            </w:tcBorders>
            <w:shd w:val="clear" w:color="auto" w:fill="DAEEF3" w:themeFill="accent5" w:themeFillTint="33"/>
            <w:vAlign w:val="center"/>
          </w:tcPr>
          <w:p w14:paraId="7594891E" w14:textId="77777777" w:rsidR="00A303F2" w:rsidRPr="00282775" w:rsidRDefault="00282775" w:rsidP="00282775">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0.4</w:t>
            </w:r>
            <w:r w:rsidRPr="00282775">
              <w:rPr>
                <w:rFonts w:ascii="Calibri Light" w:hAnsi="Calibri Light"/>
                <w:color w:val="000000"/>
                <w:sz w:val="16"/>
                <w:szCs w:val="16"/>
              </w:rPr>
              <w:br/>
              <w:t>(0.2 - 0.8)</w:t>
            </w:r>
          </w:p>
        </w:tc>
        <w:tc>
          <w:tcPr>
            <w:tcW w:w="1196" w:type="dxa"/>
            <w:tcBorders>
              <w:top w:val="nil"/>
              <w:left w:val="single" w:sz="4" w:space="0" w:color="auto"/>
              <w:bottom w:val="nil"/>
              <w:right w:val="single" w:sz="4" w:space="0" w:color="auto"/>
            </w:tcBorders>
            <w:shd w:val="clear" w:color="auto" w:fill="DAEEF3" w:themeFill="accent5" w:themeFillTint="33"/>
            <w:vAlign w:val="center"/>
          </w:tcPr>
          <w:p w14:paraId="5E5D2B86" w14:textId="77777777" w:rsidR="00A303F2"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375B959D" w14:textId="77777777" w:rsidR="00A303F2" w:rsidRPr="00282775" w:rsidRDefault="00A318DE"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0.0132</w:t>
            </w:r>
          </w:p>
        </w:tc>
      </w:tr>
      <w:tr w:rsidR="00A303F2" w:rsidRPr="00282775" w14:paraId="6599FAEA" w14:textId="77777777" w:rsidTr="008E0AFA">
        <w:trPr>
          <w:jc w:val="center"/>
        </w:trPr>
        <w:tc>
          <w:tcPr>
            <w:tcW w:w="3950" w:type="dxa"/>
            <w:tcBorders>
              <w:top w:val="nil"/>
              <w:bottom w:val="nil"/>
              <w:right w:val="single" w:sz="4" w:space="0" w:color="auto"/>
            </w:tcBorders>
            <w:shd w:val="clear" w:color="auto" w:fill="DAEEF3" w:themeFill="accent5" w:themeFillTint="33"/>
            <w:vAlign w:val="center"/>
          </w:tcPr>
          <w:p w14:paraId="1921877E" w14:textId="77777777" w:rsidR="00A303F2" w:rsidRPr="00282775" w:rsidRDefault="00160F4C"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Sports betting</w:t>
            </w:r>
          </w:p>
        </w:tc>
        <w:tc>
          <w:tcPr>
            <w:tcW w:w="1620" w:type="dxa"/>
            <w:tcBorders>
              <w:top w:val="nil"/>
              <w:left w:val="single" w:sz="4" w:space="0" w:color="auto"/>
              <w:bottom w:val="nil"/>
              <w:right w:val="single" w:sz="4" w:space="0" w:color="auto"/>
            </w:tcBorders>
            <w:shd w:val="clear" w:color="auto" w:fill="DAEEF3" w:themeFill="accent5" w:themeFillTint="33"/>
            <w:vAlign w:val="center"/>
          </w:tcPr>
          <w:p w14:paraId="3657BD19" w14:textId="77777777" w:rsidR="00A303F2" w:rsidRPr="00282775" w:rsidRDefault="00282775" w:rsidP="00282775">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0.3</w:t>
            </w:r>
            <w:r w:rsidRPr="00282775">
              <w:rPr>
                <w:rFonts w:ascii="Calibri Light" w:hAnsi="Calibri Light"/>
                <w:color w:val="000000"/>
                <w:sz w:val="16"/>
                <w:szCs w:val="16"/>
              </w:rPr>
              <w:br/>
              <w:t>(0.2 - 0.7)</w:t>
            </w:r>
          </w:p>
        </w:tc>
        <w:tc>
          <w:tcPr>
            <w:tcW w:w="1196" w:type="dxa"/>
            <w:tcBorders>
              <w:top w:val="nil"/>
              <w:left w:val="single" w:sz="4" w:space="0" w:color="auto"/>
              <w:bottom w:val="nil"/>
              <w:right w:val="single" w:sz="4" w:space="0" w:color="auto"/>
            </w:tcBorders>
            <w:shd w:val="clear" w:color="auto" w:fill="DAEEF3" w:themeFill="accent5" w:themeFillTint="33"/>
            <w:vAlign w:val="center"/>
          </w:tcPr>
          <w:p w14:paraId="5EFE3721" w14:textId="77777777" w:rsidR="00A303F2"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nil"/>
              <w:right w:val="single" w:sz="4" w:space="0" w:color="auto"/>
            </w:tcBorders>
            <w:shd w:val="clear" w:color="auto" w:fill="DAEEF3" w:themeFill="accent5" w:themeFillTint="33"/>
            <w:vAlign w:val="center"/>
          </w:tcPr>
          <w:p w14:paraId="5995DF07" w14:textId="77777777" w:rsidR="00A303F2" w:rsidRPr="00282775" w:rsidRDefault="00A318DE"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0.0029</w:t>
            </w:r>
          </w:p>
        </w:tc>
      </w:tr>
      <w:tr w:rsidR="00A303F2" w:rsidRPr="00282775" w14:paraId="245224D7" w14:textId="77777777" w:rsidTr="008E0AFA">
        <w:trPr>
          <w:jc w:val="center"/>
        </w:trPr>
        <w:tc>
          <w:tcPr>
            <w:tcW w:w="3950" w:type="dxa"/>
            <w:tcBorders>
              <w:top w:val="nil"/>
              <w:bottom w:val="single" w:sz="4" w:space="0" w:color="auto"/>
              <w:right w:val="single" w:sz="4" w:space="0" w:color="auto"/>
            </w:tcBorders>
            <w:shd w:val="clear" w:color="auto" w:fill="DAEEF3" w:themeFill="accent5" w:themeFillTint="33"/>
            <w:vAlign w:val="center"/>
          </w:tcPr>
          <w:p w14:paraId="5F3BC802" w14:textId="77777777" w:rsidR="00A303F2" w:rsidRPr="00282775" w:rsidRDefault="00A303F2" w:rsidP="00282775">
            <w:pPr>
              <w:spacing w:before="0" w:line="240" w:lineRule="auto"/>
              <w:ind w:left="78"/>
              <w:jc w:val="left"/>
              <w:rPr>
                <w:rFonts w:asciiTheme="minorHAnsi" w:hAnsiTheme="minorHAnsi" w:cstheme="minorHAnsi"/>
                <w:sz w:val="16"/>
                <w:szCs w:val="16"/>
              </w:rPr>
            </w:pPr>
            <w:r w:rsidRPr="00282775">
              <w:rPr>
                <w:rFonts w:asciiTheme="minorHAnsi" w:hAnsiTheme="minorHAnsi" w:cstheme="minorHAnsi"/>
                <w:sz w:val="16"/>
                <w:szCs w:val="16"/>
              </w:rPr>
              <w:t>Housie</w:t>
            </w:r>
          </w:p>
        </w:tc>
        <w:tc>
          <w:tcPr>
            <w:tcW w:w="1620"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1374EF3D" w14:textId="77777777" w:rsidR="00A303F2" w:rsidRPr="00282775" w:rsidRDefault="00282775" w:rsidP="00282775">
            <w:pPr>
              <w:spacing w:before="0" w:line="240" w:lineRule="auto"/>
              <w:jc w:val="center"/>
              <w:rPr>
                <w:rFonts w:ascii="Calibri Light" w:hAnsi="Calibri Light"/>
                <w:color w:val="000000"/>
                <w:sz w:val="16"/>
                <w:szCs w:val="16"/>
              </w:rPr>
            </w:pPr>
            <w:r w:rsidRPr="00282775">
              <w:rPr>
                <w:rFonts w:ascii="Calibri Light" w:hAnsi="Calibri Light"/>
                <w:color w:val="000000"/>
                <w:sz w:val="16"/>
                <w:szCs w:val="16"/>
              </w:rPr>
              <w:t>0.3</w:t>
            </w:r>
            <w:r w:rsidRPr="00282775">
              <w:rPr>
                <w:rFonts w:ascii="Calibri Light" w:hAnsi="Calibri Light"/>
                <w:color w:val="000000"/>
                <w:sz w:val="16"/>
                <w:szCs w:val="16"/>
              </w:rPr>
              <w:br/>
              <w:t>(0.1 - 0.6)</w:t>
            </w:r>
          </w:p>
        </w:tc>
        <w:tc>
          <w:tcPr>
            <w:tcW w:w="1196"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080AA9F7" w14:textId="77777777" w:rsidR="00A303F2" w:rsidRPr="00282775" w:rsidRDefault="00282775"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1</w:t>
            </w:r>
          </w:p>
        </w:tc>
        <w:tc>
          <w:tcPr>
            <w:tcW w:w="1275"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1C27220E" w14:textId="77777777" w:rsidR="00A303F2" w:rsidRPr="00282775" w:rsidRDefault="00A318DE" w:rsidP="00282775">
            <w:pPr>
              <w:spacing w:before="0" w:line="240" w:lineRule="auto"/>
              <w:ind w:left="78"/>
              <w:jc w:val="center"/>
              <w:rPr>
                <w:rFonts w:asciiTheme="minorHAnsi" w:hAnsiTheme="minorHAnsi" w:cstheme="minorHAnsi"/>
                <w:sz w:val="16"/>
                <w:szCs w:val="16"/>
              </w:rPr>
            </w:pPr>
            <w:r w:rsidRPr="00282775">
              <w:rPr>
                <w:rFonts w:asciiTheme="minorHAnsi" w:hAnsiTheme="minorHAnsi" w:cstheme="minorHAnsi"/>
                <w:sz w:val="16"/>
                <w:szCs w:val="16"/>
              </w:rPr>
              <w:t>0.00</w:t>
            </w:r>
            <w:r w:rsidR="00A303F2" w:rsidRPr="00282775">
              <w:rPr>
                <w:rFonts w:asciiTheme="minorHAnsi" w:hAnsiTheme="minorHAnsi" w:cstheme="minorHAnsi"/>
                <w:sz w:val="16"/>
                <w:szCs w:val="16"/>
              </w:rPr>
              <w:t>1</w:t>
            </w:r>
            <w:r w:rsidRPr="00282775">
              <w:rPr>
                <w:rFonts w:asciiTheme="minorHAnsi" w:hAnsiTheme="minorHAnsi" w:cstheme="minorHAnsi"/>
                <w:sz w:val="16"/>
                <w:szCs w:val="16"/>
              </w:rPr>
              <w:t>5</w:t>
            </w:r>
          </w:p>
        </w:tc>
      </w:tr>
    </w:tbl>
    <w:p w14:paraId="7E5C16F5" w14:textId="77777777" w:rsidR="00A303F2" w:rsidRPr="00AF3A24" w:rsidRDefault="00A303F2" w:rsidP="00282775">
      <w:pPr>
        <w:spacing w:before="0" w:line="240" w:lineRule="auto"/>
        <w:ind w:left="982" w:firstLine="11"/>
        <w:rPr>
          <w:rFonts w:asciiTheme="minorHAnsi" w:hAnsiTheme="minorHAnsi" w:cstheme="minorHAnsi"/>
          <w:sz w:val="16"/>
        </w:rPr>
      </w:pPr>
      <w:r w:rsidRPr="00AF3A24">
        <w:rPr>
          <w:rFonts w:asciiTheme="minorHAnsi" w:hAnsiTheme="minorHAnsi" w:cstheme="minorHAnsi"/>
          <w:sz w:val="16"/>
        </w:rPr>
        <w:t>Notes:</w:t>
      </w:r>
    </w:p>
    <w:p w14:paraId="2DE9A074" w14:textId="77777777" w:rsidR="00A303F2" w:rsidRPr="00997FAE" w:rsidRDefault="00A303F2" w:rsidP="006A0B0E">
      <w:pPr>
        <w:pStyle w:val="ListParagraph"/>
        <w:numPr>
          <w:ilvl w:val="0"/>
          <w:numId w:val="54"/>
        </w:numPr>
        <w:spacing w:line="240" w:lineRule="auto"/>
        <w:ind w:left="1276" w:hanging="284"/>
        <w:rPr>
          <w:rFonts w:asciiTheme="minorHAnsi" w:hAnsiTheme="minorHAnsi" w:cstheme="minorHAnsi"/>
          <w:sz w:val="16"/>
        </w:rPr>
      </w:pPr>
      <w:r w:rsidRPr="00997FAE">
        <w:rPr>
          <w:rFonts w:asciiTheme="minorHAnsi" w:hAnsiTheme="minorHAnsi" w:cstheme="minorHAnsi"/>
          <w:sz w:val="16"/>
        </w:rPr>
        <w:t xml:space="preserve">Source: 2011/12 New Zealand Health Survey. </w:t>
      </w:r>
    </w:p>
    <w:p w14:paraId="76BD47E5" w14:textId="77777777" w:rsidR="00A303F2" w:rsidRPr="00AF3A24" w:rsidRDefault="00A303F2" w:rsidP="006A0B0E">
      <w:pPr>
        <w:pStyle w:val="ListParagraph"/>
        <w:numPr>
          <w:ilvl w:val="0"/>
          <w:numId w:val="54"/>
        </w:numPr>
        <w:spacing w:line="240" w:lineRule="auto"/>
        <w:ind w:left="1276" w:hanging="284"/>
        <w:rPr>
          <w:rFonts w:asciiTheme="minorHAnsi" w:hAnsiTheme="minorHAnsi" w:cstheme="minorHAnsi"/>
          <w:sz w:val="16"/>
        </w:rPr>
      </w:pPr>
      <w:r w:rsidRPr="00A303F2">
        <w:rPr>
          <w:rFonts w:asciiTheme="minorHAnsi" w:hAnsiTheme="minorHAnsi" w:cstheme="minorHAnsi"/>
          <w:sz w:val="16"/>
        </w:rPr>
        <w:t>Logistic regression analyses have controlled for gender, age-gr</w:t>
      </w:r>
      <w:r w:rsidRPr="00AF3A24">
        <w:rPr>
          <w:rFonts w:asciiTheme="minorHAnsi" w:hAnsiTheme="minorHAnsi" w:cstheme="minorHAnsi"/>
          <w:sz w:val="16"/>
        </w:rPr>
        <w:t>oup</w:t>
      </w:r>
      <w:r w:rsidR="00181D9E">
        <w:rPr>
          <w:rFonts w:asciiTheme="minorHAnsi" w:hAnsiTheme="minorHAnsi" w:cstheme="minorHAnsi"/>
          <w:sz w:val="16"/>
        </w:rPr>
        <w:t>, ethnicity, and neighbourhood deprivation</w:t>
      </w:r>
      <w:r w:rsidRPr="00AF3A24">
        <w:rPr>
          <w:rFonts w:asciiTheme="minorHAnsi" w:hAnsiTheme="minorHAnsi" w:cstheme="minorHAnsi"/>
          <w:sz w:val="16"/>
        </w:rPr>
        <w:t>.</w:t>
      </w:r>
    </w:p>
    <w:p w14:paraId="567C2084" w14:textId="77777777" w:rsidR="00482871" w:rsidRPr="00AF3A24" w:rsidRDefault="005F4551" w:rsidP="00F061EF">
      <w:pPr>
        <w:pStyle w:val="Heading3"/>
      </w:pPr>
      <w:bookmarkStart w:id="62" w:name="_Toc403833156"/>
      <w:r>
        <w:lastRenderedPageBreak/>
        <w:t>Changes over time – comparison of 2002/03, 2006/07 and 2011/12 NZHS:</w:t>
      </w:r>
      <w:r w:rsidR="00482871">
        <w:t xml:space="preserve"> </w:t>
      </w:r>
      <w:r w:rsidR="00482871" w:rsidRPr="00AF3A24">
        <w:t>Involvement in gambling and activities that adults gamble on</w:t>
      </w:r>
      <w:bookmarkEnd w:id="62"/>
    </w:p>
    <w:p w14:paraId="27ACDAE3" w14:textId="2390789F" w:rsidR="00495220" w:rsidRPr="005B5851" w:rsidRDefault="003403CB" w:rsidP="00495220">
      <w:pPr>
        <w:pStyle w:val="BodyText"/>
        <w:spacing w:line="480" w:lineRule="auto"/>
      </w:pPr>
      <w:r>
        <w:t xml:space="preserve">Analyses were carried out to examine changes over time </w:t>
      </w:r>
      <w:r w:rsidR="00527FEF">
        <w:t>with regard</w:t>
      </w:r>
      <w:r>
        <w:t xml:space="preserve"> to the activities that people</w:t>
      </w:r>
      <w:r w:rsidR="00833A38">
        <w:t xml:space="preserve"> had</w:t>
      </w:r>
      <w:r>
        <w:t xml:space="preserve"> gamble</w:t>
      </w:r>
      <w:r w:rsidR="00833A38">
        <w:t>d</w:t>
      </w:r>
      <w:r>
        <w:t xml:space="preserve"> on</w:t>
      </w:r>
      <w:r w:rsidR="00777DB4">
        <w:t xml:space="preserve"> in the past 12 months</w:t>
      </w:r>
      <w:r w:rsidR="0083612B">
        <w:t>.</w:t>
      </w:r>
      <w:r w:rsidR="00495220" w:rsidRPr="00495220">
        <w:t xml:space="preserve"> </w:t>
      </w:r>
      <w:r w:rsidR="00495220">
        <w:t>Results were compared across the three NZHS surveys that included gambling questions: 2002/03, 2006/07 and 2011/1</w:t>
      </w:r>
      <w:r w:rsidR="00495220" w:rsidRPr="005B5851">
        <w:t>2.</w:t>
      </w:r>
      <w:r w:rsidRPr="005B5851">
        <w:t xml:space="preserve">  </w:t>
      </w:r>
      <w:r w:rsidR="00495220" w:rsidRPr="005B5851">
        <w:t>It is important to note that when comparisons are made between the three most recent NZHS surveys (2002/03, 2006/07 and 2011/12), results have been age-standardised in accordance with World Health Organisation (WHO) age population distributions</w:t>
      </w:r>
      <w:r w:rsidR="00765F46" w:rsidRPr="005B5851">
        <w:t xml:space="preserve"> (Ahmed et al., 2001)</w:t>
      </w:r>
      <w:r w:rsidR="00495220" w:rsidRPr="005B5851">
        <w:t xml:space="preserve">. As such, some of the results that are reported for the 2011/12 NZHS in this ‘changes over time’ </w:t>
      </w:r>
      <w:proofErr w:type="gramStart"/>
      <w:r w:rsidR="00495220" w:rsidRPr="005B5851">
        <w:t>section,</w:t>
      </w:r>
      <w:proofErr w:type="gramEnd"/>
      <w:r w:rsidR="00495220" w:rsidRPr="005B5851">
        <w:t xml:space="preserve"> may differ slightly to those that are specified elsewhere in this report.  For example, while 52.3% of the adult population had gambled over the past-year in the 2011/12 NZHS (as detailed </w:t>
      </w:r>
      <w:r w:rsidR="0083612B" w:rsidRPr="005B5851">
        <w:t>previously</w:t>
      </w:r>
      <w:r w:rsidR="00495220" w:rsidRPr="005B5851">
        <w:t xml:space="preserve">), the </w:t>
      </w:r>
      <w:r w:rsidR="00495220" w:rsidRPr="005B5851">
        <w:rPr>
          <w:i/>
        </w:rPr>
        <w:t xml:space="preserve">age-adjusted rate </w:t>
      </w:r>
      <w:r w:rsidR="00495220" w:rsidRPr="005B5851">
        <w:t>of past-year gambling in 2011/12 is 45.7% (as reported below</w:t>
      </w:r>
      <w:r w:rsidR="0083612B" w:rsidRPr="005B5851">
        <w:t xml:space="preserve"> and in Table 20</w:t>
      </w:r>
      <w:r w:rsidR="00495220" w:rsidRPr="005B5851">
        <w:t xml:space="preserve"> </w:t>
      </w:r>
      <w:r w:rsidR="00F01955" w:rsidRPr="005B5851">
        <w:t>when comparing across multiple waves of the NZH</w:t>
      </w:r>
      <w:r w:rsidR="00495220" w:rsidRPr="005B5851">
        <w:t xml:space="preserve">S). </w:t>
      </w:r>
    </w:p>
    <w:p w14:paraId="72F83966" w14:textId="3DB2DD6E" w:rsidR="003403CB" w:rsidRDefault="00010E58" w:rsidP="00527FEF">
      <w:pPr>
        <w:pStyle w:val="BodyText"/>
        <w:spacing w:line="480" w:lineRule="auto"/>
      </w:pPr>
      <w:r>
        <w:t xml:space="preserve">As illustrated in </w:t>
      </w:r>
      <w:r w:rsidR="00DD4A62">
        <w:t>Figure 12</w:t>
      </w:r>
      <w:r w:rsidR="00924358">
        <w:t xml:space="preserve">, the proportion of people who had gambled on </w:t>
      </w:r>
      <w:r w:rsidR="00924358" w:rsidRPr="00227A3B">
        <w:rPr>
          <w:b/>
        </w:rPr>
        <w:t>any</w:t>
      </w:r>
      <w:r w:rsidR="00924358">
        <w:t xml:space="preserve"> activity</w:t>
      </w:r>
      <w:r w:rsidR="00DB1E6A">
        <w:t xml:space="preserve"> significantly decreased with each survey wave (p&lt;0.0001). </w:t>
      </w:r>
      <w:r w:rsidR="005F4551">
        <w:t xml:space="preserve"> </w:t>
      </w:r>
      <w:r w:rsidR="00DB1E6A">
        <w:t>Significant decreases in participation across the survey waves were</w:t>
      </w:r>
      <w:r w:rsidR="005F4551">
        <w:t xml:space="preserve"> also</w:t>
      </w:r>
      <w:r w:rsidR="00DB1E6A">
        <w:t xml:space="preserve"> observed for: Lotto (p&lt;0.0001), Instant Kiwi (p&lt;0.0001), non-casino </w:t>
      </w:r>
      <w:r w:rsidR="00227A3B">
        <w:t>EGMs</w:t>
      </w:r>
      <w:r w:rsidR="00DB1E6A">
        <w:t xml:space="preserve"> (p&lt;0.0001), track betting (p&lt;0.0001), casino </w:t>
      </w:r>
      <w:r w:rsidR="00227A3B">
        <w:t>EGMs</w:t>
      </w:r>
      <w:r w:rsidR="00DB1E6A">
        <w:t xml:space="preserve"> (p&lt;0.0001)</w:t>
      </w:r>
      <w:r w:rsidR="00DB1E6A">
        <w:rPr>
          <w:rStyle w:val="FootnoteReference"/>
        </w:rPr>
        <w:footnoteReference w:id="5"/>
      </w:r>
      <w:r w:rsidR="00DB1E6A">
        <w:t xml:space="preserve">, sports betting (p&lt;0.0001), Keno (p&lt;0.0001) and Housie (p&lt;0.0001). </w:t>
      </w:r>
      <w:r w:rsidR="00421BBC">
        <w:t xml:space="preserve"> Further details</w:t>
      </w:r>
      <w:r w:rsidR="008E4E9E">
        <w:t xml:space="preserve">, including </w:t>
      </w:r>
      <w:r w:rsidR="00421BBC">
        <w:t xml:space="preserve">prevalence estimates and 95% confidence intervals </w:t>
      </w:r>
      <w:r w:rsidR="0002174F">
        <w:t xml:space="preserve">are presented </w:t>
      </w:r>
      <w:r w:rsidR="00421BBC">
        <w:t xml:space="preserve">in </w:t>
      </w:r>
      <w:r w:rsidR="00DD4A62">
        <w:t xml:space="preserve">Table 20 </w:t>
      </w:r>
      <w:r w:rsidR="006F0097">
        <w:t>(</w:t>
      </w:r>
      <w:r w:rsidR="00DD4A62">
        <w:t>s</w:t>
      </w:r>
      <w:r w:rsidR="006F0097">
        <w:t xml:space="preserve">ee </w:t>
      </w:r>
      <w:r w:rsidR="00DD4A62">
        <w:t>Appendix C</w:t>
      </w:r>
      <w:r w:rsidR="006F0097">
        <w:t>).</w:t>
      </w:r>
      <w:r w:rsidR="00421BBC">
        <w:t xml:space="preserve">  </w:t>
      </w:r>
    </w:p>
    <w:p w14:paraId="37BEE8E7" w14:textId="1E1C9A6E" w:rsidR="00833A38" w:rsidRPr="00F41658" w:rsidRDefault="00833A38" w:rsidP="00737C49">
      <w:pPr>
        <w:pStyle w:val="Caption"/>
        <w:keepNext/>
        <w:spacing w:after="0" w:line="240" w:lineRule="auto"/>
        <w:ind w:left="993" w:hanging="993"/>
        <w:rPr>
          <w:rFonts w:asciiTheme="minorHAnsi" w:hAnsiTheme="minorHAnsi"/>
          <w:i/>
        </w:rPr>
      </w:pPr>
      <w:bookmarkStart w:id="63" w:name="_Ref397444943"/>
      <w:bookmarkStart w:id="64" w:name="_Toc425426985"/>
      <w:r w:rsidRPr="00F41658">
        <w:rPr>
          <w:rFonts w:asciiTheme="minorHAnsi" w:hAnsiTheme="minorHAnsi"/>
          <w:i/>
        </w:rPr>
        <w:lastRenderedPageBreak/>
        <w:t xml:space="preserve">Figure </w:t>
      </w:r>
      <w:r w:rsidRPr="00F41658">
        <w:rPr>
          <w:rFonts w:asciiTheme="minorHAnsi" w:hAnsiTheme="minorHAnsi"/>
          <w:i/>
        </w:rPr>
        <w:fldChar w:fldCharType="begin"/>
      </w:r>
      <w:r w:rsidRPr="00F41658">
        <w:rPr>
          <w:rFonts w:asciiTheme="minorHAnsi" w:hAnsiTheme="minorHAnsi"/>
          <w:i/>
        </w:rPr>
        <w:instrText xml:space="preserve"> SEQ Figure \* ARABIC </w:instrText>
      </w:r>
      <w:r w:rsidRPr="00F41658">
        <w:rPr>
          <w:rFonts w:asciiTheme="minorHAnsi" w:hAnsiTheme="minorHAnsi"/>
          <w:i/>
        </w:rPr>
        <w:fldChar w:fldCharType="separate"/>
      </w:r>
      <w:r w:rsidR="00D71107">
        <w:rPr>
          <w:rFonts w:asciiTheme="minorHAnsi" w:hAnsiTheme="minorHAnsi"/>
          <w:i/>
          <w:noProof/>
        </w:rPr>
        <w:t>12</w:t>
      </w:r>
      <w:r w:rsidRPr="00F41658">
        <w:rPr>
          <w:rFonts w:asciiTheme="minorHAnsi" w:hAnsiTheme="minorHAnsi"/>
          <w:i/>
        </w:rPr>
        <w:fldChar w:fldCharType="end"/>
      </w:r>
      <w:bookmarkEnd w:id="63"/>
      <w:r w:rsidRPr="00F41658">
        <w:rPr>
          <w:rFonts w:asciiTheme="minorHAnsi" w:hAnsiTheme="minorHAnsi"/>
          <w:i/>
        </w:rPr>
        <w:t xml:space="preserve">: </w:t>
      </w:r>
      <w:r w:rsidR="00AF6E1C">
        <w:rPr>
          <w:rFonts w:asciiTheme="minorHAnsi" w:hAnsiTheme="minorHAnsi"/>
          <w:i/>
        </w:rPr>
        <w:tab/>
      </w:r>
      <w:r w:rsidRPr="00F41658">
        <w:rPr>
          <w:rFonts w:asciiTheme="minorHAnsi" w:hAnsiTheme="minorHAnsi"/>
          <w:i/>
        </w:rPr>
        <w:t xml:space="preserve">Past year participation in gambling </w:t>
      </w:r>
      <w:r w:rsidR="00BB20F9">
        <w:rPr>
          <w:rFonts w:asciiTheme="minorHAnsi" w:hAnsiTheme="minorHAnsi"/>
          <w:i/>
        </w:rPr>
        <w:t xml:space="preserve">activities by NZHS survey wave, </w:t>
      </w:r>
      <w:r w:rsidRPr="00F41658">
        <w:rPr>
          <w:rFonts w:asciiTheme="minorHAnsi" w:hAnsiTheme="minorHAnsi"/>
          <w:i/>
        </w:rPr>
        <w:t>total population aged 15 years and over</w:t>
      </w:r>
      <w:r w:rsidR="00BB20F9">
        <w:rPr>
          <w:rFonts w:asciiTheme="minorHAnsi" w:hAnsiTheme="minorHAnsi"/>
          <w:i/>
        </w:rPr>
        <w:t xml:space="preserve"> (</w:t>
      </w:r>
      <w:r w:rsidR="00737C49">
        <w:rPr>
          <w:rFonts w:asciiTheme="minorHAnsi" w:hAnsiTheme="minorHAnsi"/>
          <w:i/>
        </w:rPr>
        <w:t>adjusted prevalence</w:t>
      </w:r>
      <w:r w:rsidRPr="00F41658">
        <w:rPr>
          <w:rFonts w:asciiTheme="minorHAnsi" w:hAnsiTheme="minorHAnsi"/>
          <w:i/>
        </w:rPr>
        <w:t xml:space="preserve">) </w:t>
      </w:r>
      <w:r w:rsidRPr="00010E58">
        <w:rPr>
          <w:rFonts w:asciiTheme="minorHAnsi" w:hAnsiTheme="minorHAnsi"/>
          <w:i/>
          <w:vertAlign w:val="superscript"/>
        </w:rPr>
        <w:t>1</w:t>
      </w:r>
      <w:bookmarkEnd w:id="64"/>
    </w:p>
    <w:p w14:paraId="31F9C0A8" w14:textId="77777777" w:rsidR="002240F0" w:rsidRDefault="002240F0" w:rsidP="002240F0">
      <w:pPr>
        <w:spacing w:before="0" w:line="240" w:lineRule="auto"/>
        <w:rPr>
          <w:rFonts w:asciiTheme="minorHAnsi" w:hAnsiTheme="minorHAnsi" w:cstheme="minorHAnsi"/>
          <w:sz w:val="16"/>
        </w:rPr>
      </w:pPr>
      <w:r>
        <w:rPr>
          <w:noProof/>
          <w:lang w:eastAsia="en-NZ"/>
        </w:rPr>
        <w:drawing>
          <wp:inline distT="0" distB="0" distL="0" distR="0" wp14:anchorId="21170272" wp14:editId="0AC585AA">
            <wp:extent cx="6464595" cy="3434316"/>
            <wp:effectExtent l="0" t="0" r="12700" b="1397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894CE1" w14:textId="4D4DBF0E" w:rsidR="00833A38" w:rsidRPr="00833A38" w:rsidRDefault="00833A38" w:rsidP="00A34C5E">
      <w:pPr>
        <w:spacing w:before="0" w:line="240" w:lineRule="auto"/>
        <w:ind w:left="284"/>
        <w:rPr>
          <w:rFonts w:asciiTheme="minorHAnsi" w:hAnsiTheme="minorHAnsi" w:cstheme="minorHAnsi"/>
          <w:sz w:val="16"/>
        </w:rPr>
      </w:pPr>
      <w:r w:rsidRPr="0045616C">
        <w:rPr>
          <w:rFonts w:asciiTheme="minorHAnsi" w:hAnsiTheme="minorHAnsi" w:cstheme="minorHAnsi"/>
          <w:sz w:val="16"/>
        </w:rPr>
        <w:t>Notes</w:t>
      </w:r>
      <w:proofErr w:type="gramStart"/>
      <w:r w:rsidRPr="0045616C">
        <w:rPr>
          <w:rFonts w:asciiTheme="minorHAnsi" w:hAnsiTheme="minorHAnsi" w:cstheme="minorHAnsi"/>
          <w:sz w:val="16"/>
        </w:rPr>
        <w:t>:</w:t>
      </w:r>
      <w:r w:rsidR="00A34C5E">
        <w:rPr>
          <w:rFonts w:asciiTheme="minorHAnsi" w:hAnsiTheme="minorHAnsi" w:cstheme="minorHAnsi"/>
          <w:sz w:val="16"/>
        </w:rPr>
        <w:t>1</w:t>
      </w:r>
      <w:proofErr w:type="gramEnd"/>
      <w:r w:rsidR="00A34C5E">
        <w:rPr>
          <w:rFonts w:asciiTheme="minorHAnsi" w:hAnsiTheme="minorHAnsi" w:cstheme="minorHAnsi"/>
          <w:sz w:val="16"/>
        </w:rPr>
        <w:t xml:space="preserve">. </w:t>
      </w:r>
      <w:r w:rsidRPr="00AF3A24">
        <w:rPr>
          <w:rFonts w:asciiTheme="minorHAnsi" w:hAnsiTheme="minorHAnsi" w:cstheme="minorHAnsi"/>
          <w:sz w:val="16"/>
          <w:szCs w:val="16"/>
        </w:rPr>
        <w:t>Sources: 2002/03</w:t>
      </w:r>
      <w:r w:rsidR="00F21BB7">
        <w:rPr>
          <w:rFonts w:asciiTheme="minorHAnsi" w:hAnsiTheme="minorHAnsi" w:cstheme="minorHAnsi"/>
          <w:sz w:val="16"/>
          <w:szCs w:val="16"/>
        </w:rPr>
        <w:t xml:space="preserve"> (N=12,529)</w:t>
      </w:r>
      <w:r w:rsidRPr="00AF3A24">
        <w:rPr>
          <w:rFonts w:asciiTheme="minorHAnsi" w:hAnsiTheme="minorHAnsi" w:cstheme="minorHAnsi"/>
          <w:sz w:val="16"/>
          <w:szCs w:val="16"/>
        </w:rPr>
        <w:t>, 2006/07</w:t>
      </w:r>
      <w:r w:rsidR="00F21BB7">
        <w:rPr>
          <w:rFonts w:asciiTheme="minorHAnsi" w:hAnsiTheme="minorHAnsi" w:cstheme="minorHAnsi"/>
          <w:sz w:val="16"/>
          <w:szCs w:val="16"/>
        </w:rPr>
        <w:t xml:space="preserve"> (N=12,488)</w:t>
      </w:r>
      <w:r w:rsidRPr="00AF3A24">
        <w:rPr>
          <w:rFonts w:asciiTheme="minorHAnsi" w:hAnsiTheme="minorHAnsi" w:cstheme="minorHAnsi"/>
          <w:sz w:val="16"/>
          <w:szCs w:val="16"/>
        </w:rPr>
        <w:t xml:space="preserve"> and 2011/12 </w:t>
      </w:r>
      <w:r w:rsidR="00F21BB7">
        <w:rPr>
          <w:rFonts w:asciiTheme="minorHAnsi" w:hAnsiTheme="minorHAnsi" w:cstheme="minorHAnsi"/>
          <w:sz w:val="16"/>
          <w:szCs w:val="16"/>
        </w:rPr>
        <w:t xml:space="preserve">(N=12.596) </w:t>
      </w:r>
      <w:r w:rsidRPr="00AF3A24">
        <w:rPr>
          <w:rFonts w:asciiTheme="minorHAnsi" w:hAnsiTheme="minorHAnsi" w:cstheme="minorHAnsi"/>
          <w:sz w:val="16"/>
          <w:szCs w:val="16"/>
        </w:rPr>
        <w:t>New Zealand Health Surveys.</w:t>
      </w:r>
      <w:r>
        <w:rPr>
          <w:rFonts w:asciiTheme="minorHAnsi" w:hAnsiTheme="minorHAnsi" w:cstheme="minorHAnsi"/>
          <w:sz w:val="16"/>
          <w:szCs w:val="16"/>
        </w:rPr>
        <w:t xml:space="preserve"> </w:t>
      </w:r>
      <w:r w:rsidR="00737C49">
        <w:rPr>
          <w:rFonts w:asciiTheme="minorHAnsi" w:hAnsiTheme="minorHAnsi" w:cstheme="minorHAnsi"/>
          <w:sz w:val="16"/>
          <w:szCs w:val="16"/>
        </w:rPr>
        <w:t>Percentages and 95% confidence intervals have been age-standardised in accordance with World Health Organisation (WHO) age population distributions</w:t>
      </w:r>
      <w:r w:rsidR="00BB20F9">
        <w:rPr>
          <w:rFonts w:asciiTheme="minorHAnsi" w:hAnsiTheme="minorHAnsi" w:cstheme="minorHAnsi"/>
          <w:sz w:val="16"/>
          <w:szCs w:val="16"/>
        </w:rPr>
        <w:t xml:space="preserve"> </w:t>
      </w:r>
      <w:r w:rsidR="00737C49">
        <w:rPr>
          <w:rFonts w:asciiTheme="minorHAnsi" w:hAnsiTheme="minorHAnsi" w:cstheme="minorHAnsi"/>
          <w:sz w:val="16"/>
          <w:szCs w:val="16"/>
        </w:rPr>
        <w:fldChar w:fldCharType="begin"/>
      </w:r>
      <w:r w:rsidR="00737C49">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737C49">
        <w:rPr>
          <w:rFonts w:asciiTheme="minorHAnsi" w:hAnsiTheme="minorHAnsi" w:cstheme="minorHAnsi"/>
          <w:sz w:val="16"/>
          <w:szCs w:val="16"/>
        </w:rPr>
        <w:fldChar w:fldCharType="separate"/>
      </w:r>
      <w:r w:rsidR="00737C49">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737C49">
        <w:rPr>
          <w:rFonts w:asciiTheme="minorHAnsi" w:hAnsiTheme="minorHAnsi" w:cstheme="minorHAnsi"/>
          <w:noProof/>
          <w:sz w:val="16"/>
          <w:szCs w:val="16"/>
        </w:rPr>
        <w:t>)</w:t>
      </w:r>
      <w:r w:rsidR="00737C49">
        <w:rPr>
          <w:rFonts w:asciiTheme="minorHAnsi" w:hAnsiTheme="minorHAnsi" w:cstheme="minorHAnsi"/>
          <w:sz w:val="16"/>
          <w:szCs w:val="16"/>
        </w:rPr>
        <w:fldChar w:fldCharType="end"/>
      </w:r>
      <w:r w:rsidR="00737C49">
        <w:rPr>
          <w:rFonts w:asciiTheme="minorHAnsi" w:hAnsiTheme="minorHAnsi" w:cstheme="minorHAnsi"/>
          <w:sz w:val="16"/>
          <w:szCs w:val="16"/>
        </w:rPr>
        <w:t>.</w:t>
      </w:r>
      <w:r w:rsidRPr="00AF3A24">
        <w:rPr>
          <w:rFonts w:asciiTheme="minorHAnsi" w:hAnsiTheme="minorHAnsi" w:cstheme="minorHAnsi"/>
          <w:sz w:val="16"/>
          <w:szCs w:val="16"/>
        </w:rPr>
        <w:t xml:space="preserve"> </w:t>
      </w:r>
      <w:r w:rsidR="0009392B" w:rsidRPr="00B970C8">
        <w:rPr>
          <w:rFonts w:asciiTheme="minorHAnsi" w:hAnsiTheme="minorHAnsi" w:cstheme="minorHAnsi"/>
          <w:sz w:val="16"/>
        </w:rPr>
        <w:t>Error bars are indicative of 95% confidence intervals.</w:t>
      </w:r>
    </w:p>
    <w:p w14:paraId="3A574CD3" w14:textId="77777777" w:rsidR="00D26B9A" w:rsidRPr="00C82321" w:rsidRDefault="00D26B9A" w:rsidP="00F061EF">
      <w:pPr>
        <w:pStyle w:val="Heading2"/>
      </w:pPr>
      <w:bookmarkStart w:id="65" w:name="_Toc403833157"/>
      <w:r w:rsidRPr="00C82321">
        <w:t>Number of gambling activities</w:t>
      </w:r>
      <w:bookmarkEnd w:id="65"/>
    </w:p>
    <w:p w14:paraId="422B0282" w14:textId="77777777" w:rsidR="0071500D" w:rsidRDefault="00BB397C" w:rsidP="00221BA7">
      <w:pPr>
        <w:rPr>
          <w:rFonts w:asciiTheme="minorHAnsi" w:hAnsiTheme="minorHAnsi"/>
        </w:rPr>
      </w:pPr>
      <w:r>
        <w:rPr>
          <w:rFonts w:asciiTheme="minorHAnsi" w:hAnsiTheme="minorHAnsi"/>
        </w:rPr>
        <w:t>Table 7</w:t>
      </w:r>
      <w:r w:rsidR="00A3140C">
        <w:rPr>
          <w:rFonts w:asciiTheme="minorHAnsi" w:hAnsiTheme="minorHAnsi"/>
        </w:rPr>
        <w:t xml:space="preserve"> provides a breakdown of the number of activities that respondents had gambled on over the past year. </w:t>
      </w:r>
      <w:r w:rsidR="00221BA7">
        <w:rPr>
          <w:rFonts w:asciiTheme="minorHAnsi" w:hAnsiTheme="minorHAnsi"/>
        </w:rPr>
        <w:t xml:space="preserve"> Nearly one-third of adults had gambled on one activity and a small proportion (2.8%) had gambled on four or more activities. </w:t>
      </w:r>
    </w:p>
    <w:p w14:paraId="070C167D" w14:textId="77777777" w:rsidR="00384BF9" w:rsidRPr="00AF3A24" w:rsidRDefault="00384BF9" w:rsidP="00384BF9">
      <w:pPr>
        <w:pStyle w:val="Caption"/>
        <w:keepNext/>
        <w:spacing w:line="276" w:lineRule="auto"/>
        <w:ind w:left="993" w:hanging="993"/>
        <w:rPr>
          <w:rFonts w:asciiTheme="minorHAnsi" w:hAnsiTheme="minorHAnsi" w:cstheme="minorHAnsi"/>
          <w:i/>
        </w:rPr>
      </w:pPr>
      <w:bookmarkStart w:id="66" w:name="_Ref399750709"/>
      <w:bookmarkStart w:id="67" w:name="_Ref399757115"/>
      <w:bookmarkStart w:id="68" w:name="_Toc425426874"/>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7</w:t>
      </w:r>
      <w:r w:rsidRPr="00AF3A24">
        <w:rPr>
          <w:rFonts w:asciiTheme="minorHAnsi" w:hAnsiTheme="minorHAnsi"/>
          <w:i/>
        </w:rPr>
        <w:fldChar w:fldCharType="end"/>
      </w:r>
      <w:bookmarkEnd w:id="66"/>
      <w:r w:rsidRPr="00AF3A24">
        <w:rPr>
          <w:rFonts w:asciiTheme="minorHAnsi" w:hAnsiTheme="minorHAnsi"/>
          <w:i/>
        </w:rPr>
        <w:t>:</w:t>
      </w:r>
      <w:r w:rsidRPr="00AF3A24">
        <w:rPr>
          <w:rFonts w:asciiTheme="minorHAnsi" w:hAnsiTheme="minorHAnsi" w:cstheme="minorHAnsi"/>
          <w:i/>
        </w:rPr>
        <w:tab/>
        <w:t>Number of gambling activities participated in during the last 12 months, total population aged 15 years and over (unadjusted prevalence)</w:t>
      </w:r>
      <w:r w:rsidR="00323550" w:rsidRPr="00AF3A24">
        <w:rPr>
          <w:rFonts w:asciiTheme="minorHAnsi" w:hAnsiTheme="minorHAnsi" w:cstheme="minorHAnsi"/>
          <w:i/>
        </w:rPr>
        <w:t xml:space="preserve"> </w:t>
      </w:r>
      <w:r w:rsidR="00323550" w:rsidRPr="00AF3A24">
        <w:rPr>
          <w:rFonts w:asciiTheme="minorHAnsi" w:hAnsiTheme="minorHAnsi" w:cstheme="minorHAnsi"/>
          <w:i/>
          <w:vertAlign w:val="superscript"/>
        </w:rPr>
        <w:t>1</w:t>
      </w:r>
      <w:bookmarkEnd w:id="67"/>
      <w:bookmarkEnd w:id="68"/>
    </w:p>
    <w:tbl>
      <w:tblPr>
        <w:tblStyle w:val="TableGrid"/>
        <w:tblW w:w="0" w:type="auto"/>
        <w:jc w:val="center"/>
        <w:tblInd w:w="-181" w:type="dxa"/>
        <w:tblLook w:val="04A0" w:firstRow="1" w:lastRow="0" w:firstColumn="1" w:lastColumn="0" w:noHBand="0" w:noVBand="1"/>
      </w:tblPr>
      <w:tblGrid>
        <w:gridCol w:w="3158"/>
        <w:gridCol w:w="1067"/>
        <w:gridCol w:w="1882"/>
        <w:gridCol w:w="1883"/>
      </w:tblGrid>
      <w:tr w:rsidR="00F847C4" w:rsidRPr="00AF3A24" w14:paraId="0F600A17" w14:textId="77777777" w:rsidTr="00BB20F9">
        <w:trPr>
          <w:trHeight w:val="513"/>
          <w:jc w:val="center"/>
        </w:trPr>
        <w:tc>
          <w:tcPr>
            <w:tcW w:w="3158" w:type="dxa"/>
            <w:vMerge w:val="restart"/>
            <w:shd w:val="clear" w:color="auto" w:fill="92CDDC" w:themeFill="accent5" w:themeFillTint="99"/>
            <w:vAlign w:val="center"/>
          </w:tcPr>
          <w:p w14:paraId="75C7640B" w14:textId="77777777" w:rsidR="00F847C4" w:rsidRPr="00AF3A24" w:rsidRDefault="00F847C4" w:rsidP="0045616C">
            <w:pPr>
              <w:spacing w:before="0" w:line="276" w:lineRule="auto"/>
              <w:jc w:val="left"/>
              <w:rPr>
                <w:rFonts w:asciiTheme="minorHAnsi" w:hAnsiTheme="minorHAnsi"/>
                <w:highlight w:val="cyan"/>
              </w:rPr>
            </w:pPr>
            <w:bookmarkStart w:id="69" w:name="_Ref345580575"/>
            <w:bookmarkStart w:id="70" w:name="_Toc367285518"/>
            <w:r w:rsidRPr="00AF3A24">
              <w:rPr>
                <w:rFonts w:asciiTheme="minorHAnsi" w:hAnsiTheme="minorHAnsi" w:cstheme="minorHAnsi"/>
                <w:b/>
                <w:sz w:val="18"/>
                <w:szCs w:val="18"/>
              </w:rPr>
              <w:t>NUMBER OF GAMBLING ACTIVITIES IN LAST 12 MONTHS</w:t>
            </w:r>
          </w:p>
        </w:tc>
        <w:tc>
          <w:tcPr>
            <w:tcW w:w="1067" w:type="dxa"/>
            <w:vMerge w:val="restart"/>
            <w:shd w:val="clear" w:color="auto" w:fill="92CDDC" w:themeFill="accent5" w:themeFillTint="99"/>
            <w:vAlign w:val="center"/>
          </w:tcPr>
          <w:p w14:paraId="7D55E165" w14:textId="77777777" w:rsidR="00F847C4" w:rsidRPr="00AF3A24" w:rsidRDefault="00F847C4" w:rsidP="00F847C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882" w:type="dxa"/>
            <w:shd w:val="clear" w:color="auto" w:fill="92CDDC" w:themeFill="accent5" w:themeFillTint="99"/>
          </w:tcPr>
          <w:p w14:paraId="62B4D301" w14:textId="77777777" w:rsidR="00F847C4" w:rsidRPr="00AF3A24" w:rsidRDefault="00F847C4" w:rsidP="00F847C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Prevalence for total adults </w:t>
            </w:r>
          </w:p>
          <w:p w14:paraId="4E0FBC2F" w14:textId="77777777" w:rsidR="00F847C4" w:rsidRPr="00AF3A24" w:rsidRDefault="00F847C4" w:rsidP="00F847C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(N=12,596)</w:t>
            </w:r>
          </w:p>
        </w:tc>
        <w:tc>
          <w:tcPr>
            <w:tcW w:w="1883" w:type="dxa"/>
            <w:shd w:val="clear" w:color="auto" w:fill="92CDDC" w:themeFill="accent5" w:themeFillTint="99"/>
          </w:tcPr>
          <w:p w14:paraId="4CB3235A" w14:textId="77777777" w:rsidR="00F847C4" w:rsidRPr="00AF3A24" w:rsidRDefault="00F847C4" w:rsidP="00417132">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past-year gamblers (N=6,549)</w:t>
            </w:r>
          </w:p>
        </w:tc>
      </w:tr>
      <w:tr w:rsidR="00F847C4" w:rsidRPr="00AF3A24" w14:paraId="0051356D" w14:textId="77777777" w:rsidTr="00BB20F9">
        <w:trPr>
          <w:trHeight w:val="379"/>
          <w:jc w:val="center"/>
        </w:trPr>
        <w:tc>
          <w:tcPr>
            <w:tcW w:w="3158" w:type="dxa"/>
            <w:vMerge/>
            <w:tcBorders>
              <w:bottom w:val="single" w:sz="4" w:space="0" w:color="auto"/>
            </w:tcBorders>
            <w:shd w:val="clear" w:color="auto" w:fill="92CDDC" w:themeFill="accent5" w:themeFillTint="99"/>
            <w:vAlign w:val="center"/>
          </w:tcPr>
          <w:p w14:paraId="726FD863" w14:textId="77777777" w:rsidR="00F847C4" w:rsidRPr="00AF3A24" w:rsidRDefault="00F847C4" w:rsidP="00C900B9">
            <w:pPr>
              <w:spacing w:before="0" w:line="240" w:lineRule="auto"/>
              <w:jc w:val="left"/>
              <w:rPr>
                <w:rFonts w:asciiTheme="minorHAnsi" w:hAnsiTheme="minorHAnsi" w:cstheme="minorHAnsi"/>
                <w:b/>
                <w:sz w:val="18"/>
                <w:szCs w:val="18"/>
              </w:rPr>
            </w:pPr>
          </w:p>
        </w:tc>
        <w:tc>
          <w:tcPr>
            <w:tcW w:w="1067" w:type="dxa"/>
            <w:vMerge/>
            <w:tcBorders>
              <w:bottom w:val="single" w:sz="4" w:space="0" w:color="auto"/>
            </w:tcBorders>
            <w:shd w:val="clear" w:color="auto" w:fill="92CDDC" w:themeFill="accent5" w:themeFillTint="99"/>
            <w:vAlign w:val="center"/>
          </w:tcPr>
          <w:p w14:paraId="47CD4B78" w14:textId="77777777" w:rsidR="00F847C4" w:rsidRPr="00AF3A24" w:rsidRDefault="00F847C4" w:rsidP="00E32510">
            <w:pPr>
              <w:spacing w:before="0" w:line="240" w:lineRule="auto"/>
              <w:jc w:val="center"/>
              <w:rPr>
                <w:rFonts w:asciiTheme="minorHAnsi" w:hAnsiTheme="minorHAnsi" w:cstheme="minorHAnsi"/>
                <w:b/>
                <w:sz w:val="18"/>
                <w:szCs w:val="18"/>
              </w:rPr>
            </w:pPr>
          </w:p>
        </w:tc>
        <w:tc>
          <w:tcPr>
            <w:tcW w:w="1882" w:type="dxa"/>
            <w:tcBorders>
              <w:bottom w:val="single" w:sz="4" w:space="0" w:color="auto"/>
            </w:tcBorders>
            <w:shd w:val="clear" w:color="auto" w:fill="92CDDC" w:themeFill="accent5" w:themeFillTint="99"/>
          </w:tcPr>
          <w:p w14:paraId="29D51E06" w14:textId="77777777" w:rsidR="00F847C4" w:rsidRPr="00AF3A24" w:rsidRDefault="00F847C4" w:rsidP="00F847C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FEDA771" w14:textId="77777777" w:rsidR="00F847C4" w:rsidRPr="00AF3A24" w:rsidRDefault="00F847C4" w:rsidP="00F847C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883" w:type="dxa"/>
            <w:tcBorders>
              <w:bottom w:val="single" w:sz="4" w:space="0" w:color="auto"/>
            </w:tcBorders>
            <w:shd w:val="clear" w:color="auto" w:fill="92CDDC" w:themeFill="accent5" w:themeFillTint="99"/>
            <w:vAlign w:val="center"/>
          </w:tcPr>
          <w:p w14:paraId="0B3D7D09" w14:textId="77777777" w:rsidR="00F847C4" w:rsidRPr="00AF3A24" w:rsidRDefault="00F847C4"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0F273CC" w14:textId="77777777" w:rsidR="00F847C4" w:rsidRPr="00AF3A24" w:rsidRDefault="00F847C4"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F847C4" w:rsidRPr="00AF3A24" w14:paraId="281AAA65" w14:textId="77777777" w:rsidTr="00BB20F9">
        <w:trPr>
          <w:jc w:val="center"/>
        </w:trPr>
        <w:tc>
          <w:tcPr>
            <w:tcW w:w="3158" w:type="dxa"/>
            <w:tcBorders>
              <w:top w:val="single" w:sz="4" w:space="0" w:color="auto"/>
              <w:bottom w:val="dashed" w:sz="4" w:space="0" w:color="auto"/>
            </w:tcBorders>
            <w:shd w:val="clear" w:color="auto" w:fill="DAEEF3" w:themeFill="accent5" w:themeFillTint="33"/>
            <w:vAlign w:val="center"/>
          </w:tcPr>
          <w:p w14:paraId="467B41AE" w14:textId="77777777" w:rsidR="00F847C4" w:rsidRPr="00AF3A24" w:rsidRDefault="00F847C4" w:rsidP="0045616C">
            <w:pPr>
              <w:spacing w:before="0" w:line="240" w:lineRule="auto"/>
              <w:ind w:left="78"/>
              <w:jc w:val="left"/>
              <w:rPr>
                <w:rFonts w:asciiTheme="minorHAnsi" w:hAnsiTheme="minorHAnsi" w:cstheme="minorHAnsi"/>
                <w:sz w:val="16"/>
                <w:szCs w:val="18"/>
              </w:rPr>
            </w:pPr>
            <w:r>
              <w:rPr>
                <w:rFonts w:asciiTheme="minorHAnsi" w:hAnsiTheme="minorHAnsi" w:cstheme="minorHAnsi"/>
                <w:sz w:val="16"/>
                <w:szCs w:val="18"/>
              </w:rPr>
              <w:t>None</w:t>
            </w:r>
          </w:p>
        </w:tc>
        <w:tc>
          <w:tcPr>
            <w:tcW w:w="1067" w:type="dxa"/>
            <w:tcBorders>
              <w:bottom w:val="dashed" w:sz="4" w:space="0" w:color="auto"/>
            </w:tcBorders>
            <w:shd w:val="clear" w:color="auto" w:fill="DAEEF3" w:themeFill="accent5" w:themeFillTint="33"/>
            <w:vAlign w:val="center"/>
          </w:tcPr>
          <w:p w14:paraId="01939B10"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6,047</w:t>
            </w:r>
          </w:p>
        </w:tc>
        <w:tc>
          <w:tcPr>
            <w:tcW w:w="1882" w:type="dxa"/>
            <w:tcBorders>
              <w:bottom w:val="dashed" w:sz="4" w:space="0" w:color="auto"/>
            </w:tcBorders>
            <w:shd w:val="clear" w:color="auto" w:fill="DAEEF3" w:themeFill="accent5" w:themeFillTint="33"/>
            <w:vAlign w:val="center"/>
          </w:tcPr>
          <w:p w14:paraId="16B0776D"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47.7</w:t>
            </w:r>
            <w:r w:rsidRPr="00AF3A24">
              <w:rPr>
                <w:rFonts w:asciiTheme="minorHAnsi" w:hAnsiTheme="minorHAnsi"/>
                <w:bCs/>
                <w:color w:val="000000"/>
                <w:sz w:val="16"/>
                <w:szCs w:val="18"/>
              </w:rPr>
              <w:br/>
              <w:t>(46.3 - 49.1)</w:t>
            </w:r>
          </w:p>
        </w:tc>
        <w:tc>
          <w:tcPr>
            <w:tcW w:w="1883" w:type="dxa"/>
            <w:tcBorders>
              <w:bottom w:val="dashed" w:sz="4" w:space="0" w:color="auto"/>
              <w:right w:val="single" w:sz="4" w:space="0" w:color="auto"/>
            </w:tcBorders>
            <w:shd w:val="clear" w:color="auto" w:fill="DAEEF3" w:themeFill="accent5" w:themeFillTint="33"/>
            <w:vAlign w:val="center"/>
          </w:tcPr>
          <w:p w14:paraId="0AE25670"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w:t>
            </w:r>
          </w:p>
        </w:tc>
      </w:tr>
      <w:tr w:rsidR="00F847C4" w:rsidRPr="00AF3A24" w14:paraId="49472232" w14:textId="77777777" w:rsidTr="00BB20F9">
        <w:trPr>
          <w:jc w:val="center"/>
        </w:trPr>
        <w:tc>
          <w:tcPr>
            <w:tcW w:w="3158" w:type="dxa"/>
            <w:tcBorders>
              <w:top w:val="dashed" w:sz="4" w:space="0" w:color="auto"/>
              <w:bottom w:val="nil"/>
            </w:tcBorders>
            <w:shd w:val="clear" w:color="auto" w:fill="DAEEF3" w:themeFill="accent5" w:themeFillTint="33"/>
            <w:vAlign w:val="center"/>
          </w:tcPr>
          <w:p w14:paraId="22079A28" w14:textId="77777777" w:rsidR="00F847C4" w:rsidRPr="00AF3A24" w:rsidRDefault="00F847C4" w:rsidP="0045616C">
            <w:pPr>
              <w:spacing w:before="0" w:line="240" w:lineRule="auto"/>
              <w:ind w:left="78"/>
              <w:jc w:val="left"/>
              <w:rPr>
                <w:rFonts w:asciiTheme="minorHAnsi" w:hAnsiTheme="minorHAnsi" w:cstheme="minorHAnsi"/>
                <w:sz w:val="16"/>
                <w:szCs w:val="18"/>
              </w:rPr>
            </w:pPr>
            <w:r>
              <w:rPr>
                <w:rFonts w:asciiTheme="minorHAnsi" w:hAnsiTheme="minorHAnsi" w:cstheme="minorHAnsi"/>
                <w:sz w:val="16"/>
                <w:szCs w:val="18"/>
              </w:rPr>
              <w:t>One</w:t>
            </w:r>
          </w:p>
        </w:tc>
        <w:tc>
          <w:tcPr>
            <w:tcW w:w="1067" w:type="dxa"/>
            <w:tcBorders>
              <w:top w:val="dashed" w:sz="4" w:space="0" w:color="auto"/>
              <w:bottom w:val="nil"/>
            </w:tcBorders>
            <w:shd w:val="clear" w:color="auto" w:fill="DAEEF3" w:themeFill="accent5" w:themeFillTint="33"/>
            <w:vAlign w:val="center"/>
          </w:tcPr>
          <w:p w14:paraId="18B1A7DE"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4,137</w:t>
            </w:r>
          </w:p>
        </w:tc>
        <w:tc>
          <w:tcPr>
            <w:tcW w:w="1882" w:type="dxa"/>
            <w:tcBorders>
              <w:top w:val="dashed" w:sz="4" w:space="0" w:color="auto"/>
              <w:bottom w:val="nil"/>
            </w:tcBorders>
            <w:shd w:val="clear" w:color="auto" w:fill="DAEEF3" w:themeFill="accent5" w:themeFillTint="33"/>
            <w:vAlign w:val="center"/>
          </w:tcPr>
          <w:p w14:paraId="7281BBBC"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32.8</w:t>
            </w:r>
            <w:r w:rsidRPr="00AF3A24">
              <w:rPr>
                <w:rFonts w:asciiTheme="minorHAnsi" w:hAnsiTheme="minorHAnsi"/>
                <w:bCs/>
                <w:color w:val="000000"/>
                <w:sz w:val="16"/>
                <w:szCs w:val="18"/>
              </w:rPr>
              <w:br/>
              <w:t>(31.6 - 34.0)</w:t>
            </w:r>
          </w:p>
        </w:tc>
        <w:tc>
          <w:tcPr>
            <w:tcW w:w="1883" w:type="dxa"/>
            <w:tcBorders>
              <w:top w:val="dashed" w:sz="4" w:space="0" w:color="auto"/>
              <w:bottom w:val="nil"/>
              <w:right w:val="single" w:sz="4" w:space="0" w:color="auto"/>
            </w:tcBorders>
            <w:shd w:val="clear" w:color="auto" w:fill="DAEEF3" w:themeFill="accent5" w:themeFillTint="33"/>
            <w:vAlign w:val="center"/>
          </w:tcPr>
          <w:p w14:paraId="760C19CF"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62.8</w:t>
            </w:r>
            <w:r w:rsidRPr="00AF3A24">
              <w:rPr>
                <w:rFonts w:asciiTheme="minorHAnsi" w:hAnsiTheme="minorHAnsi"/>
                <w:bCs/>
                <w:color w:val="000000"/>
                <w:sz w:val="16"/>
                <w:szCs w:val="18"/>
              </w:rPr>
              <w:br/>
              <w:t>(61.0 - 64.6)</w:t>
            </w:r>
          </w:p>
        </w:tc>
      </w:tr>
      <w:tr w:rsidR="00F847C4" w:rsidRPr="00AF3A24" w14:paraId="74C10FFF" w14:textId="77777777" w:rsidTr="00BB20F9">
        <w:trPr>
          <w:jc w:val="center"/>
        </w:trPr>
        <w:tc>
          <w:tcPr>
            <w:tcW w:w="3158" w:type="dxa"/>
            <w:tcBorders>
              <w:top w:val="nil"/>
              <w:bottom w:val="nil"/>
            </w:tcBorders>
            <w:shd w:val="clear" w:color="auto" w:fill="DAEEF3" w:themeFill="accent5" w:themeFillTint="33"/>
            <w:vAlign w:val="center"/>
          </w:tcPr>
          <w:p w14:paraId="48F7A5B7" w14:textId="77777777" w:rsidR="00F847C4" w:rsidRPr="00AF3A24" w:rsidRDefault="00F847C4" w:rsidP="0045616C">
            <w:pPr>
              <w:spacing w:before="0" w:line="240" w:lineRule="auto"/>
              <w:ind w:left="78"/>
              <w:jc w:val="left"/>
              <w:rPr>
                <w:rFonts w:asciiTheme="minorHAnsi" w:hAnsiTheme="minorHAnsi" w:cstheme="minorHAnsi"/>
                <w:sz w:val="16"/>
                <w:szCs w:val="18"/>
              </w:rPr>
            </w:pPr>
            <w:r>
              <w:rPr>
                <w:rFonts w:asciiTheme="minorHAnsi" w:hAnsiTheme="minorHAnsi" w:cstheme="minorHAnsi"/>
                <w:sz w:val="16"/>
                <w:szCs w:val="18"/>
              </w:rPr>
              <w:t>Two</w:t>
            </w:r>
          </w:p>
        </w:tc>
        <w:tc>
          <w:tcPr>
            <w:tcW w:w="1067" w:type="dxa"/>
            <w:tcBorders>
              <w:top w:val="nil"/>
              <w:bottom w:val="nil"/>
            </w:tcBorders>
            <w:shd w:val="clear" w:color="auto" w:fill="DAEEF3" w:themeFill="accent5" w:themeFillTint="33"/>
            <w:vAlign w:val="center"/>
          </w:tcPr>
          <w:p w14:paraId="5F9D373E"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1,534</w:t>
            </w:r>
          </w:p>
        </w:tc>
        <w:tc>
          <w:tcPr>
            <w:tcW w:w="1882" w:type="dxa"/>
            <w:tcBorders>
              <w:top w:val="nil"/>
              <w:bottom w:val="nil"/>
            </w:tcBorders>
            <w:shd w:val="clear" w:color="auto" w:fill="DAEEF3" w:themeFill="accent5" w:themeFillTint="33"/>
            <w:vAlign w:val="center"/>
          </w:tcPr>
          <w:p w14:paraId="2D5D3697"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12.3</w:t>
            </w:r>
            <w:r w:rsidRPr="00AF3A24">
              <w:rPr>
                <w:rFonts w:asciiTheme="minorHAnsi" w:hAnsiTheme="minorHAnsi"/>
                <w:bCs/>
                <w:color w:val="000000"/>
                <w:sz w:val="16"/>
                <w:szCs w:val="18"/>
              </w:rPr>
              <w:br/>
              <w:t>(11.5 - 13.1)</w:t>
            </w:r>
          </w:p>
        </w:tc>
        <w:tc>
          <w:tcPr>
            <w:tcW w:w="1883" w:type="dxa"/>
            <w:tcBorders>
              <w:top w:val="nil"/>
              <w:bottom w:val="nil"/>
              <w:right w:val="single" w:sz="4" w:space="0" w:color="auto"/>
            </w:tcBorders>
            <w:shd w:val="clear" w:color="auto" w:fill="DAEEF3" w:themeFill="accent5" w:themeFillTint="33"/>
            <w:vAlign w:val="center"/>
          </w:tcPr>
          <w:p w14:paraId="6C041C5D"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23.5</w:t>
            </w:r>
            <w:r w:rsidRPr="00AF3A24">
              <w:rPr>
                <w:rFonts w:asciiTheme="minorHAnsi" w:hAnsiTheme="minorHAnsi"/>
                <w:bCs/>
                <w:color w:val="000000"/>
                <w:sz w:val="16"/>
                <w:szCs w:val="18"/>
              </w:rPr>
              <w:br/>
              <w:t>(22.1 - 24.9)</w:t>
            </w:r>
          </w:p>
        </w:tc>
      </w:tr>
      <w:tr w:rsidR="00F847C4" w:rsidRPr="00AF3A24" w14:paraId="51AFC082" w14:textId="77777777" w:rsidTr="00BB20F9">
        <w:trPr>
          <w:jc w:val="center"/>
        </w:trPr>
        <w:tc>
          <w:tcPr>
            <w:tcW w:w="3158" w:type="dxa"/>
            <w:tcBorders>
              <w:top w:val="nil"/>
              <w:bottom w:val="nil"/>
            </w:tcBorders>
            <w:shd w:val="clear" w:color="auto" w:fill="DAEEF3" w:themeFill="accent5" w:themeFillTint="33"/>
            <w:vAlign w:val="center"/>
          </w:tcPr>
          <w:p w14:paraId="2D8F9F5A" w14:textId="77777777" w:rsidR="00F847C4" w:rsidRPr="00AF3A24" w:rsidRDefault="00F847C4" w:rsidP="0045616C">
            <w:pPr>
              <w:spacing w:before="0" w:line="240" w:lineRule="auto"/>
              <w:ind w:left="78"/>
              <w:jc w:val="left"/>
              <w:rPr>
                <w:rFonts w:asciiTheme="minorHAnsi" w:hAnsiTheme="minorHAnsi" w:cstheme="minorHAnsi"/>
                <w:sz w:val="16"/>
                <w:szCs w:val="18"/>
              </w:rPr>
            </w:pPr>
            <w:r>
              <w:rPr>
                <w:rFonts w:asciiTheme="minorHAnsi" w:hAnsiTheme="minorHAnsi" w:cstheme="minorHAnsi"/>
                <w:sz w:val="16"/>
                <w:szCs w:val="18"/>
              </w:rPr>
              <w:t>Three</w:t>
            </w:r>
          </w:p>
        </w:tc>
        <w:tc>
          <w:tcPr>
            <w:tcW w:w="1067" w:type="dxa"/>
            <w:tcBorders>
              <w:top w:val="nil"/>
              <w:bottom w:val="nil"/>
            </w:tcBorders>
            <w:shd w:val="clear" w:color="auto" w:fill="DAEEF3" w:themeFill="accent5" w:themeFillTint="33"/>
            <w:vAlign w:val="center"/>
          </w:tcPr>
          <w:p w14:paraId="79E100F4"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556</w:t>
            </w:r>
          </w:p>
        </w:tc>
        <w:tc>
          <w:tcPr>
            <w:tcW w:w="1882" w:type="dxa"/>
            <w:tcBorders>
              <w:top w:val="nil"/>
              <w:bottom w:val="nil"/>
            </w:tcBorders>
            <w:shd w:val="clear" w:color="auto" w:fill="DAEEF3" w:themeFill="accent5" w:themeFillTint="33"/>
            <w:vAlign w:val="center"/>
          </w:tcPr>
          <w:p w14:paraId="47EE98DC"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4.4</w:t>
            </w:r>
            <w:r w:rsidRPr="00AF3A24">
              <w:rPr>
                <w:rFonts w:asciiTheme="minorHAnsi" w:hAnsiTheme="minorHAnsi"/>
                <w:bCs/>
                <w:color w:val="000000"/>
                <w:sz w:val="16"/>
                <w:szCs w:val="18"/>
              </w:rPr>
              <w:br/>
              <w:t>(3.9 - 4.9)</w:t>
            </w:r>
          </w:p>
        </w:tc>
        <w:tc>
          <w:tcPr>
            <w:tcW w:w="1883" w:type="dxa"/>
            <w:tcBorders>
              <w:top w:val="nil"/>
              <w:bottom w:val="nil"/>
              <w:right w:val="single" w:sz="4" w:space="0" w:color="auto"/>
            </w:tcBorders>
            <w:shd w:val="clear" w:color="auto" w:fill="DAEEF3" w:themeFill="accent5" w:themeFillTint="33"/>
            <w:vAlign w:val="center"/>
          </w:tcPr>
          <w:p w14:paraId="276B1274"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8.4</w:t>
            </w:r>
            <w:r w:rsidRPr="00AF3A24">
              <w:rPr>
                <w:rFonts w:asciiTheme="minorHAnsi" w:hAnsiTheme="minorHAnsi"/>
                <w:bCs/>
                <w:color w:val="000000"/>
                <w:sz w:val="16"/>
                <w:szCs w:val="18"/>
              </w:rPr>
              <w:br/>
              <w:t>(7.5 - 9.3)</w:t>
            </w:r>
          </w:p>
        </w:tc>
      </w:tr>
      <w:tr w:rsidR="00F847C4" w:rsidRPr="00AF3A24" w14:paraId="38EB7E35" w14:textId="77777777" w:rsidTr="00BB20F9">
        <w:trPr>
          <w:jc w:val="center"/>
        </w:trPr>
        <w:tc>
          <w:tcPr>
            <w:tcW w:w="3158" w:type="dxa"/>
            <w:tcBorders>
              <w:top w:val="nil"/>
              <w:bottom w:val="single" w:sz="4" w:space="0" w:color="auto"/>
            </w:tcBorders>
            <w:shd w:val="clear" w:color="auto" w:fill="DAEEF3" w:themeFill="accent5" w:themeFillTint="33"/>
            <w:vAlign w:val="center"/>
          </w:tcPr>
          <w:p w14:paraId="5E79294B" w14:textId="77777777" w:rsidR="00F847C4" w:rsidRPr="00AF3A24" w:rsidRDefault="00F847C4" w:rsidP="0045616C">
            <w:pPr>
              <w:spacing w:before="0" w:line="240" w:lineRule="auto"/>
              <w:ind w:left="78"/>
              <w:jc w:val="left"/>
              <w:rPr>
                <w:rFonts w:asciiTheme="minorHAnsi" w:hAnsiTheme="minorHAnsi" w:cstheme="minorHAnsi"/>
                <w:sz w:val="16"/>
                <w:szCs w:val="18"/>
              </w:rPr>
            </w:pPr>
            <w:r>
              <w:rPr>
                <w:rFonts w:asciiTheme="minorHAnsi" w:hAnsiTheme="minorHAnsi" w:cstheme="minorHAnsi"/>
                <w:sz w:val="16"/>
                <w:szCs w:val="18"/>
              </w:rPr>
              <w:t>Four</w:t>
            </w:r>
            <w:r w:rsidRPr="00AF3A24">
              <w:rPr>
                <w:rFonts w:asciiTheme="minorHAnsi" w:hAnsiTheme="minorHAnsi" w:cstheme="minorHAnsi"/>
                <w:sz w:val="16"/>
                <w:szCs w:val="18"/>
              </w:rPr>
              <w:t xml:space="preserve"> or more</w:t>
            </w:r>
          </w:p>
        </w:tc>
        <w:tc>
          <w:tcPr>
            <w:tcW w:w="1067" w:type="dxa"/>
            <w:tcBorders>
              <w:top w:val="nil"/>
              <w:bottom w:val="single" w:sz="4" w:space="0" w:color="auto"/>
            </w:tcBorders>
            <w:shd w:val="clear" w:color="auto" w:fill="DAEEF3" w:themeFill="accent5" w:themeFillTint="33"/>
            <w:vAlign w:val="center"/>
          </w:tcPr>
          <w:p w14:paraId="69321BED"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322</w:t>
            </w:r>
          </w:p>
        </w:tc>
        <w:tc>
          <w:tcPr>
            <w:tcW w:w="1882" w:type="dxa"/>
            <w:tcBorders>
              <w:top w:val="nil"/>
              <w:bottom w:val="single" w:sz="4" w:space="0" w:color="auto"/>
            </w:tcBorders>
            <w:shd w:val="clear" w:color="auto" w:fill="DAEEF3" w:themeFill="accent5" w:themeFillTint="33"/>
            <w:vAlign w:val="center"/>
          </w:tcPr>
          <w:p w14:paraId="426652B3"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2.8</w:t>
            </w:r>
            <w:r w:rsidRPr="00AF3A24">
              <w:rPr>
                <w:rFonts w:asciiTheme="minorHAnsi" w:hAnsiTheme="minorHAnsi"/>
                <w:bCs/>
                <w:color w:val="000000"/>
                <w:sz w:val="16"/>
                <w:szCs w:val="18"/>
              </w:rPr>
              <w:br/>
              <w:t>(2.4 - 3.2)</w:t>
            </w:r>
          </w:p>
        </w:tc>
        <w:tc>
          <w:tcPr>
            <w:tcW w:w="1883" w:type="dxa"/>
            <w:tcBorders>
              <w:top w:val="nil"/>
              <w:bottom w:val="single" w:sz="4" w:space="0" w:color="auto"/>
              <w:right w:val="single" w:sz="4" w:space="0" w:color="auto"/>
            </w:tcBorders>
            <w:shd w:val="clear" w:color="auto" w:fill="DAEEF3" w:themeFill="accent5" w:themeFillTint="33"/>
            <w:vAlign w:val="center"/>
          </w:tcPr>
          <w:p w14:paraId="6A7F83AD" w14:textId="77777777" w:rsidR="00F847C4" w:rsidRPr="00AF3A24" w:rsidRDefault="00F847C4" w:rsidP="00E3251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5.3</w:t>
            </w:r>
            <w:r w:rsidRPr="00AF3A24">
              <w:rPr>
                <w:rFonts w:asciiTheme="minorHAnsi" w:hAnsiTheme="minorHAnsi"/>
                <w:bCs/>
                <w:color w:val="000000"/>
                <w:sz w:val="16"/>
                <w:szCs w:val="18"/>
              </w:rPr>
              <w:br/>
              <w:t>(4.5 - 6.1)</w:t>
            </w:r>
          </w:p>
        </w:tc>
      </w:tr>
    </w:tbl>
    <w:p w14:paraId="3D55827B" w14:textId="77777777" w:rsidR="00323550" w:rsidRPr="0045616C" w:rsidRDefault="00323550" w:rsidP="00323550">
      <w:pPr>
        <w:spacing w:before="0" w:line="240" w:lineRule="auto"/>
        <w:ind w:left="993"/>
        <w:rPr>
          <w:rFonts w:asciiTheme="minorHAnsi" w:hAnsiTheme="minorHAnsi" w:cstheme="minorHAnsi"/>
          <w:sz w:val="16"/>
        </w:rPr>
      </w:pPr>
      <w:r w:rsidRPr="0045616C">
        <w:rPr>
          <w:rFonts w:asciiTheme="minorHAnsi" w:hAnsiTheme="minorHAnsi" w:cstheme="minorHAnsi"/>
          <w:sz w:val="16"/>
        </w:rPr>
        <w:t>Notes:</w:t>
      </w:r>
    </w:p>
    <w:p w14:paraId="147B909D" w14:textId="77777777" w:rsidR="00627607" w:rsidRPr="0045616C" w:rsidRDefault="00323550" w:rsidP="006A0B0E">
      <w:pPr>
        <w:pStyle w:val="ListParagraph"/>
        <w:numPr>
          <w:ilvl w:val="0"/>
          <w:numId w:val="55"/>
        </w:numPr>
        <w:spacing w:line="240" w:lineRule="auto"/>
        <w:rPr>
          <w:rFonts w:asciiTheme="minorHAnsi" w:hAnsiTheme="minorHAnsi" w:cstheme="minorHAnsi"/>
          <w:sz w:val="16"/>
        </w:rPr>
      </w:pPr>
      <w:r w:rsidRPr="0045616C">
        <w:rPr>
          <w:rFonts w:asciiTheme="minorHAnsi" w:hAnsiTheme="minorHAnsi" w:cstheme="minorHAnsi"/>
          <w:sz w:val="16"/>
        </w:rPr>
        <w:t xml:space="preserve">Source: 2011/12 New Zealand Health Survey. </w:t>
      </w:r>
    </w:p>
    <w:p w14:paraId="15DAB988" w14:textId="77777777" w:rsidR="00600F72" w:rsidRPr="00AF3A24" w:rsidRDefault="00600F72" w:rsidP="00F061EF">
      <w:pPr>
        <w:pStyle w:val="Heading3"/>
      </w:pPr>
      <w:bookmarkStart w:id="71" w:name="_Toc403833158"/>
      <w:r w:rsidRPr="00AF3A24">
        <w:lastRenderedPageBreak/>
        <w:t>Number of gambling activities by demographics</w:t>
      </w:r>
      <w:bookmarkEnd w:id="71"/>
    </w:p>
    <w:p w14:paraId="030C5E57" w14:textId="77777777" w:rsidR="00AF4EAA" w:rsidRPr="00AF3A24" w:rsidRDefault="00306D51" w:rsidP="0070109C">
      <w:pPr>
        <w:rPr>
          <w:rFonts w:asciiTheme="minorHAnsi" w:hAnsiTheme="minorHAnsi"/>
        </w:rPr>
      </w:pPr>
      <w:r w:rsidRPr="00AF3A24">
        <w:rPr>
          <w:rFonts w:asciiTheme="minorHAnsi" w:hAnsiTheme="minorHAnsi"/>
        </w:rPr>
        <w:t>Sig</w:t>
      </w:r>
      <w:r w:rsidR="00AF4EAA">
        <w:rPr>
          <w:rFonts w:asciiTheme="minorHAnsi" w:hAnsiTheme="minorHAnsi"/>
        </w:rPr>
        <w:t>nificant</w:t>
      </w:r>
      <w:r w:rsidRPr="00AF3A24">
        <w:rPr>
          <w:rFonts w:asciiTheme="minorHAnsi" w:hAnsiTheme="minorHAnsi"/>
        </w:rPr>
        <w:t xml:space="preserve"> interactions</w:t>
      </w:r>
      <w:r w:rsidR="00EA6FD9">
        <w:rPr>
          <w:rFonts w:asciiTheme="minorHAnsi" w:hAnsiTheme="minorHAnsi"/>
        </w:rPr>
        <w:t xml:space="preserve"> were observed </w:t>
      </w:r>
      <w:r w:rsidRPr="00AF3A24">
        <w:rPr>
          <w:rFonts w:asciiTheme="minorHAnsi" w:hAnsiTheme="minorHAnsi"/>
        </w:rPr>
        <w:t>between</w:t>
      </w:r>
      <w:r w:rsidR="00EA6FD9">
        <w:rPr>
          <w:rFonts w:asciiTheme="minorHAnsi" w:hAnsiTheme="minorHAnsi"/>
        </w:rPr>
        <w:t xml:space="preserve"> the number of gambling activities and</w:t>
      </w:r>
      <w:r w:rsidRPr="00AF3A24">
        <w:rPr>
          <w:rFonts w:asciiTheme="minorHAnsi" w:hAnsiTheme="minorHAnsi"/>
        </w:rPr>
        <w:t xml:space="preserve"> gender, age</w:t>
      </w:r>
      <w:r w:rsidR="00EA6FD9">
        <w:rPr>
          <w:rFonts w:asciiTheme="minorHAnsi" w:hAnsiTheme="minorHAnsi"/>
        </w:rPr>
        <w:t>-group, ethnicity and geography. The following section</w:t>
      </w:r>
      <w:r w:rsidR="00AF4EAA">
        <w:rPr>
          <w:rFonts w:asciiTheme="minorHAnsi" w:hAnsiTheme="minorHAnsi"/>
        </w:rPr>
        <w:t>s</w:t>
      </w:r>
      <w:r w:rsidR="00EA6FD9">
        <w:rPr>
          <w:rFonts w:asciiTheme="minorHAnsi" w:hAnsiTheme="minorHAnsi"/>
        </w:rPr>
        <w:t xml:space="preserve"> </w:t>
      </w:r>
      <w:r w:rsidR="00AF4EAA">
        <w:rPr>
          <w:rFonts w:asciiTheme="minorHAnsi" w:hAnsiTheme="minorHAnsi"/>
        </w:rPr>
        <w:t xml:space="preserve">present significant results relating to demographics and the number of gambling activities that adults had participated in, while detailed results can be found in </w:t>
      </w:r>
      <w:r w:rsidR="00BB397C">
        <w:rPr>
          <w:rFonts w:asciiTheme="minorHAnsi" w:hAnsiTheme="minorHAnsi"/>
        </w:rPr>
        <w:t>Table 21</w:t>
      </w:r>
      <w:r w:rsidR="00EE68CD" w:rsidRPr="00EE68CD">
        <w:rPr>
          <w:rFonts w:asciiTheme="minorHAnsi" w:hAnsiTheme="minorHAnsi"/>
        </w:rPr>
        <w:t xml:space="preserve"> </w:t>
      </w:r>
      <w:r w:rsidR="00AF4EAA">
        <w:rPr>
          <w:rFonts w:asciiTheme="minorHAnsi" w:hAnsiTheme="minorHAnsi"/>
        </w:rPr>
        <w:t xml:space="preserve">(see </w:t>
      </w:r>
      <w:r w:rsidR="00BB397C">
        <w:rPr>
          <w:rFonts w:asciiTheme="minorHAnsi" w:hAnsiTheme="minorHAnsi"/>
        </w:rPr>
        <w:t>Appendix D</w:t>
      </w:r>
      <w:r w:rsidR="00AF4EAA">
        <w:rPr>
          <w:rFonts w:asciiTheme="minorHAnsi" w:hAnsiTheme="minorHAnsi"/>
        </w:rPr>
        <w:t xml:space="preserve">). </w:t>
      </w:r>
    </w:p>
    <w:p w14:paraId="0C8BF179" w14:textId="77777777" w:rsidR="00AB5CC7" w:rsidRPr="00666239" w:rsidRDefault="00AB5CC7" w:rsidP="00AB5CC7">
      <w:pPr>
        <w:pStyle w:val="Heading4"/>
      </w:pPr>
      <w:r w:rsidRPr="00666239">
        <w:t>By gender</w:t>
      </w:r>
    </w:p>
    <w:p w14:paraId="6FBB5578" w14:textId="0A4CFC57" w:rsidR="003F60FC" w:rsidRPr="00AF3A24" w:rsidRDefault="00AF4EAA" w:rsidP="003F60FC">
      <w:pPr>
        <w:rPr>
          <w:rFonts w:asciiTheme="minorHAnsi" w:hAnsiTheme="minorHAnsi"/>
        </w:rPr>
      </w:pPr>
      <w:r>
        <w:rPr>
          <w:rFonts w:asciiTheme="minorHAnsi" w:hAnsiTheme="minorHAnsi"/>
        </w:rPr>
        <w:t>As shown in</w:t>
      </w:r>
      <w:r w:rsidR="005309E2">
        <w:rPr>
          <w:rFonts w:asciiTheme="minorHAnsi" w:hAnsiTheme="minorHAnsi"/>
        </w:rPr>
        <w:t xml:space="preserve"> Figure 13</w:t>
      </w:r>
      <w:r>
        <w:rPr>
          <w:rFonts w:asciiTheme="minorHAnsi" w:hAnsiTheme="minorHAnsi"/>
        </w:rPr>
        <w:t>, m</w:t>
      </w:r>
      <w:r w:rsidR="005B6346" w:rsidRPr="00AF3A24">
        <w:rPr>
          <w:rFonts w:asciiTheme="minorHAnsi" w:hAnsiTheme="minorHAnsi"/>
        </w:rPr>
        <w:t xml:space="preserve">ales were significantly more likely than females (p&lt;.0001) to </w:t>
      </w:r>
      <w:r w:rsidR="00755657">
        <w:rPr>
          <w:rFonts w:asciiTheme="minorHAnsi" w:hAnsiTheme="minorHAnsi"/>
        </w:rPr>
        <w:t xml:space="preserve">have gambled on four or more </w:t>
      </w:r>
      <w:r w:rsidR="005B6346" w:rsidRPr="00AF3A24">
        <w:rPr>
          <w:rFonts w:asciiTheme="minorHAnsi" w:hAnsiTheme="minorHAnsi"/>
        </w:rPr>
        <w:t>activities</w:t>
      </w:r>
      <w:r w:rsidR="00755657" w:rsidRPr="00755657">
        <w:rPr>
          <w:rFonts w:asciiTheme="minorHAnsi" w:hAnsiTheme="minorHAnsi"/>
        </w:rPr>
        <w:t xml:space="preserve"> </w:t>
      </w:r>
      <w:r w:rsidR="00755657" w:rsidRPr="00AF3A24">
        <w:rPr>
          <w:rFonts w:asciiTheme="minorHAnsi" w:hAnsiTheme="minorHAnsi"/>
        </w:rPr>
        <w:t>in the last 12 months</w:t>
      </w:r>
      <w:r w:rsidR="005B6346" w:rsidRPr="00AF3A24">
        <w:rPr>
          <w:rFonts w:asciiTheme="minorHAnsi" w:hAnsiTheme="minorHAnsi"/>
        </w:rPr>
        <w:t xml:space="preserve">; 3.7% of males </w:t>
      </w:r>
      <w:r w:rsidR="00227A3B">
        <w:rPr>
          <w:rFonts w:asciiTheme="minorHAnsi" w:hAnsiTheme="minorHAnsi"/>
        </w:rPr>
        <w:t>compared with 1.9% of females</w:t>
      </w:r>
      <w:r w:rsidR="005B6346" w:rsidRPr="00AF3A24">
        <w:rPr>
          <w:rFonts w:asciiTheme="minorHAnsi" w:hAnsiTheme="minorHAnsi"/>
        </w:rPr>
        <w:t xml:space="preserve">.  </w:t>
      </w:r>
      <w:r w:rsidR="003F60FC">
        <w:rPr>
          <w:rFonts w:asciiTheme="minorHAnsi" w:hAnsiTheme="minorHAnsi"/>
        </w:rPr>
        <w:t xml:space="preserve">See </w:t>
      </w:r>
      <w:r w:rsidR="00BB397C">
        <w:rPr>
          <w:rFonts w:asciiTheme="minorHAnsi" w:hAnsiTheme="minorHAnsi"/>
        </w:rPr>
        <w:t>Table 21</w:t>
      </w:r>
      <w:r w:rsidR="00EE68CD" w:rsidRPr="00EE68CD">
        <w:rPr>
          <w:rFonts w:asciiTheme="minorHAnsi" w:hAnsiTheme="minorHAnsi"/>
        </w:rPr>
        <w:t xml:space="preserve"> </w:t>
      </w:r>
      <w:r w:rsidR="003F60FC">
        <w:rPr>
          <w:rFonts w:asciiTheme="minorHAnsi" w:hAnsiTheme="minorHAnsi"/>
        </w:rPr>
        <w:t>(</w:t>
      </w:r>
      <w:r w:rsidR="00BB397C">
        <w:rPr>
          <w:rFonts w:asciiTheme="minorHAnsi" w:hAnsiTheme="minorHAnsi"/>
        </w:rPr>
        <w:t>Appendix D</w:t>
      </w:r>
      <w:r w:rsidR="003F60FC">
        <w:rPr>
          <w:rFonts w:asciiTheme="minorHAnsi" w:hAnsiTheme="minorHAnsi"/>
        </w:rPr>
        <w:t xml:space="preserve">) for detailed results. </w:t>
      </w:r>
    </w:p>
    <w:p w14:paraId="00CADB5E" w14:textId="77777777" w:rsidR="00306D51" w:rsidRPr="00AF3A24" w:rsidRDefault="00306D51" w:rsidP="00306D51">
      <w:pPr>
        <w:pStyle w:val="Caption"/>
        <w:keepNext/>
        <w:spacing w:after="0" w:line="276" w:lineRule="auto"/>
        <w:ind w:left="993" w:hanging="993"/>
        <w:rPr>
          <w:rFonts w:asciiTheme="minorHAnsi" w:hAnsiTheme="minorHAnsi" w:cstheme="minorHAnsi"/>
          <w:i/>
        </w:rPr>
      </w:pPr>
      <w:bookmarkStart w:id="72" w:name="_Ref399752372"/>
      <w:bookmarkStart w:id="73" w:name="_Toc425426986"/>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13</w:t>
      </w:r>
      <w:r w:rsidRPr="00AF3A24">
        <w:rPr>
          <w:rFonts w:asciiTheme="minorHAnsi" w:hAnsiTheme="minorHAnsi" w:cstheme="minorHAnsi"/>
          <w:i/>
          <w:noProof/>
        </w:rPr>
        <w:fldChar w:fldCharType="end"/>
      </w:r>
      <w:bookmarkEnd w:id="72"/>
      <w:r w:rsidRPr="00AF3A24">
        <w:rPr>
          <w:rFonts w:asciiTheme="minorHAnsi" w:hAnsiTheme="minorHAnsi" w:cstheme="minorHAnsi"/>
          <w:i/>
        </w:rPr>
        <w:t xml:space="preserve">: </w:t>
      </w:r>
      <w:r w:rsidRPr="00AF3A24">
        <w:rPr>
          <w:rFonts w:asciiTheme="minorHAnsi" w:hAnsiTheme="minorHAnsi" w:cstheme="minorHAnsi"/>
          <w:i/>
        </w:rPr>
        <w:tab/>
        <w:t>Number of gambling activities participated in during the last 12 months, by gender,</w:t>
      </w:r>
      <w:r w:rsidRPr="00AF3A24">
        <w:rPr>
          <w:rFonts w:asciiTheme="minorHAnsi" w:hAnsiTheme="minorHAnsi" w:cstheme="minorHAnsi"/>
          <w:i/>
          <w:lang w:val="en-US"/>
        </w:rPr>
        <w:t xml:space="preserve"> </w:t>
      </w:r>
      <w:r w:rsidRPr="00AF3A24">
        <w:rPr>
          <w:rFonts w:asciiTheme="minorHAnsi" w:hAnsiTheme="minorHAnsi" w:cstheme="minorHAnsi"/>
          <w:i/>
        </w:rPr>
        <w:t xml:space="preserve">total population aged 15 years and over (unadjusted prevalence; N=12,596) </w:t>
      </w:r>
      <w:r w:rsidRPr="00AF3A24">
        <w:rPr>
          <w:rFonts w:asciiTheme="minorHAnsi" w:hAnsiTheme="minorHAnsi" w:cstheme="minorHAnsi"/>
          <w:i/>
          <w:vertAlign w:val="superscript"/>
        </w:rPr>
        <w:t>1</w:t>
      </w:r>
      <w:bookmarkEnd w:id="73"/>
    </w:p>
    <w:p w14:paraId="014E5661" w14:textId="77777777" w:rsidR="00B53E6E" w:rsidRPr="00AF3A24" w:rsidRDefault="004B40BA" w:rsidP="00306D51">
      <w:pPr>
        <w:spacing w:before="0" w:line="276" w:lineRule="auto"/>
        <w:jc w:val="center"/>
        <w:rPr>
          <w:rFonts w:asciiTheme="minorHAnsi" w:hAnsiTheme="minorHAnsi"/>
        </w:rPr>
      </w:pPr>
      <w:r w:rsidRPr="00AF3A24">
        <w:rPr>
          <w:rFonts w:asciiTheme="minorHAnsi" w:hAnsiTheme="minorHAnsi"/>
          <w:noProof/>
          <w:lang w:eastAsia="en-NZ"/>
        </w:rPr>
        <w:drawing>
          <wp:inline distT="0" distB="0" distL="0" distR="0" wp14:anchorId="56A591B7" wp14:editId="28D3F3D9">
            <wp:extent cx="5628904" cy="3170711"/>
            <wp:effectExtent l="0" t="0" r="10160" b="1079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55487AE" w14:textId="77777777" w:rsidR="00306D51" w:rsidRPr="0045616C" w:rsidRDefault="00306D51" w:rsidP="00306D51">
      <w:pPr>
        <w:spacing w:before="0" w:line="240" w:lineRule="auto"/>
        <w:ind w:left="993"/>
        <w:rPr>
          <w:rFonts w:asciiTheme="minorHAnsi" w:hAnsiTheme="minorHAnsi" w:cstheme="minorHAnsi"/>
          <w:sz w:val="16"/>
        </w:rPr>
      </w:pPr>
      <w:r w:rsidRPr="0045616C">
        <w:rPr>
          <w:rFonts w:asciiTheme="minorHAnsi" w:hAnsiTheme="minorHAnsi" w:cstheme="minorHAnsi"/>
          <w:sz w:val="16"/>
        </w:rPr>
        <w:t>Notes:</w:t>
      </w:r>
    </w:p>
    <w:p w14:paraId="06E5E548" w14:textId="77777777" w:rsidR="00306D51" w:rsidRPr="0045616C" w:rsidRDefault="00306D51" w:rsidP="006A0B0E">
      <w:pPr>
        <w:pStyle w:val="ListParagraph"/>
        <w:numPr>
          <w:ilvl w:val="0"/>
          <w:numId w:val="38"/>
        </w:numPr>
        <w:spacing w:line="240" w:lineRule="auto"/>
        <w:rPr>
          <w:rFonts w:asciiTheme="minorHAnsi" w:hAnsiTheme="minorHAnsi" w:cstheme="minorHAnsi"/>
          <w:sz w:val="16"/>
        </w:rPr>
      </w:pPr>
      <w:r w:rsidRPr="0045616C">
        <w:rPr>
          <w:rFonts w:asciiTheme="minorHAnsi" w:hAnsiTheme="minorHAnsi" w:cstheme="minorHAnsi"/>
          <w:sz w:val="16"/>
        </w:rPr>
        <w:t>Source: 2011/12 New Zealand Healt</w:t>
      </w:r>
      <w:r w:rsidRPr="00B970C8">
        <w:rPr>
          <w:rFonts w:asciiTheme="minorHAnsi" w:hAnsiTheme="minorHAnsi" w:cstheme="minorHAnsi"/>
          <w:sz w:val="16"/>
          <w:szCs w:val="16"/>
        </w:rPr>
        <w:t xml:space="preserve">h Survey. </w:t>
      </w:r>
      <w:r w:rsidR="00B970C8" w:rsidRPr="00B970C8">
        <w:rPr>
          <w:rFonts w:asciiTheme="minorHAnsi" w:hAnsiTheme="minorHAnsi" w:cstheme="minorHAnsi"/>
          <w:sz w:val="16"/>
          <w:szCs w:val="16"/>
        </w:rPr>
        <w:t xml:space="preserve"> Error bars are indicative of 95% confidence intervals.</w:t>
      </w:r>
    </w:p>
    <w:p w14:paraId="3C99B5CA" w14:textId="77777777" w:rsidR="00B53E6E" w:rsidRPr="00AF3A24" w:rsidRDefault="00B53E6E">
      <w:pPr>
        <w:spacing w:before="0" w:after="200" w:line="276" w:lineRule="auto"/>
        <w:jc w:val="left"/>
        <w:rPr>
          <w:rFonts w:asciiTheme="minorHAnsi" w:hAnsiTheme="minorHAnsi"/>
        </w:rPr>
      </w:pPr>
    </w:p>
    <w:p w14:paraId="6FDFD22C" w14:textId="77777777" w:rsidR="00AB5CC7" w:rsidRDefault="00AB5CC7" w:rsidP="00AB5CC7">
      <w:pPr>
        <w:pStyle w:val="Heading4"/>
      </w:pPr>
      <w:r w:rsidRPr="00201509">
        <w:lastRenderedPageBreak/>
        <w:t>By age-group</w:t>
      </w:r>
    </w:p>
    <w:p w14:paraId="788EC496" w14:textId="77777777" w:rsidR="0050304F" w:rsidRDefault="00857ED5" w:rsidP="00AF4EAA">
      <w:pPr>
        <w:rPr>
          <w:rFonts w:asciiTheme="minorHAnsi" w:hAnsiTheme="minorHAnsi"/>
        </w:rPr>
      </w:pPr>
      <w:r>
        <w:rPr>
          <w:rFonts w:asciiTheme="minorHAnsi" w:hAnsiTheme="minorHAnsi"/>
        </w:rPr>
        <w:t>Age</w:t>
      </w:r>
      <w:r w:rsidR="0050304F" w:rsidRPr="0050304F">
        <w:rPr>
          <w:rFonts w:asciiTheme="minorHAnsi" w:hAnsiTheme="minorHAnsi"/>
        </w:rPr>
        <w:t xml:space="preserve"> was significantly associated with the number of activities that people had gambled on over the past year (p&lt;0.0001). </w:t>
      </w:r>
      <w:r w:rsidR="002E57D5">
        <w:rPr>
          <w:rFonts w:asciiTheme="minorHAnsi" w:hAnsiTheme="minorHAnsi"/>
        </w:rPr>
        <w:t xml:space="preserve"> The following </w:t>
      </w:r>
      <w:r w:rsidR="0050304F">
        <w:rPr>
          <w:rFonts w:asciiTheme="minorHAnsi" w:hAnsiTheme="minorHAnsi"/>
        </w:rPr>
        <w:t>trend</w:t>
      </w:r>
      <w:r w:rsidR="002E57D5">
        <w:rPr>
          <w:rFonts w:asciiTheme="minorHAnsi" w:hAnsiTheme="minorHAnsi"/>
        </w:rPr>
        <w:t>s were observed in relation to age-group and the number of gambling activities:</w:t>
      </w:r>
      <w:r w:rsidR="0050304F">
        <w:rPr>
          <w:rFonts w:asciiTheme="minorHAnsi" w:hAnsiTheme="minorHAnsi"/>
        </w:rPr>
        <w:t xml:space="preserve"> </w:t>
      </w:r>
    </w:p>
    <w:p w14:paraId="1818B032" w14:textId="77777777" w:rsidR="003F60FC" w:rsidRDefault="003F60FC" w:rsidP="0027638A">
      <w:pPr>
        <w:pStyle w:val="ListParagraph"/>
        <w:numPr>
          <w:ilvl w:val="0"/>
          <w:numId w:val="9"/>
        </w:numPr>
        <w:rPr>
          <w:rFonts w:asciiTheme="minorHAnsi" w:hAnsiTheme="minorHAnsi"/>
        </w:rPr>
      </w:pPr>
      <w:r>
        <w:rPr>
          <w:rFonts w:asciiTheme="minorHAnsi" w:hAnsiTheme="minorHAnsi"/>
        </w:rPr>
        <w:t xml:space="preserve">While the majority of 15-17 year olds (94.9%) had gambled on </w:t>
      </w:r>
      <w:r w:rsidRPr="00857ED5">
        <w:rPr>
          <w:rFonts w:asciiTheme="minorHAnsi" w:hAnsiTheme="minorHAnsi"/>
          <w:i/>
        </w:rPr>
        <w:t>zero</w:t>
      </w:r>
      <w:r>
        <w:rPr>
          <w:rFonts w:asciiTheme="minorHAnsi" w:hAnsiTheme="minorHAnsi"/>
        </w:rPr>
        <w:t xml:space="preserve"> activities in the past 12 months, th</w:t>
      </w:r>
      <w:r w:rsidR="00857ED5">
        <w:rPr>
          <w:rFonts w:asciiTheme="minorHAnsi" w:hAnsiTheme="minorHAnsi"/>
        </w:rPr>
        <w:t>i</w:t>
      </w:r>
      <w:r>
        <w:rPr>
          <w:rFonts w:asciiTheme="minorHAnsi" w:hAnsiTheme="minorHAnsi"/>
        </w:rPr>
        <w:t xml:space="preserve">s decreased steadily to 38.9% for 45-54 year olds and then increased slightly to 47.7% for those aged 65 and older. </w:t>
      </w:r>
    </w:p>
    <w:p w14:paraId="062C31D4" w14:textId="77777777" w:rsidR="002E57D5" w:rsidRDefault="002E57D5" w:rsidP="0027638A">
      <w:pPr>
        <w:pStyle w:val="ListParagraph"/>
        <w:numPr>
          <w:ilvl w:val="0"/>
          <w:numId w:val="9"/>
        </w:numPr>
        <w:rPr>
          <w:rFonts w:asciiTheme="minorHAnsi" w:hAnsiTheme="minorHAnsi"/>
        </w:rPr>
      </w:pPr>
      <w:r w:rsidRPr="002E57D5">
        <w:rPr>
          <w:rFonts w:asciiTheme="minorHAnsi" w:hAnsiTheme="minorHAnsi"/>
        </w:rPr>
        <w:t xml:space="preserve">The proportion of adults who had gambled on </w:t>
      </w:r>
      <w:r w:rsidRPr="002E57D5">
        <w:rPr>
          <w:rFonts w:asciiTheme="minorHAnsi" w:hAnsiTheme="minorHAnsi"/>
          <w:i/>
        </w:rPr>
        <w:t xml:space="preserve">one </w:t>
      </w:r>
      <w:r w:rsidRPr="00857ED5">
        <w:rPr>
          <w:rFonts w:asciiTheme="minorHAnsi" w:hAnsiTheme="minorHAnsi"/>
        </w:rPr>
        <w:t>activity</w:t>
      </w:r>
      <w:r w:rsidRPr="002E57D5">
        <w:rPr>
          <w:rFonts w:asciiTheme="minorHAnsi" w:hAnsiTheme="minorHAnsi"/>
        </w:rPr>
        <w:t xml:space="preserve"> increased with age, from 25.2% for those aged 18-</w:t>
      </w:r>
      <w:r w:rsidR="00EE68CD">
        <w:rPr>
          <w:rFonts w:asciiTheme="minorHAnsi" w:hAnsiTheme="minorHAnsi"/>
        </w:rPr>
        <w:t>2</w:t>
      </w:r>
      <w:r w:rsidRPr="002E57D5">
        <w:rPr>
          <w:rFonts w:asciiTheme="minorHAnsi" w:hAnsiTheme="minorHAnsi"/>
        </w:rPr>
        <w:t xml:space="preserve">4 years to 36.3% for those aged 65 or more. </w:t>
      </w:r>
    </w:p>
    <w:p w14:paraId="68804650" w14:textId="77777777" w:rsidR="002E57D5" w:rsidRPr="002E57D5" w:rsidRDefault="002E57D5" w:rsidP="0027638A">
      <w:pPr>
        <w:pStyle w:val="ListParagraph"/>
        <w:numPr>
          <w:ilvl w:val="0"/>
          <w:numId w:val="9"/>
        </w:numPr>
        <w:rPr>
          <w:rFonts w:asciiTheme="minorHAnsi" w:hAnsiTheme="minorHAnsi"/>
        </w:rPr>
      </w:pPr>
      <w:r>
        <w:rPr>
          <w:rFonts w:asciiTheme="minorHAnsi" w:hAnsiTheme="minorHAnsi"/>
        </w:rPr>
        <w:t xml:space="preserve">The proportion of respondents who had gambled on </w:t>
      </w:r>
      <w:r>
        <w:rPr>
          <w:rFonts w:asciiTheme="minorHAnsi" w:hAnsiTheme="minorHAnsi"/>
          <w:i/>
        </w:rPr>
        <w:t>four or more</w:t>
      </w:r>
      <w:r>
        <w:rPr>
          <w:rFonts w:asciiTheme="minorHAnsi" w:hAnsiTheme="minorHAnsi"/>
        </w:rPr>
        <w:t xml:space="preserve"> activities decreased with age: 4.3% of those aged 18-24 compared with 1.3% of those aged 65 or older. </w:t>
      </w:r>
    </w:p>
    <w:p w14:paraId="1C166306" w14:textId="77777777" w:rsidR="0050304F" w:rsidRPr="0050304F" w:rsidRDefault="003F60FC" w:rsidP="00AF4EAA">
      <w:pPr>
        <w:rPr>
          <w:rFonts w:asciiTheme="minorHAnsi" w:hAnsiTheme="minorHAnsi"/>
        </w:rPr>
      </w:pPr>
      <w:r>
        <w:rPr>
          <w:rFonts w:asciiTheme="minorHAnsi" w:hAnsiTheme="minorHAnsi"/>
        </w:rPr>
        <w:t xml:space="preserve">Detailed results can be found in </w:t>
      </w:r>
      <w:r w:rsidR="005D5AA0">
        <w:rPr>
          <w:rFonts w:asciiTheme="minorHAnsi" w:hAnsiTheme="minorHAnsi"/>
        </w:rPr>
        <w:t>Table 21</w:t>
      </w:r>
      <w:r w:rsidR="005D5AA0" w:rsidRPr="00EE68CD">
        <w:rPr>
          <w:rFonts w:asciiTheme="minorHAnsi" w:hAnsiTheme="minorHAnsi"/>
        </w:rPr>
        <w:t xml:space="preserve"> </w:t>
      </w:r>
      <w:r w:rsidR="005D5AA0">
        <w:rPr>
          <w:rFonts w:asciiTheme="minorHAnsi" w:hAnsiTheme="minorHAnsi"/>
        </w:rPr>
        <w:t>(Appendix D)</w:t>
      </w:r>
      <w:r>
        <w:rPr>
          <w:rFonts w:asciiTheme="minorHAnsi" w:hAnsiTheme="minorHAnsi"/>
        </w:rPr>
        <w:t>.</w:t>
      </w:r>
    </w:p>
    <w:p w14:paraId="21E1AF9A" w14:textId="77777777" w:rsidR="00AB5CC7" w:rsidRDefault="00AB5CC7" w:rsidP="00AB5CC7">
      <w:pPr>
        <w:pStyle w:val="Heading4"/>
      </w:pPr>
      <w:r w:rsidRPr="00527FEF">
        <w:t>By ethnicity</w:t>
      </w:r>
    </w:p>
    <w:p w14:paraId="6A1A794A" w14:textId="77777777" w:rsidR="009B41D0" w:rsidRPr="00EE68CD" w:rsidRDefault="002B6C21" w:rsidP="009B41D0">
      <w:pPr>
        <w:rPr>
          <w:rFonts w:asciiTheme="minorHAnsi" w:hAnsiTheme="minorHAnsi"/>
        </w:rPr>
      </w:pPr>
      <w:r w:rsidRPr="002B6C21">
        <w:rPr>
          <w:rFonts w:asciiTheme="minorHAnsi" w:hAnsiTheme="minorHAnsi"/>
        </w:rPr>
        <w:t xml:space="preserve">There was a significant association between </w:t>
      </w:r>
      <w:r>
        <w:rPr>
          <w:rFonts w:asciiTheme="minorHAnsi" w:hAnsiTheme="minorHAnsi"/>
        </w:rPr>
        <w:t xml:space="preserve">ethnicity and the number of past-year gambling activities (p&lt;0.0001).  Of particular note, Asian people were the most likely to have gambled on </w:t>
      </w:r>
      <w:r w:rsidRPr="002B6C21">
        <w:rPr>
          <w:rFonts w:asciiTheme="minorHAnsi" w:hAnsiTheme="minorHAnsi"/>
          <w:i/>
        </w:rPr>
        <w:t>zero</w:t>
      </w:r>
      <w:r>
        <w:rPr>
          <w:rFonts w:asciiTheme="minorHAnsi" w:hAnsiTheme="minorHAnsi"/>
        </w:rPr>
        <w:t xml:space="preserve"> activities (62.9%), followed by Pacific (51.9%), European/Other (47.3%) and Māori (45.9%).  There was </w:t>
      </w:r>
      <w:r w:rsidR="009B41D0">
        <w:rPr>
          <w:rFonts w:asciiTheme="minorHAnsi" w:hAnsiTheme="minorHAnsi"/>
        </w:rPr>
        <w:t>a</w:t>
      </w:r>
      <w:r>
        <w:rPr>
          <w:rFonts w:asciiTheme="minorHAnsi" w:hAnsiTheme="minorHAnsi"/>
        </w:rPr>
        <w:t xml:space="preserve"> general trend for greater proportions of Māori and </w:t>
      </w:r>
      <w:r w:rsidR="009B41D0">
        <w:rPr>
          <w:rFonts w:asciiTheme="minorHAnsi" w:hAnsiTheme="minorHAnsi"/>
        </w:rPr>
        <w:t xml:space="preserve">European/Other </w:t>
      </w:r>
      <w:r>
        <w:rPr>
          <w:rFonts w:asciiTheme="minorHAnsi" w:hAnsiTheme="minorHAnsi"/>
        </w:rPr>
        <w:t xml:space="preserve">to gamble on more activities than </w:t>
      </w:r>
      <w:r w:rsidR="009B41D0">
        <w:rPr>
          <w:rFonts w:asciiTheme="minorHAnsi" w:hAnsiTheme="minorHAnsi"/>
        </w:rPr>
        <w:t>Pacific and Asian adults</w:t>
      </w:r>
      <w:r>
        <w:rPr>
          <w:rFonts w:asciiTheme="minorHAnsi" w:hAnsiTheme="minorHAnsi"/>
        </w:rPr>
        <w:t xml:space="preserve">, however, small cell-sizes for some of these items mean that these results should be treated with caution. </w:t>
      </w:r>
      <w:r w:rsidR="009B41D0" w:rsidRPr="00EE68CD">
        <w:rPr>
          <w:rFonts w:asciiTheme="minorHAnsi" w:hAnsiTheme="minorHAnsi"/>
        </w:rPr>
        <w:t xml:space="preserve">See </w:t>
      </w:r>
      <w:r w:rsidR="005D5AA0">
        <w:rPr>
          <w:rFonts w:asciiTheme="minorHAnsi" w:hAnsiTheme="minorHAnsi"/>
        </w:rPr>
        <w:t>Table 21</w:t>
      </w:r>
      <w:r w:rsidR="005D5AA0" w:rsidRPr="00EE68CD">
        <w:rPr>
          <w:rFonts w:asciiTheme="minorHAnsi" w:hAnsiTheme="minorHAnsi"/>
        </w:rPr>
        <w:t xml:space="preserve"> </w:t>
      </w:r>
      <w:r w:rsidR="005D5AA0">
        <w:rPr>
          <w:rFonts w:asciiTheme="minorHAnsi" w:hAnsiTheme="minorHAnsi"/>
        </w:rPr>
        <w:t>(Appendix D)</w:t>
      </w:r>
      <w:r w:rsidR="009B41D0" w:rsidRPr="00EE68CD">
        <w:rPr>
          <w:rFonts w:asciiTheme="minorHAnsi" w:hAnsiTheme="minorHAnsi"/>
        </w:rPr>
        <w:t xml:space="preserve"> for detailed results relating to this item. </w:t>
      </w:r>
    </w:p>
    <w:p w14:paraId="14ABFDA0" w14:textId="77777777" w:rsidR="00314D72" w:rsidRDefault="00314D72" w:rsidP="00314D72">
      <w:pPr>
        <w:pStyle w:val="Heading4"/>
      </w:pPr>
      <w:r w:rsidRPr="00527FEF">
        <w:lastRenderedPageBreak/>
        <w:t xml:space="preserve">By </w:t>
      </w:r>
      <w:r>
        <w:t>neighbourhood deprivation</w:t>
      </w:r>
    </w:p>
    <w:p w14:paraId="252DB2A0" w14:textId="77777777" w:rsidR="00314D72" w:rsidRPr="00314D72" w:rsidRDefault="00314D72" w:rsidP="00314D72">
      <w:pPr>
        <w:rPr>
          <w:rFonts w:asciiTheme="minorHAnsi" w:hAnsiTheme="minorHAnsi"/>
        </w:rPr>
      </w:pPr>
      <w:r w:rsidRPr="00314D72">
        <w:rPr>
          <w:rFonts w:asciiTheme="minorHAnsi" w:hAnsiTheme="minorHAnsi"/>
        </w:rPr>
        <w:t>No</w:t>
      </w:r>
      <w:r>
        <w:rPr>
          <w:rFonts w:asciiTheme="minorHAnsi" w:hAnsiTheme="minorHAnsi"/>
        </w:rPr>
        <w:t xml:space="preserve"> trends or significant </w:t>
      </w:r>
      <w:r w:rsidRPr="00314D72">
        <w:rPr>
          <w:rFonts w:asciiTheme="minorHAnsi" w:hAnsiTheme="minorHAnsi"/>
        </w:rPr>
        <w:t>association</w:t>
      </w:r>
      <w:r w:rsidR="00A90BE0">
        <w:rPr>
          <w:rFonts w:asciiTheme="minorHAnsi" w:hAnsiTheme="minorHAnsi"/>
        </w:rPr>
        <w:t>s</w:t>
      </w:r>
      <w:r w:rsidRPr="00314D72">
        <w:rPr>
          <w:rFonts w:asciiTheme="minorHAnsi" w:hAnsiTheme="minorHAnsi"/>
        </w:rPr>
        <w:t xml:space="preserve"> w</w:t>
      </w:r>
      <w:r w:rsidR="00A90BE0">
        <w:rPr>
          <w:rFonts w:asciiTheme="minorHAnsi" w:hAnsiTheme="minorHAnsi"/>
        </w:rPr>
        <w:t>ere</w:t>
      </w:r>
      <w:r w:rsidRPr="00314D72">
        <w:rPr>
          <w:rFonts w:asciiTheme="minorHAnsi" w:hAnsiTheme="minorHAnsi"/>
        </w:rPr>
        <w:t xml:space="preserve"> observed between level of neighbourhood deprivation and the number of activities that adults </w:t>
      </w:r>
      <w:r>
        <w:rPr>
          <w:rFonts w:asciiTheme="minorHAnsi" w:hAnsiTheme="minorHAnsi"/>
        </w:rPr>
        <w:t xml:space="preserve">had </w:t>
      </w:r>
      <w:r w:rsidRPr="00314D72">
        <w:rPr>
          <w:rFonts w:asciiTheme="minorHAnsi" w:hAnsiTheme="minorHAnsi"/>
        </w:rPr>
        <w:t>gambled on the past 12 months.</w:t>
      </w:r>
      <w:r w:rsidR="00EE68CD">
        <w:rPr>
          <w:rFonts w:asciiTheme="minorHAnsi" w:hAnsiTheme="minorHAnsi"/>
        </w:rPr>
        <w:t xml:space="preserve">  </w:t>
      </w:r>
      <w:r w:rsidR="00EE68CD" w:rsidRPr="00EE68CD">
        <w:rPr>
          <w:rFonts w:asciiTheme="minorHAnsi" w:hAnsiTheme="minorHAnsi"/>
        </w:rPr>
        <w:t xml:space="preserve">See </w:t>
      </w:r>
      <w:r w:rsidR="005D5AA0">
        <w:rPr>
          <w:rFonts w:asciiTheme="minorHAnsi" w:hAnsiTheme="minorHAnsi"/>
        </w:rPr>
        <w:t>Table 21</w:t>
      </w:r>
      <w:r w:rsidR="005D5AA0" w:rsidRPr="00EE68CD">
        <w:rPr>
          <w:rFonts w:asciiTheme="minorHAnsi" w:hAnsiTheme="minorHAnsi"/>
        </w:rPr>
        <w:t xml:space="preserve"> </w:t>
      </w:r>
      <w:r w:rsidR="005D5AA0">
        <w:rPr>
          <w:rFonts w:asciiTheme="minorHAnsi" w:hAnsiTheme="minorHAnsi"/>
        </w:rPr>
        <w:t xml:space="preserve">(Appendix D) </w:t>
      </w:r>
      <w:r w:rsidR="00EE68CD" w:rsidRPr="00EE68CD">
        <w:rPr>
          <w:rFonts w:asciiTheme="minorHAnsi" w:hAnsiTheme="minorHAnsi"/>
        </w:rPr>
        <w:t>for</w:t>
      </w:r>
      <w:r w:rsidR="00EE68CD">
        <w:rPr>
          <w:rFonts w:asciiTheme="minorHAnsi" w:hAnsiTheme="minorHAnsi"/>
        </w:rPr>
        <w:t xml:space="preserve"> further details. </w:t>
      </w:r>
    </w:p>
    <w:p w14:paraId="652A733F" w14:textId="77777777" w:rsidR="00AB5CC7" w:rsidRPr="00527FEF" w:rsidRDefault="00AB5CC7" w:rsidP="00AB5CC7">
      <w:pPr>
        <w:pStyle w:val="Heading4"/>
      </w:pPr>
      <w:r w:rsidRPr="00527FEF">
        <w:t>By geography</w:t>
      </w:r>
    </w:p>
    <w:p w14:paraId="289430E6" w14:textId="77777777" w:rsidR="00FD7251" w:rsidRPr="0050304F" w:rsidRDefault="00FD7251" w:rsidP="00FD7251">
      <w:pPr>
        <w:rPr>
          <w:rFonts w:asciiTheme="minorHAnsi" w:hAnsiTheme="minorHAnsi"/>
        </w:rPr>
      </w:pPr>
      <w:r>
        <w:rPr>
          <w:rFonts w:asciiTheme="minorHAnsi" w:hAnsiTheme="minorHAnsi"/>
        </w:rPr>
        <w:t xml:space="preserve">Geographical location (i.e. living in an urban or rural location) was significantly associated with the number of gambling activities that adults had engaged in over the past 12 months (p=0.0013).   The main difference appears to be in relation those who had gambled on </w:t>
      </w:r>
      <w:r>
        <w:rPr>
          <w:rFonts w:asciiTheme="minorHAnsi" w:hAnsiTheme="minorHAnsi"/>
          <w:i/>
        </w:rPr>
        <w:t xml:space="preserve">four or more </w:t>
      </w:r>
      <w:r>
        <w:rPr>
          <w:rFonts w:asciiTheme="minorHAnsi" w:hAnsiTheme="minorHAnsi"/>
        </w:rPr>
        <w:t xml:space="preserve">activities, with rural respondents being less likely than their urban peers, to have gambled on this many activities.  However, small cell-sizes mean that these results should be treated with caution.  Further details are provided in </w:t>
      </w:r>
      <w:r w:rsidR="005D5AA0">
        <w:rPr>
          <w:rFonts w:asciiTheme="minorHAnsi" w:hAnsiTheme="minorHAnsi"/>
        </w:rPr>
        <w:t>Table 21</w:t>
      </w:r>
      <w:r w:rsidR="005D5AA0" w:rsidRPr="00EE68CD">
        <w:rPr>
          <w:rFonts w:asciiTheme="minorHAnsi" w:hAnsiTheme="minorHAnsi"/>
        </w:rPr>
        <w:t xml:space="preserve"> </w:t>
      </w:r>
      <w:r w:rsidR="005D5AA0">
        <w:rPr>
          <w:rFonts w:asciiTheme="minorHAnsi" w:hAnsiTheme="minorHAnsi"/>
        </w:rPr>
        <w:t>(Appendix D)</w:t>
      </w:r>
      <w:r>
        <w:rPr>
          <w:rFonts w:asciiTheme="minorHAnsi" w:hAnsiTheme="minorHAnsi"/>
        </w:rPr>
        <w:t xml:space="preserve">. </w:t>
      </w:r>
    </w:p>
    <w:p w14:paraId="5824A871" w14:textId="77777777" w:rsidR="0070109C" w:rsidRPr="00686202" w:rsidRDefault="00686202" w:rsidP="00F061EF">
      <w:pPr>
        <w:pStyle w:val="Heading3"/>
      </w:pPr>
      <w:bookmarkStart w:id="74" w:name="_Toc403833159"/>
      <w:r w:rsidRPr="00AF3A24">
        <w:t xml:space="preserve">Number of gambling activities by </w:t>
      </w:r>
      <w:r w:rsidR="000029F2">
        <w:t>past-year participation group</w:t>
      </w:r>
      <w:bookmarkEnd w:id="74"/>
    </w:p>
    <w:p w14:paraId="115EDC6F" w14:textId="2B1EDEB7" w:rsidR="001B4A71" w:rsidRDefault="005D5AA0" w:rsidP="0070109C">
      <w:pPr>
        <w:rPr>
          <w:rFonts w:asciiTheme="minorHAnsi" w:hAnsiTheme="minorHAnsi"/>
        </w:rPr>
      </w:pPr>
      <w:r>
        <w:rPr>
          <w:rFonts w:asciiTheme="minorHAnsi" w:hAnsiTheme="minorHAnsi"/>
        </w:rPr>
        <w:t>Table 8</w:t>
      </w:r>
      <w:r w:rsidR="00CF5871" w:rsidRPr="00AF3A24">
        <w:rPr>
          <w:rFonts w:asciiTheme="minorHAnsi" w:hAnsiTheme="minorHAnsi"/>
        </w:rPr>
        <w:t xml:space="preserve"> presents the number of gambling activities participated in during the last 12 months, by past-year gambling participation group</w:t>
      </w:r>
      <w:r w:rsidR="00E32689">
        <w:rPr>
          <w:rFonts w:asciiTheme="minorHAnsi" w:hAnsiTheme="minorHAnsi"/>
        </w:rPr>
        <w:t xml:space="preserve"> (</w:t>
      </w:r>
      <w:r w:rsidR="002C64FF">
        <w:rPr>
          <w:rFonts w:asciiTheme="minorHAnsi" w:hAnsiTheme="minorHAnsi"/>
        </w:rPr>
        <w:t>for those who had gambled in the past year</w:t>
      </w:r>
      <w:r w:rsidR="00E32689">
        <w:rPr>
          <w:rFonts w:asciiTheme="minorHAnsi" w:hAnsiTheme="minorHAnsi"/>
        </w:rPr>
        <w:t>)</w:t>
      </w:r>
      <w:r w:rsidR="00CF5871" w:rsidRPr="00AF3A24">
        <w:rPr>
          <w:rFonts w:asciiTheme="minorHAnsi" w:hAnsiTheme="minorHAnsi"/>
        </w:rPr>
        <w:t xml:space="preserve">. </w:t>
      </w:r>
      <w:r w:rsidR="00B22FCE">
        <w:rPr>
          <w:rFonts w:asciiTheme="minorHAnsi" w:hAnsiTheme="minorHAnsi"/>
        </w:rPr>
        <w:t xml:space="preserve"> </w:t>
      </w:r>
      <w:r w:rsidR="002C64FF">
        <w:rPr>
          <w:rFonts w:asciiTheme="minorHAnsi" w:hAnsiTheme="minorHAnsi"/>
        </w:rPr>
        <w:t>As outlined previously (see</w:t>
      </w:r>
      <w:r>
        <w:rPr>
          <w:rFonts w:asciiTheme="minorHAnsi" w:hAnsiTheme="minorHAnsi"/>
        </w:rPr>
        <w:t xml:space="preserve"> Table 7</w:t>
      </w:r>
      <w:r w:rsidR="002C64FF">
        <w:rPr>
          <w:rFonts w:asciiTheme="minorHAnsi" w:hAnsiTheme="minorHAnsi"/>
        </w:rPr>
        <w:t xml:space="preserve">), nearly two-thirds </w:t>
      </w:r>
      <w:r w:rsidR="00B22FCE">
        <w:rPr>
          <w:rFonts w:asciiTheme="minorHAnsi" w:hAnsiTheme="minorHAnsi"/>
        </w:rPr>
        <w:t xml:space="preserve">(62.8%) </w:t>
      </w:r>
      <w:r w:rsidR="002C64FF">
        <w:rPr>
          <w:rFonts w:asciiTheme="minorHAnsi" w:hAnsiTheme="minorHAnsi"/>
        </w:rPr>
        <w:t xml:space="preserve">of people who had gambled in the past 12 months had gambled on </w:t>
      </w:r>
      <w:r w:rsidR="002C64FF" w:rsidRPr="000029F2">
        <w:rPr>
          <w:rFonts w:asciiTheme="minorHAnsi" w:hAnsiTheme="minorHAnsi"/>
          <w:i/>
        </w:rPr>
        <w:t>one</w:t>
      </w:r>
      <w:r w:rsidR="002C64FF">
        <w:rPr>
          <w:rFonts w:asciiTheme="minorHAnsi" w:hAnsiTheme="minorHAnsi"/>
        </w:rPr>
        <w:t xml:space="preserve"> activity</w:t>
      </w:r>
      <w:r w:rsidR="002C64FF" w:rsidRPr="002C64FF">
        <w:rPr>
          <w:rFonts w:asciiTheme="minorHAnsi" w:hAnsiTheme="minorHAnsi"/>
        </w:rPr>
        <w:t xml:space="preserve"> </w:t>
      </w:r>
      <w:r w:rsidR="002C64FF">
        <w:rPr>
          <w:rFonts w:asciiTheme="minorHAnsi" w:hAnsiTheme="minorHAnsi"/>
        </w:rPr>
        <w:t xml:space="preserve">only.  </w:t>
      </w:r>
      <w:r w:rsidR="00CF5871" w:rsidRPr="00AF3A24">
        <w:rPr>
          <w:rFonts w:asciiTheme="minorHAnsi" w:hAnsiTheme="minorHAnsi"/>
        </w:rPr>
        <w:t xml:space="preserve">These results illustrate that the majority of </w:t>
      </w:r>
      <w:r w:rsidR="000F1C69" w:rsidRPr="00AF3A24">
        <w:rPr>
          <w:rFonts w:asciiTheme="minorHAnsi" w:hAnsiTheme="minorHAnsi"/>
        </w:rPr>
        <w:t xml:space="preserve">those who had gambled on </w:t>
      </w:r>
      <w:r w:rsidR="00CF5871" w:rsidRPr="00AF3A24">
        <w:rPr>
          <w:rFonts w:asciiTheme="minorHAnsi" w:hAnsiTheme="minorHAnsi"/>
        </w:rPr>
        <w:t xml:space="preserve">Lotto </w:t>
      </w:r>
      <w:r w:rsidR="000F1C69" w:rsidRPr="00AF3A24">
        <w:rPr>
          <w:rFonts w:asciiTheme="minorHAnsi" w:hAnsiTheme="minorHAnsi"/>
        </w:rPr>
        <w:t>in the past year</w:t>
      </w:r>
      <w:r w:rsidR="00CF5871" w:rsidRPr="00AF3A24">
        <w:rPr>
          <w:rFonts w:asciiTheme="minorHAnsi" w:hAnsiTheme="minorHAnsi"/>
        </w:rPr>
        <w:t xml:space="preserve"> had </w:t>
      </w:r>
      <w:r w:rsidR="000F1C69" w:rsidRPr="00AF3A24">
        <w:rPr>
          <w:rFonts w:asciiTheme="minorHAnsi" w:hAnsiTheme="minorHAnsi"/>
        </w:rPr>
        <w:t xml:space="preserve">only </w:t>
      </w:r>
      <w:r w:rsidR="00467C5C">
        <w:rPr>
          <w:rFonts w:asciiTheme="minorHAnsi" w:hAnsiTheme="minorHAnsi"/>
        </w:rPr>
        <w:t xml:space="preserve">gambled on </w:t>
      </w:r>
      <w:r w:rsidR="00467C5C" w:rsidRPr="00CA69FA">
        <w:rPr>
          <w:rFonts w:asciiTheme="minorHAnsi" w:hAnsiTheme="minorHAnsi"/>
          <w:i/>
        </w:rPr>
        <w:t>one</w:t>
      </w:r>
      <w:r w:rsidR="00467C5C">
        <w:rPr>
          <w:rFonts w:asciiTheme="minorHAnsi" w:hAnsiTheme="minorHAnsi"/>
        </w:rPr>
        <w:t xml:space="preserve"> activity (59.7%</w:t>
      </w:r>
      <w:r w:rsidR="00CF5871" w:rsidRPr="00AF3A24">
        <w:rPr>
          <w:rFonts w:asciiTheme="minorHAnsi" w:hAnsiTheme="minorHAnsi"/>
        </w:rPr>
        <w:t xml:space="preserve">). In comparison, </w:t>
      </w:r>
      <w:r w:rsidR="00467C5C">
        <w:rPr>
          <w:rFonts w:asciiTheme="minorHAnsi" w:hAnsiTheme="minorHAnsi"/>
        </w:rPr>
        <w:t>one</w:t>
      </w:r>
      <w:r w:rsidR="00B22FCE">
        <w:rPr>
          <w:rFonts w:asciiTheme="minorHAnsi" w:hAnsiTheme="minorHAnsi"/>
        </w:rPr>
        <w:t>-</w:t>
      </w:r>
      <w:r w:rsidR="00467C5C">
        <w:rPr>
          <w:rFonts w:asciiTheme="minorHAnsi" w:hAnsiTheme="minorHAnsi"/>
        </w:rPr>
        <w:t>in</w:t>
      </w:r>
      <w:r w:rsidR="00B22FCE">
        <w:rPr>
          <w:rFonts w:asciiTheme="minorHAnsi" w:hAnsiTheme="minorHAnsi"/>
        </w:rPr>
        <w:t>-</w:t>
      </w:r>
      <w:r w:rsidR="00467C5C">
        <w:rPr>
          <w:rFonts w:asciiTheme="minorHAnsi" w:hAnsiTheme="minorHAnsi"/>
        </w:rPr>
        <w:t>two Keno gamblers (52.3%</w:t>
      </w:r>
      <w:r w:rsidR="005700D5" w:rsidRPr="00AF3A24">
        <w:rPr>
          <w:rFonts w:asciiTheme="minorHAnsi" w:hAnsiTheme="minorHAnsi"/>
        </w:rPr>
        <w:t xml:space="preserve">) and </w:t>
      </w:r>
      <w:r w:rsidR="00813A72" w:rsidRPr="00AF3A24">
        <w:rPr>
          <w:rFonts w:asciiTheme="minorHAnsi" w:hAnsiTheme="minorHAnsi"/>
        </w:rPr>
        <w:t>40%</w:t>
      </w:r>
      <w:r w:rsidR="005700D5" w:rsidRPr="00AF3A24">
        <w:rPr>
          <w:rFonts w:asciiTheme="minorHAnsi" w:hAnsiTheme="minorHAnsi"/>
        </w:rPr>
        <w:t xml:space="preserve"> </w:t>
      </w:r>
      <w:r w:rsidR="00467C5C">
        <w:rPr>
          <w:rFonts w:asciiTheme="minorHAnsi" w:hAnsiTheme="minorHAnsi"/>
        </w:rPr>
        <w:t>of casino table gamblers (40.1%</w:t>
      </w:r>
      <w:r w:rsidR="005700D5" w:rsidRPr="00AF3A24">
        <w:rPr>
          <w:rFonts w:asciiTheme="minorHAnsi" w:hAnsiTheme="minorHAnsi"/>
        </w:rPr>
        <w:t xml:space="preserve">) had participated in </w:t>
      </w:r>
      <w:r w:rsidR="005700D5" w:rsidRPr="00CA69FA">
        <w:rPr>
          <w:rFonts w:asciiTheme="minorHAnsi" w:hAnsiTheme="minorHAnsi"/>
          <w:i/>
        </w:rPr>
        <w:t>four or more</w:t>
      </w:r>
      <w:r w:rsidR="005700D5" w:rsidRPr="00AF3A24">
        <w:rPr>
          <w:rFonts w:asciiTheme="minorHAnsi" w:hAnsiTheme="minorHAnsi"/>
        </w:rPr>
        <w:t xml:space="preserve"> activities in the past year. </w:t>
      </w:r>
      <w:r w:rsidR="00813A72" w:rsidRPr="00AF3A24">
        <w:rPr>
          <w:rFonts w:asciiTheme="minorHAnsi" w:hAnsiTheme="minorHAnsi"/>
        </w:rPr>
        <w:t xml:space="preserve"> </w:t>
      </w:r>
      <w:r w:rsidR="005700D5" w:rsidRPr="00AF3A24">
        <w:rPr>
          <w:rFonts w:asciiTheme="minorHAnsi" w:hAnsiTheme="minorHAnsi"/>
        </w:rPr>
        <w:t>Around one-third of those who gambl</w:t>
      </w:r>
      <w:r w:rsidR="00813A72" w:rsidRPr="00AF3A24">
        <w:rPr>
          <w:rFonts w:asciiTheme="minorHAnsi" w:hAnsiTheme="minorHAnsi"/>
        </w:rPr>
        <w:t>ed</w:t>
      </w:r>
      <w:r w:rsidR="005700D5" w:rsidRPr="00AF3A24">
        <w:rPr>
          <w:rFonts w:asciiTheme="minorHAnsi" w:hAnsiTheme="minorHAnsi"/>
        </w:rPr>
        <w:t xml:space="preserve"> on </w:t>
      </w:r>
      <w:r w:rsidR="008768CB">
        <w:rPr>
          <w:rFonts w:asciiTheme="minorHAnsi" w:hAnsiTheme="minorHAnsi"/>
        </w:rPr>
        <w:t xml:space="preserve">EGMs </w:t>
      </w:r>
      <w:r w:rsidR="00813A72" w:rsidRPr="00AF3A24">
        <w:rPr>
          <w:rFonts w:asciiTheme="minorHAnsi" w:hAnsiTheme="minorHAnsi"/>
        </w:rPr>
        <w:t xml:space="preserve">had gambled on </w:t>
      </w:r>
      <w:r w:rsidR="00813A72" w:rsidRPr="000029F2">
        <w:rPr>
          <w:rFonts w:asciiTheme="minorHAnsi" w:hAnsiTheme="minorHAnsi"/>
          <w:i/>
        </w:rPr>
        <w:t>four or more</w:t>
      </w:r>
      <w:r w:rsidR="00813A72" w:rsidRPr="00AF3A24">
        <w:rPr>
          <w:rFonts w:asciiTheme="minorHAnsi" w:hAnsiTheme="minorHAnsi"/>
        </w:rPr>
        <w:t xml:space="preserve"> activities</w:t>
      </w:r>
      <w:r w:rsidR="005D2C8B">
        <w:rPr>
          <w:rFonts w:asciiTheme="minorHAnsi" w:hAnsiTheme="minorHAnsi"/>
        </w:rPr>
        <w:t>:</w:t>
      </w:r>
      <w:r w:rsidR="00813A72" w:rsidRPr="00AF3A24">
        <w:rPr>
          <w:rFonts w:asciiTheme="minorHAnsi" w:hAnsiTheme="minorHAnsi"/>
        </w:rPr>
        <w:t xml:space="preserve"> </w:t>
      </w:r>
      <w:r w:rsidR="005700D5" w:rsidRPr="00AF3A24">
        <w:rPr>
          <w:rFonts w:asciiTheme="minorHAnsi" w:hAnsiTheme="minorHAnsi"/>
        </w:rPr>
        <w:t xml:space="preserve">casino </w:t>
      </w:r>
      <w:r w:rsidR="008768CB">
        <w:rPr>
          <w:rFonts w:asciiTheme="minorHAnsi" w:hAnsiTheme="minorHAnsi"/>
        </w:rPr>
        <w:t xml:space="preserve">EGMs </w:t>
      </w:r>
      <w:r w:rsidR="00467C5C">
        <w:rPr>
          <w:rFonts w:asciiTheme="minorHAnsi" w:hAnsiTheme="minorHAnsi"/>
        </w:rPr>
        <w:t>(33.1%</w:t>
      </w:r>
      <w:r w:rsidR="005700D5" w:rsidRPr="00AF3A24">
        <w:rPr>
          <w:rFonts w:asciiTheme="minorHAnsi" w:hAnsiTheme="minorHAnsi"/>
        </w:rPr>
        <w:t xml:space="preserve">) and non-casino </w:t>
      </w:r>
      <w:r w:rsidR="008768CB">
        <w:rPr>
          <w:rFonts w:asciiTheme="minorHAnsi" w:hAnsiTheme="minorHAnsi"/>
        </w:rPr>
        <w:t xml:space="preserve">EGMs </w:t>
      </w:r>
      <w:r w:rsidR="00813A72" w:rsidRPr="00AF3A24">
        <w:rPr>
          <w:rFonts w:asciiTheme="minorHAnsi" w:hAnsiTheme="minorHAnsi"/>
        </w:rPr>
        <w:t>(</w:t>
      </w:r>
      <w:r w:rsidR="005700D5" w:rsidRPr="00AF3A24">
        <w:rPr>
          <w:rFonts w:asciiTheme="minorHAnsi" w:hAnsiTheme="minorHAnsi"/>
        </w:rPr>
        <w:t>29.2%)</w:t>
      </w:r>
      <w:r w:rsidR="00813A72" w:rsidRPr="00AF3A24">
        <w:rPr>
          <w:rFonts w:asciiTheme="minorHAnsi" w:hAnsiTheme="minorHAnsi"/>
        </w:rPr>
        <w:t xml:space="preserve">. </w:t>
      </w:r>
      <w:r w:rsidR="005D2C8B">
        <w:rPr>
          <w:rFonts w:asciiTheme="minorHAnsi" w:hAnsiTheme="minorHAnsi"/>
        </w:rPr>
        <w:t xml:space="preserve"> </w:t>
      </w:r>
    </w:p>
    <w:p w14:paraId="5A52DA43" w14:textId="77777777" w:rsidR="001B4A71" w:rsidRDefault="001B4A71">
      <w:pPr>
        <w:spacing w:before="0" w:after="200" w:line="276" w:lineRule="auto"/>
        <w:jc w:val="left"/>
        <w:rPr>
          <w:rFonts w:asciiTheme="minorHAnsi" w:hAnsiTheme="minorHAnsi"/>
        </w:rPr>
      </w:pPr>
      <w:r>
        <w:rPr>
          <w:rFonts w:asciiTheme="minorHAnsi" w:hAnsiTheme="minorHAnsi"/>
        </w:rPr>
        <w:br w:type="page"/>
      </w:r>
    </w:p>
    <w:p w14:paraId="7F3B3895" w14:textId="182E3E44" w:rsidR="00306D51" w:rsidRPr="00AF3A24" w:rsidRDefault="009F4C59" w:rsidP="00FB0414">
      <w:pPr>
        <w:pStyle w:val="Caption"/>
        <w:keepNext/>
        <w:spacing w:line="276" w:lineRule="auto"/>
        <w:ind w:left="851" w:hanging="851"/>
        <w:rPr>
          <w:rFonts w:asciiTheme="minorHAnsi" w:hAnsiTheme="minorHAnsi"/>
          <w:i/>
        </w:rPr>
      </w:pPr>
      <w:bookmarkStart w:id="75" w:name="_Ref396198172"/>
      <w:bookmarkStart w:id="76" w:name="_Toc425426875"/>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8</w:t>
      </w:r>
      <w:r w:rsidRPr="00AF3A24">
        <w:rPr>
          <w:rFonts w:asciiTheme="minorHAnsi" w:hAnsiTheme="minorHAnsi"/>
          <w:i/>
        </w:rPr>
        <w:fldChar w:fldCharType="end"/>
      </w:r>
      <w:bookmarkEnd w:id="75"/>
      <w:r w:rsidRPr="00AF3A24">
        <w:rPr>
          <w:rFonts w:asciiTheme="minorHAnsi" w:hAnsiTheme="minorHAnsi"/>
          <w:i/>
        </w:rPr>
        <w:t>:</w:t>
      </w:r>
      <w:r w:rsidRPr="00AF3A24">
        <w:rPr>
          <w:rFonts w:asciiTheme="minorHAnsi" w:hAnsiTheme="minorHAnsi" w:cstheme="minorHAnsi"/>
          <w:i/>
        </w:rPr>
        <w:tab/>
        <w:t xml:space="preserve"> </w:t>
      </w:r>
      <w:r w:rsidR="00306D51" w:rsidRPr="00AF3A24">
        <w:rPr>
          <w:rFonts w:asciiTheme="minorHAnsi" w:hAnsiTheme="minorHAnsi"/>
          <w:i/>
        </w:rPr>
        <w:t xml:space="preserve">Number of gambling activities participated in during the </w:t>
      </w:r>
      <w:r w:rsidR="004D7906" w:rsidRPr="00AF3A24">
        <w:rPr>
          <w:rFonts w:asciiTheme="minorHAnsi" w:hAnsiTheme="minorHAnsi"/>
          <w:i/>
        </w:rPr>
        <w:t>l</w:t>
      </w:r>
      <w:r w:rsidR="00306D51" w:rsidRPr="00AF3A24">
        <w:rPr>
          <w:rFonts w:asciiTheme="minorHAnsi" w:hAnsiTheme="minorHAnsi"/>
          <w:i/>
        </w:rPr>
        <w:t>ast 12 months, by past-year gambling participation group</w:t>
      </w:r>
      <w:r w:rsidR="00E32689">
        <w:rPr>
          <w:rFonts w:asciiTheme="minorHAnsi" w:hAnsiTheme="minorHAnsi"/>
          <w:i/>
        </w:rPr>
        <w:t>, past-year gamblers</w:t>
      </w:r>
      <w:r w:rsidR="00057AF8" w:rsidRPr="00AF3A24">
        <w:rPr>
          <w:rFonts w:asciiTheme="minorHAnsi" w:hAnsiTheme="minorHAnsi"/>
          <w:i/>
        </w:rPr>
        <w:t xml:space="preserve"> </w:t>
      </w:r>
      <w:r w:rsidR="00057AF8" w:rsidRPr="00AF3A24">
        <w:rPr>
          <w:rFonts w:asciiTheme="minorHAnsi" w:hAnsiTheme="minorHAnsi" w:cstheme="minorHAnsi"/>
          <w:i/>
        </w:rPr>
        <w:t>(unadjusted prevalence; N</w:t>
      </w:r>
      <w:r w:rsidR="00057AF8" w:rsidRPr="00737516">
        <w:rPr>
          <w:rFonts w:asciiTheme="minorHAnsi" w:hAnsiTheme="minorHAnsi" w:cstheme="minorHAnsi"/>
          <w:i/>
        </w:rPr>
        <w:t>=</w:t>
      </w:r>
      <w:r w:rsidR="00737516" w:rsidRPr="00737516">
        <w:rPr>
          <w:rFonts w:asciiTheme="minorHAnsi" w:hAnsiTheme="minorHAnsi" w:cstheme="minorHAnsi"/>
          <w:i/>
        </w:rPr>
        <w:t>6</w:t>
      </w:r>
      <w:r w:rsidR="00057AF8" w:rsidRPr="00737516">
        <w:rPr>
          <w:rFonts w:asciiTheme="minorHAnsi" w:hAnsiTheme="minorHAnsi" w:cstheme="minorHAnsi"/>
          <w:i/>
        </w:rPr>
        <w:t>,5</w:t>
      </w:r>
      <w:r w:rsidR="00737516" w:rsidRPr="00737516">
        <w:rPr>
          <w:rFonts w:asciiTheme="minorHAnsi" w:hAnsiTheme="minorHAnsi" w:cstheme="minorHAnsi"/>
          <w:i/>
        </w:rPr>
        <w:t>4</w:t>
      </w:r>
      <w:r w:rsidR="00057AF8" w:rsidRPr="00737516">
        <w:rPr>
          <w:rFonts w:asciiTheme="minorHAnsi" w:hAnsiTheme="minorHAnsi" w:cstheme="minorHAnsi"/>
          <w:i/>
        </w:rPr>
        <w:t>9)</w:t>
      </w:r>
      <w:r w:rsidR="00057AF8" w:rsidRPr="00AF3A24">
        <w:rPr>
          <w:rFonts w:asciiTheme="minorHAnsi" w:hAnsiTheme="minorHAnsi" w:cstheme="minorHAnsi"/>
          <w:i/>
        </w:rPr>
        <w:t xml:space="preserve"> </w:t>
      </w:r>
      <w:r w:rsidR="00057AF8" w:rsidRPr="00AF3A24">
        <w:rPr>
          <w:rFonts w:asciiTheme="minorHAnsi" w:hAnsiTheme="minorHAnsi" w:cstheme="minorHAnsi"/>
          <w:i/>
          <w:vertAlign w:val="superscript"/>
        </w:rPr>
        <w:t>1</w:t>
      </w:r>
      <w:bookmarkEnd w:id="76"/>
    </w:p>
    <w:tbl>
      <w:tblPr>
        <w:tblStyle w:val="TableGrid"/>
        <w:tblW w:w="10303" w:type="dxa"/>
        <w:jc w:val="center"/>
        <w:tblLayout w:type="fixed"/>
        <w:tblLook w:val="04A0" w:firstRow="1" w:lastRow="0" w:firstColumn="1" w:lastColumn="0" w:noHBand="0" w:noVBand="1"/>
      </w:tblPr>
      <w:tblGrid>
        <w:gridCol w:w="3227"/>
        <w:gridCol w:w="714"/>
        <w:gridCol w:w="1058"/>
        <w:gridCol w:w="714"/>
        <w:gridCol w:w="1058"/>
        <w:gridCol w:w="708"/>
        <w:gridCol w:w="1058"/>
        <w:gridCol w:w="708"/>
        <w:gridCol w:w="1058"/>
      </w:tblGrid>
      <w:tr w:rsidR="00907771" w:rsidRPr="00AF3A24" w14:paraId="600D0388" w14:textId="77777777" w:rsidTr="00907771">
        <w:trPr>
          <w:trHeight w:val="386"/>
          <w:jc w:val="center"/>
        </w:trPr>
        <w:tc>
          <w:tcPr>
            <w:tcW w:w="3227" w:type="dxa"/>
            <w:vMerge w:val="restart"/>
            <w:shd w:val="clear" w:color="auto" w:fill="92CDDC" w:themeFill="accent5" w:themeFillTint="99"/>
          </w:tcPr>
          <w:p w14:paraId="1DF6970E" w14:textId="77777777" w:rsidR="00907771" w:rsidRPr="00AF3A24" w:rsidRDefault="00907771" w:rsidP="00B73D2F">
            <w:pPr>
              <w:spacing w:before="0" w:line="240" w:lineRule="auto"/>
              <w:jc w:val="left"/>
              <w:rPr>
                <w:rFonts w:asciiTheme="minorHAnsi" w:hAnsiTheme="minorHAnsi" w:cstheme="minorHAnsi"/>
                <w:b/>
                <w:sz w:val="18"/>
                <w:szCs w:val="18"/>
              </w:rPr>
            </w:pPr>
          </w:p>
        </w:tc>
        <w:tc>
          <w:tcPr>
            <w:tcW w:w="7076" w:type="dxa"/>
            <w:gridSpan w:val="8"/>
            <w:tcBorders>
              <w:bottom w:val="single" w:sz="4" w:space="0" w:color="auto"/>
            </w:tcBorders>
            <w:shd w:val="clear" w:color="auto" w:fill="92CDDC" w:themeFill="accent5" w:themeFillTint="99"/>
            <w:vAlign w:val="center"/>
          </w:tcPr>
          <w:p w14:paraId="180DAF5B"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NUMBER OF GAMBLING ACTIVITIES IN LAST 12 MONTHS</w:t>
            </w:r>
          </w:p>
        </w:tc>
      </w:tr>
      <w:tr w:rsidR="00E83E0E" w:rsidRPr="00AF3A24" w14:paraId="60229C38" w14:textId="77777777" w:rsidTr="00907771">
        <w:trPr>
          <w:trHeight w:val="386"/>
          <w:jc w:val="center"/>
        </w:trPr>
        <w:tc>
          <w:tcPr>
            <w:tcW w:w="3227" w:type="dxa"/>
            <w:vMerge/>
            <w:shd w:val="clear" w:color="auto" w:fill="92CDDC" w:themeFill="accent5" w:themeFillTint="99"/>
          </w:tcPr>
          <w:p w14:paraId="6E4D7190" w14:textId="77777777" w:rsidR="00E83E0E" w:rsidRPr="00AF3A24" w:rsidRDefault="00E83E0E" w:rsidP="00B73D2F">
            <w:pPr>
              <w:spacing w:before="0" w:line="240" w:lineRule="auto"/>
              <w:jc w:val="left"/>
              <w:rPr>
                <w:rFonts w:asciiTheme="minorHAnsi" w:hAnsiTheme="minorHAnsi" w:cstheme="minorHAnsi"/>
                <w:b/>
                <w:sz w:val="18"/>
                <w:szCs w:val="18"/>
              </w:rPr>
            </w:pPr>
          </w:p>
        </w:tc>
        <w:tc>
          <w:tcPr>
            <w:tcW w:w="1772" w:type="dxa"/>
            <w:gridSpan w:val="2"/>
            <w:tcBorders>
              <w:bottom w:val="single" w:sz="4" w:space="0" w:color="auto"/>
            </w:tcBorders>
            <w:shd w:val="clear" w:color="auto" w:fill="92CDDC" w:themeFill="accent5" w:themeFillTint="99"/>
            <w:vAlign w:val="center"/>
          </w:tcPr>
          <w:p w14:paraId="2C0A9680" w14:textId="77777777" w:rsidR="00E83E0E" w:rsidRPr="00AF3A24" w:rsidRDefault="00E83E0E"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One</w:t>
            </w:r>
          </w:p>
        </w:tc>
        <w:tc>
          <w:tcPr>
            <w:tcW w:w="1772" w:type="dxa"/>
            <w:gridSpan w:val="2"/>
            <w:tcBorders>
              <w:bottom w:val="single" w:sz="4" w:space="0" w:color="auto"/>
            </w:tcBorders>
            <w:shd w:val="clear" w:color="auto" w:fill="92CDDC" w:themeFill="accent5" w:themeFillTint="99"/>
            <w:vAlign w:val="center"/>
          </w:tcPr>
          <w:p w14:paraId="2D3C89A3" w14:textId="77777777" w:rsidR="00E83E0E" w:rsidRPr="00AF3A24" w:rsidRDefault="00E83E0E"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Two</w:t>
            </w:r>
          </w:p>
        </w:tc>
        <w:tc>
          <w:tcPr>
            <w:tcW w:w="1766" w:type="dxa"/>
            <w:gridSpan w:val="2"/>
            <w:tcBorders>
              <w:bottom w:val="single" w:sz="4" w:space="0" w:color="auto"/>
            </w:tcBorders>
            <w:shd w:val="clear" w:color="auto" w:fill="92CDDC" w:themeFill="accent5" w:themeFillTint="99"/>
            <w:vAlign w:val="center"/>
          </w:tcPr>
          <w:p w14:paraId="06790397" w14:textId="77777777" w:rsidR="00E83E0E" w:rsidRPr="00AF3A24" w:rsidRDefault="00E83E0E"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Three</w:t>
            </w:r>
          </w:p>
        </w:tc>
        <w:tc>
          <w:tcPr>
            <w:tcW w:w="1766" w:type="dxa"/>
            <w:gridSpan w:val="2"/>
            <w:tcBorders>
              <w:bottom w:val="single" w:sz="4" w:space="0" w:color="auto"/>
            </w:tcBorders>
            <w:shd w:val="clear" w:color="auto" w:fill="92CDDC" w:themeFill="accent5" w:themeFillTint="99"/>
            <w:vAlign w:val="center"/>
          </w:tcPr>
          <w:p w14:paraId="6B8B755F" w14:textId="77777777" w:rsidR="00E83E0E" w:rsidRPr="00AF3A24" w:rsidRDefault="00E83E0E"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 xml:space="preserve">Four </w:t>
            </w:r>
            <w:r w:rsidRPr="00AF3A24">
              <w:rPr>
                <w:rFonts w:asciiTheme="minorHAnsi" w:hAnsiTheme="minorHAnsi" w:cstheme="minorHAnsi"/>
                <w:b/>
                <w:sz w:val="18"/>
                <w:szCs w:val="18"/>
              </w:rPr>
              <w:t>or more</w:t>
            </w:r>
          </w:p>
        </w:tc>
      </w:tr>
      <w:tr w:rsidR="00907771" w:rsidRPr="00AF3A24" w14:paraId="05B5E7FE" w14:textId="77777777" w:rsidTr="004C5A21">
        <w:trPr>
          <w:trHeight w:val="386"/>
          <w:jc w:val="center"/>
        </w:trPr>
        <w:tc>
          <w:tcPr>
            <w:tcW w:w="3227" w:type="dxa"/>
            <w:vMerge/>
            <w:tcBorders>
              <w:bottom w:val="single" w:sz="4" w:space="0" w:color="auto"/>
            </w:tcBorders>
            <w:shd w:val="clear" w:color="auto" w:fill="92CDDC" w:themeFill="accent5" w:themeFillTint="99"/>
          </w:tcPr>
          <w:p w14:paraId="2AD000F6" w14:textId="77777777" w:rsidR="00907771" w:rsidRPr="00AF3A24" w:rsidRDefault="00907771" w:rsidP="00B73D2F">
            <w:pPr>
              <w:spacing w:before="0" w:line="240" w:lineRule="auto"/>
              <w:jc w:val="left"/>
              <w:rPr>
                <w:rFonts w:asciiTheme="minorHAnsi" w:hAnsiTheme="minorHAnsi" w:cstheme="minorHAnsi"/>
                <w:b/>
                <w:sz w:val="18"/>
                <w:szCs w:val="18"/>
              </w:rPr>
            </w:pPr>
          </w:p>
        </w:tc>
        <w:tc>
          <w:tcPr>
            <w:tcW w:w="714" w:type="dxa"/>
            <w:tcBorders>
              <w:bottom w:val="single" w:sz="4" w:space="0" w:color="auto"/>
            </w:tcBorders>
            <w:shd w:val="clear" w:color="auto" w:fill="92CDDC" w:themeFill="accent5" w:themeFillTint="99"/>
            <w:vAlign w:val="center"/>
          </w:tcPr>
          <w:p w14:paraId="08C1B76F"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0AA6DD8B"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3E8DC429"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14" w:type="dxa"/>
            <w:tcBorders>
              <w:bottom w:val="single" w:sz="4" w:space="0" w:color="auto"/>
            </w:tcBorders>
            <w:shd w:val="clear" w:color="auto" w:fill="92CDDC" w:themeFill="accent5" w:themeFillTint="99"/>
            <w:vAlign w:val="center"/>
          </w:tcPr>
          <w:p w14:paraId="5FAB283E"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4433BA13"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F7645CB"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47603CE2"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520C9686"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7F76626"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7916A6FA"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7510C997"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2012A0F7" w14:textId="77777777" w:rsidR="00907771" w:rsidRPr="00AF3A24" w:rsidRDefault="00907771" w:rsidP="00B73D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907771" w:rsidRPr="00AF3A24" w14:paraId="46E5BFF4" w14:textId="77777777" w:rsidTr="004C5A21">
        <w:trPr>
          <w:trHeight w:val="401"/>
          <w:jc w:val="center"/>
        </w:trPr>
        <w:tc>
          <w:tcPr>
            <w:tcW w:w="3227" w:type="dxa"/>
            <w:tcBorders>
              <w:top w:val="single" w:sz="4" w:space="0" w:color="auto"/>
              <w:bottom w:val="single" w:sz="4" w:space="0" w:color="auto"/>
            </w:tcBorders>
            <w:shd w:val="clear" w:color="auto" w:fill="DAEEF3" w:themeFill="accent5" w:themeFillTint="33"/>
            <w:vAlign w:val="center"/>
          </w:tcPr>
          <w:p w14:paraId="2E91C0F5" w14:textId="77777777" w:rsidR="00907771" w:rsidRPr="00AF3A24" w:rsidRDefault="00907771" w:rsidP="00073300">
            <w:pPr>
              <w:spacing w:before="0" w:line="240" w:lineRule="auto"/>
              <w:ind w:left="153" w:hanging="153"/>
              <w:jc w:val="left"/>
              <w:rPr>
                <w:rFonts w:asciiTheme="minorHAnsi" w:hAnsiTheme="minorHAnsi" w:cstheme="minorHAnsi"/>
                <w:b/>
                <w:sz w:val="16"/>
                <w:szCs w:val="16"/>
              </w:rPr>
            </w:pPr>
            <w:r w:rsidRPr="00AF3A24">
              <w:rPr>
                <w:rFonts w:asciiTheme="minorHAnsi" w:hAnsiTheme="minorHAnsi" w:cstheme="minorHAnsi"/>
                <w:b/>
                <w:sz w:val="16"/>
                <w:szCs w:val="16"/>
              </w:rPr>
              <w:t xml:space="preserve">Amongst all </w:t>
            </w:r>
            <w:r w:rsidRPr="005D2C8B">
              <w:rPr>
                <w:rFonts w:asciiTheme="minorHAnsi" w:hAnsiTheme="minorHAnsi" w:cstheme="minorHAnsi"/>
                <w:b/>
                <w:sz w:val="16"/>
                <w:szCs w:val="16"/>
                <w:u w:val="single"/>
              </w:rPr>
              <w:t>past-year gamblers</w:t>
            </w:r>
          </w:p>
        </w:tc>
        <w:tc>
          <w:tcPr>
            <w:tcW w:w="714" w:type="dxa"/>
            <w:tcBorders>
              <w:top w:val="single" w:sz="4" w:space="0" w:color="auto"/>
              <w:left w:val="nil"/>
              <w:bottom w:val="single" w:sz="4" w:space="0" w:color="auto"/>
              <w:right w:val="nil"/>
            </w:tcBorders>
            <w:shd w:val="clear" w:color="auto" w:fill="DAEEF3" w:themeFill="accent5" w:themeFillTint="33"/>
            <w:vAlign w:val="center"/>
          </w:tcPr>
          <w:p w14:paraId="28A44DFF"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4,137</w:t>
            </w:r>
          </w:p>
        </w:tc>
        <w:tc>
          <w:tcPr>
            <w:tcW w:w="1058"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251050E"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62.8</w:t>
            </w:r>
            <w:r w:rsidRPr="00AF3A24">
              <w:rPr>
                <w:rFonts w:asciiTheme="minorHAnsi" w:hAnsiTheme="minorHAnsi"/>
                <w:bCs/>
                <w:color w:val="000000"/>
                <w:sz w:val="16"/>
                <w:szCs w:val="16"/>
              </w:rPr>
              <w:br/>
              <w:t>(61.0 - 64.6)</w:t>
            </w:r>
          </w:p>
        </w:tc>
        <w:tc>
          <w:tcPr>
            <w:tcW w:w="714" w:type="dxa"/>
            <w:tcBorders>
              <w:top w:val="single" w:sz="4" w:space="0" w:color="auto"/>
              <w:left w:val="nil"/>
              <w:bottom w:val="single" w:sz="4" w:space="0" w:color="auto"/>
              <w:right w:val="nil"/>
            </w:tcBorders>
            <w:shd w:val="clear" w:color="auto" w:fill="DAEEF3" w:themeFill="accent5" w:themeFillTint="33"/>
            <w:vAlign w:val="center"/>
          </w:tcPr>
          <w:p w14:paraId="393BC6A0"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1,534</w:t>
            </w:r>
          </w:p>
        </w:tc>
        <w:tc>
          <w:tcPr>
            <w:tcW w:w="1058"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53FA81D"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23.5</w:t>
            </w:r>
            <w:r w:rsidRPr="00AF3A24">
              <w:rPr>
                <w:rFonts w:asciiTheme="minorHAnsi" w:hAnsiTheme="minorHAnsi"/>
                <w:bCs/>
                <w:color w:val="000000"/>
                <w:sz w:val="16"/>
                <w:szCs w:val="16"/>
              </w:rPr>
              <w:br/>
              <w:t>(22.1 - 24.9)</w:t>
            </w:r>
          </w:p>
        </w:tc>
        <w:tc>
          <w:tcPr>
            <w:tcW w:w="708" w:type="dxa"/>
            <w:tcBorders>
              <w:top w:val="single" w:sz="4" w:space="0" w:color="auto"/>
              <w:left w:val="nil"/>
              <w:bottom w:val="single" w:sz="4" w:space="0" w:color="auto"/>
              <w:right w:val="nil"/>
            </w:tcBorders>
            <w:shd w:val="clear" w:color="auto" w:fill="DAEEF3" w:themeFill="accent5" w:themeFillTint="33"/>
            <w:vAlign w:val="center"/>
          </w:tcPr>
          <w:p w14:paraId="36213F05"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556</w:t>
            </w:r>
          </w:p>
        </w:tc>
        <w:tc>
          <w:tcPr>
            <w:tcW w:w="1058"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47B7E88"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8.4</w:t>
            </w:r>
            <w:r w:rsidRPr="00AF3A24">
              <w:rPr>
                <w:rFonts w:asciiTheme="minorHAnsi" w:hAnsiTheme="minorHAnsi"/>
                <w:bCs/>
                <w:color w:val="000000"/>
                <w:sz w:val="16"/>
                <w:szCs w:val="16"/>
              </w:rPr>
              <w:br/>
              <w:t>(7.5 - 9.3)</w:t>
            </w:r>
          </w:p>
        </w:tc>
        <w:tc>
          <w:tcPr>
            <w:tcW w:w="708" w:type="dxa"/>
            <w:tcBorders>
              <w:top w:val="single" w:sz="4" w:space="0" w:color="auto"/>
              <w:left w:val="nil"/>
              <w:bottom w:val="single" w:sz="4" w:space="0" w:color="auto"/>
              <w:right w:val="nil"/>
            </w:tcBorders>
            <w:shd w:val="clear" w:color="auto" w:fill="DAEEF3" w:themeFill="accent5" w:themeFillTint="33"/>
            <w:vAlign w:val="center"/>
          </w:tcPr>
          <w:p w14:paraId="00B1E779"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322</w:t>
            </w:r>
          </w:p>
        </w:tc>
        <w:tc>
          <w:tcPr>
            <w:tcW w:w="1058"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409CC0C"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w:t>
            </w:r>
            <w:r w:rsidRPr="00AF3A24">
              <w:rPr>
                <w:rFonts w:asciiTheme="minorHAnsi" w:hAnsiTheme="minorHAnsi"/>
                <w:bCs/>
                <w:color w:val="000000"/>
                <w:sz w:val="16"/>
                <w:szCs w:val="16"/>
              </w:rPr>
              <w:br/>
              <w:t>(4.5 - 6.1)</w:t>
            </w:r>
          </w:p>
        </w:tc>
      </w:tr>
      <w:tr w:rsidR="00907771" w:rsidRPr="00AF3A24" w14:paraId="21D7214F" w14:textId="77777777" w:rsidTr="004C5A21">
        <w:trPr>
          <w:jc w:val="center"/>
        </w:trPr>
        <w:tc>
          <w:tcPr>
            <w:tcW w:w="3227" w:type="dxa"/>
            <w:tcBorders>
              <w:top w:val="single" w:sz="4" w:space="0" w:color="auto"/>
              <w:bottom w:val="nil"/>
            </w:tcBorders>
            <w:shd w:val="clear" w:color="auto" w:fill="DAEEF3" w:themeFill="accent5" w:themeFillTint="33"/>
            <w:vAlign w:val="center"/>
          </w:tcPr>
          <w:p w14:paraId="7701BF8A" w14:textId="77777777" w:rsidR="00907771" w:rsidRPr="00AF3A24" w:rsidRDefault="00907771"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Lotto gamblers</w:t>
            </w:r>
          </w:p>
        </w:tc>
        <w:tc>
          <w:tcPr>
            <w:tcW w:w="714" w:type="dxa"/>
            <w:tcBorders>
              <w:top w:val="single" w:sz="4" w:space="0" w:color="auto"/>
              <w:left w:val="nil"/>
              <w:bottom w:val="nil"/>
              <w:right w:val="nil"/>
            </w:tcBorders>
            <w:shd w:val="clear" w:color="auto" w:fill="DAEEF3" w:themeFill="accent5" w:themeFillTint="33"/>
            <w:vAlign w:val="center"/>
          </w:tcPr>
          <w:p w14:paraId="191E116A" w14:textId="77777777" w:rsidR="00907771" w:rsidRPr="00AF3A24" w:rsidRDefault="00907771"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w:t>
            </w:r>
            <w:r w:rsidR="00073300" w:rsidRPr="00AF3A24">
              <w:rPr>
                <w:rFonts w:asciiTheme="minorHAnsi" w:hAnsiTheme="minorHAnsi"/>
                <w:bCs/>
                <w:color w:val="000000"/>
                <w:sz w:val="16"/>
                <w:szCs w:val="16"/>
              </w:rPr>
              <w:t>,</w:t>
            </w:r>
            <w:r w:rsidRPr="00AF3A24">
              <w:rPr>
                <w:rFonts w:asciiTheme="minorHAnsi" w:hAnsiTheme="minorHAnsi"/>
                <w:bCs/>
                <w:color w:val="000000"/>
                <w:sz w:val="16"/>
                <w:szCs w:val="16"/>
              </w:rPr>
              <w:t>428</w:t>
            </w:r>
          </w:p>
        </w:tc>
        <w:tc>
          <w:tcPr>
            <w:tcW w:w="1058" w:type="dxa"/>
            <w:tcBorders>
              <w:top w:val="single" w:sz="4" w:space="0" w:color="auto"/>
              <w:left w:val="nil"/>
              <w:bottom w:val="nil"/>
              <w:right w:val="single" w:sz="4" w:space="0" w:color="auto"/>
            </w:tcBorders>
            <w:shd w:val="clear" w:color="auto" w:fill="DAEEF3" w:themeFill="accent5" w:themeFillTint="33"/>
            <w:vAlign w:val="center"/>
          </w:tcPr>
          <w:p w14:paraId="318EC1C9"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59.7</w:t>
            </w:r>
            <w:r w:rsidRPr="00A12F1D">
              <w:rPr>
                <w:rFonts w:asciiTheme="minorHAnsi" w:hAnsiTheme="minorHAnsi"/>
                <w:bCs/>
                <w:color w:val="000000"/>
                <w:sz w:val="16"/>
                <w:szCs w:val="16"/>
              </w:rPr>
              <w:br/>
              <w:t>(57.9 - 61.6)</w:t>
            </w:r>
          </w:p>
        </w:tc>
        <w:tc>
          <w:tcPr>
            <w:tcW w:w="714" w:type="dxa"/>
            <w:tcBorders>
              <w:top w:val="single" w:sz="4" w:space="0" w:color="auto"/>
              <w:left w:val="nil"/>
              <w:bottom w:val="nil"/>
              <w:right w:val="nil"/>
            </w:tcBorders>
            <w:shd w:val="clear" w:color="auto" w:fill="DAEEF3" w:themeFill="accent5" w:themeFillTint="33"/>
            <w:vAlign w:val="center"/>
          </w:tcPr>
          <w:p w14:paraId="4CAD114A"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w:t>
            </w:r>
            <w:r w:rsidR="00073300" w:rsidRPr="00A12F1D">
              <w:rPr>
                <w:rFonts w:asciiTheme="minorHAnsi" w:hAnsiTheme="minorHAnsi"/>
                <w:bCs/>
                <w:color w:val="000000"/>
                <w:sz w:val="16"/>
                <w:szCs w:val="16"/>
              </w:rPr>
              <w:t>,</w:t>
            </w:r>
            <w:r w:rsidRPr="00A12F1D">
              <w:rPr>
                <w:rFonts w:asciiTheme="minorHAnsi" w:hAnsiTheme="minorHAnsi"/>
                <w:bCs/>
                <w:color w:val="000000"/>
                <w:sz w:val="16"/>
                <w:szCs w:val="16"/>
              </w:rPr>
              <w:t>425</w:t>
            </w:r>
          </w:p>
        </w:tc>
        <w:tc>
          <w:tcPr>
            <w:tcW w:w="1058" w:type="dxa"/>
            <w:tcBorders>
              <w:top w:val="single" w:sz="4" w:space="0" w:color="auto"/>
              <w:left w:val="nil"/>
              <w:bottom w:val="nil"/>
              <w:right w:val="single" w:sz="4" w:space="0" w:color="auto"/>
            </w:tcBorders>
            <w:shd w:val="clear" w:color="auto" w:fill="DAEEF3" w:themeFill="accent5" w:themeFillTint="33"/>
            <w:vAlign w:val="center"/>
          </w:tcPr>
          <w:p w14:paraId="267D127C"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25.1</w:t>
            </w:r>
            <w:r w:rsidRPr="00A12F1D">
              <w:rPr>
                <w:rFonts w:asciiTheme="minorHAnsi" w:hAnsiTheme="minorHAnsi"/>
                <w:bCs/>
                <w:color w:val="000000"/>
                <w:sz w:val="16"/>
                <w:szCs w:val="16"/>
              </w:rPr>
              <w:br/>
              <w:t>(23.6 - 26.7)</w:t>
            </w:r>
          </w:p>
        </w:tc>
        <w:tc>
          <w:tcPr>
            <w:tcW w:w="708" w:type="dxa"/>
            <w:tcBorders>
              <w:top w:val="single" w:sz="4" w:space="0" w:color="auto"/>
              <w:left w:val="nil"/>
              <w:bottom w:val="nil"/>
              <w:right w:val="nil"/>
            </w:tcBorders>
            <w:shd w:val="clear" w:color="auto" w:fill="DAEEF3" w:themeFill="accent5" w:themeFillTint="33"/>
            <w:vAlign w:val="center"/>
          </w:tcPr>
          <w:p w14:paraId="273AE748"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532</w:t>
            </w:r>
          </w:p>
        </w:tc>
        <w:tc>
          <w:tcPr>
            <w:tcW w:w="1058" w:type="dxa"/>
            <w:tcBorders>
              <w:top w:val="single" w:sz="4" w:space="0" w:color="auto"/>
              <w:left w:val="nil"/>
              <w:bottom w:val="nil"/>
              <w:right w:val="single" w:sz="4" w:space="0" w:color="auto"/>
            </w:tcBorders>
            <w:shd w:val="clear" w:color="auto" w:fill="DAEEF3" w:themeFill="accent5" w:themeFillTint="33"/>
            <w:vAlign w:val="center"/>
          </w:tcPr>
          <w:p w14:paraId="19C76C88"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9.3</w:t>
            </w:r>
            <w:r w:rsidRPr="00A12F1D">
              <w:rPr>
                <w:rFonts w:asciiTheme="minorHAnsi" w:hAnsiTheme="minorHAnsi"/>
                <w:bCs/>
                <w:color w:val="000000"/>
                <w:sz w:val="16"/>
                <w:szCs w:val="16"/>
              </w:rPr>
              <w:br/>
              <w:t>(8.3 - 10.3)</w:t>
            </w:r>
          </w:p>
        </w:tc>
        <w:tc>
          <w:tcPr>
            <w:tcW w:w="708" w:type="dxa"/>
            <w:tcBorders>
              <w:top w:val="single" w:sz="4" w:space="0" w:color="auto"/>
              <w:left w:val="nil"/>
              <w:bottom w:val="nil"/>
              <w:right w:val="nil"/>
            </w:tcBorders>
            <w:shd w:val="clear" w:color="auto" w:fill="DAEEF3" w:themeFill="accent5" w:themeFillTint="33"/>
            <w:vAlign w:val="center"/>
          </w:tcPr>
          <w:p w14:paraId="129B59CD"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308</w:t>
            </w:r>
          </w:p>
        </w:tc>
        <w:tc>
          <w:tcPr>
            <w:tcW w:w="1058" w:type="dxa"/>
            <w:tcBorders>
              <w:top w:val="single" w:sz="4" w:space="0" w:color="auto"/>
              <w:left w:val="nil"/>
              <w:bottom w:val="nil"/>
              <w:right w:val="single" w:sz="4" w:space="0" w:color="auto"/>
            </w:tcBorders>
            <w:shd w:val="clear" w:color="auto" w:fill="DAEEF3" w:themeFill="accent5" w:themeFillTint="33"/>
            <w:vAlign w:val="center"/>
          </w:tcPr>
          <w:p w14:paraId="6CD0D062" w14:textId="77777777" w:rsidR="00907771" w:rsidRPr="00A12F1D" w:rsidRDefault="00907771"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5.9</w:t>
            </w:r>
            <w:r w:rsidRPr="00A12F1D">
              <w:rPr>
                <w:rFonts w:asciiTheme="minorHAnsi" w:hAnsiTheme="minorHAnsi"/>
                <w:bCs/>
                <w:color w:val="000000"/>
                <w:sz w:val="16"/>
                <w:szCs w:val="16"/>
              </w:rPr>
              <w:br/>
              <w:t>(5.0 - 6.7)</w:t>
            </w:r>
          </w:p>
        </w:tc>
      </w:tr>
      <w:tr w:rsidR="00073300" w:rsidRPr="00AF3A24" w14:paraId="55AEAD14" w14:textId="77777777" w:rsidTr="00073300">
        <w:trPr>
          <w:jc w:val="center"/>
        </w:trPr>
        <w:tc>
          <w:tcPr>
            <w:tcW w:w="3227" w:type="dxa"/>
            <w:tcBorders>
              <w:top w:val="nil"/>
              <w:bottom w:val="nil"/>
            </w:tcBorders>
            <w:shd w:val="clear" w:color="auto" w:fill="DAEEF3" w:themeFill="accent5" w:themeFillTint="33"/>
            <w:vAlign w:val="center"/>
          </w:tcPr>
          <w:p w14:paraId="5525A824"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Instant Kiwi (or other scratch ticket) gamblers</w:t>
            </w:r>
          </w:p>
        </w:tc>
        <w:tc>
          <w:tcPr>
            <w:tcW w:w="714" w:type="dxa"/>
            <w:tcBorders>
              <w:top w:val="nil"/>
              <w:left w:val="nil"/>
              <w:bottom w:val="nil"/>
              <w:right w:val="nil"/>
            </w:tcBorders>
            <w:shd w:val="clear" w:color="auto" w:fill="DAEEF3" w:themeFill="accent5" w:themeFillTint="33"/>
            <w:vAlign w:val="center"/>
          </w:tcPr>
          <w:p w14:paraId="20B0621E"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254</w:t>
            </w:r>
          </w:p>
        </w:tc>
        <w:tc>
          <w:tcPr>
            <w:tcW w:w="1058" w:type="dxa"/>
            <w:tcBorders>
              <w:top w:val="nil"/>
              <w:left w:val="nil"/>
              <w:bottom w:val="nil"/>
              <w:right w:val="single" w:sz="4" w:space="0" w:color="auto"/>
            </w:tcBorders>
            <w:shd w:val="clear" w:color="auto" w:fill="DAEEF3" w:themeFill="accent5" w:themeFillTint="33"/>
            <w:vAlign w:val="center"/>
          </w:tcPr>
          <w:p w14:paraId="29B0E819"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16.7</w:t>
            </w:r>
            <w:r w:rsidRPr="00A12F1D">
              <w:rPr>
                <w:rFonts w:asciiTheme="minorHAnsi" w:hAnsiTheme="minorHAnsi"/>
                <w:bCs/>
                <w:color w:val="000000"/>
                <w:sz w:val="16"/>
                <w:szCs w:val="16"/>
              </w:rPr>
              <w:br/>
              <w:t>(14.1 - 19.2)</w:t>
            </w:r>
          </w:p>
        </w:tc>
        <w:tc>
          <w:tcPr>
            <w:tcW w:w="714" w:type="dxa"/>
            <w:tcBorders>
              <w:top w:val="nil"/>
              <w:left w:val="nil"/>
              <w:bottom w:val="nil"/>
              <w:right w:val="nil"/>
            </w:tcBorders>
            <w:shd w:val="clear" w:color="auto" w:fill="DAEEF3" w:themeFill="accent5" w:themeFillTint="33"/>
            <w:vAlign w:val="center"/>
          </w:tcPr>
          <w:p w14:paraId="02C4E0B3"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778</w:t>
            </w:r>
          </w:p>
        </w:tc>
        <w:tc>
          <w:tcPr>
            <w:tcW w:w="1058" w:type="dxa"/>
            <w:tcBorders>
              <w:top w:val="nil"/>
              <w:left w:val="nil"/>
              <w:bottom w:val="nil"/>
              <w:right w:val="single" w:sz="4" w:space="0" w:color="auto"/>
            </w:tcBorders>
            <w:shd w:val="clear" w:color="auto" w:fill="DAEEF3" w:themeFill="accent5" w:themeFillTint="33"/>
            <w:vAlign w:val="center"/>
          </w:tcPr>
          <w:p w14:paraId="55ECEFCB"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45.3</w:t>
            </w:r>
            <w:r w:rsidRPr="00A12F1D">
              <w:rPr>
                <w:rFonts w:asciiTheme="minorHAnsi" w:hAnsiTheme="minorHAnsi"/>
                <w:bCs/>
                <w:color w:val="000000"/>
                <w:sz w:val="16"/>
                <w:szCs w:val="16"/>
              </w:rPr>
              <w:br/>
              <w:t>(42.3 - 48.3)</w:t>
            </w:r>
          </w:p>
        </w:tc>
        <w:tc>
          <w:tcPr>
            <w:tcW w:w="708" w:type="dxa"/>
            <w:tcBorders>
              <w:top w:val="nil"/>
              <w:left w:val="nil"/>
              <w:bottom w:val="nil"/>
              <w:right w:val="nil"/>
            </w:tcBorders>
            <w:shd w:val="clear" w:color="auto" w:fill="DAEEF3" w:themeFill="accent5" w:themeFillTint="33"/>
            <w:vAlign w:val="center"/>
          </w:tcPr>
          <w:p w14:paraId="7DB8247F"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377</w:t>
            </w:r>
          </w:p>
        </w:tc>
        <w:tc>
          <w:tcPr>
            <w:tcW w:w="1058" w:type="dxa"/>
            <w:tcBorders>
              <w:top w:val="nil"/>
              <w:left w:val="nil"/>
              <w:bottom w:val="nil"/>
              <w:right w:val="single" w:sz="4" w:space="0" w:color="auto"/>
            </w:tcBorders>
            <w:shd w:val="clear" w:color="auto" w:fill="DAEEF3" w:themeFill="accent5" w:themeFillTint="33"/>
            <w:vAlign w:val="center"/>
          </w:tcPr>
          <w:p w14:paraId="1C5D269B"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21.4</w:t>
            </w:r>
            <w:r w:rsidRPr="00A12F1D">
              <w:rPr>
                <w:rFonts w:asciiTheme="minorHAnsi" w:hAnsiTheme="minorHAnsi"/>
                <w:bCs/>
                <w:color w:val="000000"/>
                <w:sz w:val="16"/>
                <w:szCs w:val="16"/>
              </w:rPr>
              <w:br/>
              <w:t>(18.8 - 24.1)</w:t>
            </w:r>
          </w:p>
        </w:tc>
        <w:tc>
          <w:tcPr>
            <w:tcW w:w="708" w:type="dxa"/>
            <w:tcBorders>
              <w:top w:val="nil"/>
              <w:left w:val="nil"/>
              <w:bottom w:val="nil"/>
              <w:right w:val="nil"/>
            </w:tcBorders>
            <w:shd w:val="clear" w:color="auto" w:fill="DAEEF3" w:themeFill="accent5" w:themeFillTint="33"/>
            <w:vAlign w:val="center"/>
          </w:tcPr>
          <w:p w14:paraId="3C9ED58F"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268</w:t>
            </w:r>
          </w:p>
        </w:tc>
        <w:tc>
          <w:tcPr>
            <w:tcW w:w="1058" w:type="dxa"/>
            <w:tcBorders>
              <w:top w:val="nil"/>
              <w:left w:val="nil"/>
              <w:bottom w:val="nil"/>
              <w:right w:val="single" w:sz="4" w:space="0" w:color="auto"/>
            </w:tcBorders>
            <w:shd w:val="clear" w:color="auto" w:fill="DAEEF3" w:themeFill="accent5" w:themeFillTint="33"/>
            <w:vAlign w:val="center"/>
          </w:tcPr>
          <w:p w14:paraId="3473B334"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16.6</w:t>
            </w:r>
            <w:r w:rsidRPr="00A12F1D">
              <w:rPr>
                <w:rFonts w:asciiTheme="minorHAnsi" w:hAnsiTheme="minorHAnsi"/>
                <w:bCs/>
                <w:color w:val="000000"/>
                <w:sz w:val="16"/>
                <w:szCs w:val="16"/>
              </w:rPr>
              <w:br/>
              <w:t>(14.2 - 19.1)</w:t>
            </w:r>
          </w:p>
        </w:tc>
      </w:tr>
      <w:tr w:rsidR="00073300" w:rsidRPr="00AF3A24" w14:paraId="26D0C401" w14:textId="77777777" w:rsidTr="00073300">
        <w:trPr>
          <w:jc w:val="center"/>
        </w:trPr>
        <w:tc>
          <w:tcPr>
            <w:tcW w:w="3227" w:type="dxa"/>
            <w:tcBorders>
              <w:top w:val="nil"/>
              <w:bottom w:val="nil"/>
            </w:tcBorders>
            <w:shd w:val="clear" w:color="auto" w:fill="DAEEF3" w:themeFill="accent5" w:themeFillTint="33"/>
            <w:vAlign w:val="center"/>
          </w:tcPr>
          <w:p w14:paraId="2932B447"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non-casino gaming machine gamblers</w:t>
            </w:r>
          </w:p>
        </w:tc>
        <w:tc>
          <w:tcPr>
            <w:tcW w:w="714" w:type="dxa"/>
            <w:tcBorders>
              <w:top w:val="nil"/>
              <w:left w:val="nil"/>
              <w:bottom w:val="nil"/>
              <w:right w:val="nil"/>
            </w:tcBorders>
            <w:shd w:val="clear" w:color="auto" w:fill="DAEEF3" w:themeFill="accent5" w:themeFillTint="33"/>
            <w:vAlign w:val="center"/>
          </w:tcPr>
          <w:p w14:paraId="193AE3BC"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w:t>
            </w:r>
          </w:p>
        </w:tc>
        <w:tc>
          <w:tcPr>
            <w:tcW w:w="1058" w:type="dxa"/>
            <w:tcBorders>
              <w:top w:val="nil"/>
              <w:left w:val="nil"/>
              <w:bottom w:val="nil"/>
              <w:right w:val="single" w:sz="4" w:space="0" w:color="auto"/>
            </w:tcBorders>
            <w:shd w:val="clear" w:color="auto" w:fill="DAEEF3" w:themeFill="accent5" w:themeFillTint="33"/>
            <w:vAlign w:val="center"/>
          </w:tcPr>
          <w:p w14:paraId="033F51E8"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13.1</w:t>
            </w:r>
            <w:r w:rsidRPr="00A12F1D">
              <w:rPr>
                <w:rFonts w:asciiTheme="minorHAnsi" w:hAnsiTheme="minorHAnsi"/>
                <w:bCs/>
                <w:color w:val="000000"/>
                <w:sz w:val="16"/>
                <w:szCs w:val="16"/>
              </w:rPr>
              <w:br/>
              <w:t>(9.8 - 16.4)</w:t>
            </w:r>
          </w:p>
        </w:tc>
        <w:tc>
          <w:tcPr>
            <w:tcW w:w="714" w:type="dxa"/>
            <w:tcBorders>
              <w:top w:val="nil"/>
              <w:left w:val="nil"/>
              <w:bottom w:val="nil"/>
              <w:right w:val="nil"/>
            </w:tcBorders>
            <w:shd w:val="clear" w:color="auto" w:fill="DAEEF3" w:themeFill="accent5" w:themeFillTint="33"/>
            <w:vAlign w:val="center"/>
          </w:tcPr>
          <w:p w14:paraId="2F35E402"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224</w:t>
            </w:r>
          </w:p>
        </w:tc>
        <w:tc>
          <w:tcPr>
            <w:tcW w:w="1058" w:type="dxa"/>
            <w:tcBorders>
              <w:top w:val="nil"/>
              <w:left w:val="nil"/>
              <w:bottom w:val="nil"/>
              <w:right w:val="single" w:sz="4" w:space="0" w:color="auto"/>
            </w:tcBorders>
            <w:shd w:val="clear" w:color="auto" w:fill="DAEEF3" w:themeFill="accent5" w:themeFillTint="33"/>
            <w:vAlign w:val="center"/>
          </w:tcPr>
          <w:p w14:paraId="4178F972"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28.8</w:t>
            </w:r>
            <w:r w:rsidRPr="00A12F1D">
              <w:rPr>
                <w:rFonts w:asciiTheme="minorHAnsi" w:hAnsiTheme="minorHAnsi"/>
                <w:bCs/>
                <w:color w:val="000000"/>
                <w:sz w:val="16"/>
                <w:szCs w:val="16"/>
              </w:rPr>
              <w:br/>
              <w:t>(24.6 - 33.1)</w:t>
            </w:r>
          </w:p>
        </w:tc>
        <w:tc>
          <w:tcPr>
            <w:tcW w:w="708" w:type="dxa"/>
            <w:tcBorders>
              <w:top w:val="nil"/>
              <w:left w:val="nil"/>
              <w:bottom w:val="nil"/>
              <w:right w:val="nil"/>
            </w:tcBorders>
            <w:shd w:val="clear" w:color="auto" w:fill="DAEEF3" w:themeFill="accent5" w:themeFillTint="33"/>
            <w:vAlign w:val="center"/>
          </w:tcPr>
          <w:p w14:paraId="5906574A"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246</w:t>
            </w:r>
          </w:p>
        </w:tc>
        <w:tc>
          <w:tcPr>
            <w:tcW w:w="1058" w:type="dxa"/>
            <w:tcBorders>
              <w:top w:val="nil"/>
              <w:left w:val="nil"/>
              <w:bottom w:val="nil"/>
              <w:right w:val="single" w:sz="4" w:space="0" w:color="auto"/>
            </w:tcBorders>
            <w:shd w:val="clear" w:color="auto" w:fill="DAEEF3" w:themeFill="accent5" w:themeFillTint="33"/>
            <w:vAlign w:val="center"/>
          </w:tcPr>
          <w:p w14:paraId="634F99A8"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28.9</w:t>
            </w:r>
            <w:r w:rsidRPr="00A12F1D">
              <w:rPr>
                <w:rFonts w:asciiTheme="minorHAnsi" w:hAnsiTheme="minorHAnsi"/>
                <w:bCs/>
                <w:color w:val="000000"/>
                <w:sz w:val="16"/>
                <w:szCs w:val="16"/>
              </w:rPr>
              <w:br/>
              <w:t>(25.0 - 32.8)</w:t>
            </w:r>
          </w:p>
        </w:tc>
        <w:tc>
          <w:tcPr>
            <w:tcW w:w="708" w:type="dxa"/>
            <w:tcBorders>
              <w:top w:val="nil"/>
              <w:left w:val="nil"/>
              <w:bottom w:val="nil"/>
              <w:right w:val="nil"/>
            </w:tcBorders>
            <w:shd w:val="clear" w:color="auto" w:fill="DAEEF3" w:themeFill="accent5" w:themeFillTint="33"/>
            <w:vAlign w:val="center"/>
          </w:tcPr>
          <w:p w14:paraId="7FC6B1D2"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225</w:t>
            </w:r>
          </w:p>
        </w:tc>
        <w:tc>
          <w:tcPr>
            <w:tcW w:w="1058" w:type="dxa"/>
            <w:tcBorders>
              <w:top w:val="nil"/>
              <w:left w:val="nil"/>
              <w:bottom w:val="nil"/>
              <w:right w:val="single" w:sz="4" w:space="0" w:color="auto"/>
            </w:tcBorders>
            <w:shd w:val="clear" w:color="auto" w:fill="DAEEF3" w:themeFill="accent5" w:themeFillTint="33"/>
            <w:vAlign w:val="center"/>
          </w:tcPr>
          <w:p w14:paraId="04A0C5CC"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29.2</w:t>
            </w:r>
            <w:r w:rsidRPr="00A12F1D">
              <w:rPr>
                <w:rFonts w:asciiTheme="minorHAnsi" w:hAnsiTheme="minorHAnsi"/>
                <w:bCs/>
                <w:color w:val="000000"/>
                <w:sz w:val="16"/>
                <w:szCs w:val="16"/>
              </w:rPr>
              <w:br/>
              <w:t>(24.8 - 33.5)</w:t>
            </w:r>
          </w:p>
        </w:tc>
      </w:tr>
      <w:tr w:rsidR="00073300" w:rsidRPr="00AF3A24" w14:paraId="6A92C40A" w14:textId="77777777" w:rsidTr="00073300">
        <w:trPr>
          <w:jc w:val="center"/>
        </w:trPr>
        <w:tc>
          <w:tcPr>
            <w:tcW w:w="3227" w:type="dxa"/>
            <w:tcBorders>
              <w:top w:val="nil"/>
              <w:bottom w:val="nil"/>
            </w:tcBorders>
            <w:shd w:val="clear" w:color="auto" w:fill="DAEEF3" w:themeFill="accent5" w:themeFillTint="33"/>
            <w:vAlign w:val="center"/>
          </w:tcPr>
          <w:p w14:paraId="31FC2A3D"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track gamblers</w:t>
            </w:r>
          </w:p>
        </w:tc>
        <w:tc>
          <w:tcPr>
            <w:tcW w:w="714" w:type="dxa"/>
            <w:tcBorders>
              <w:top w:val="nil"/>
              <w:left w:val="nil"/>
              <w:bottom w:val="nil"/>
              <w:right w:val="nil"/>
            </w:tcBorders>
            <w:shd w:val="clear" w:color="auto" w:fill="DAEEF3" w:themeFill="accent5" w:themeFillTint="33"/>
            <w:vAlign w:val="center"/>
          </w:tcPr>
          <w:p w14:paraId="31ED31C4"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w:t>
            </w:r>
          </w:p>
        </w:tc>
        <w:tc>
          <w:tcPr>
            <w:tcW w:w="1058" w:type="dxa"/>
            <w:tcBorders>
              <w:top w:val="nil"/>
              <w:left w:val="nil"/>
              <w:bottom w:val="nil"/>
              <w:right w:val="single" w:sz="4" w:space="0" w:color="auto"/>
            </w:tcBorders>
            <w:shd w:val="clear" w:color="auto" w:fill="DAEEF3" w:themeFill="accent5" w:themeFillTint="33"/>
            <w:vAlign w:val="center"/>
          </w:tcPr>
          <w:p w14:paraId="739AEA3E"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16.2</w:t>
            </w:r>
            <w:r w:rsidRPr="00A12F1D">
              <w:rPr>
                <w:rFonts w:asciiTheme="minorHAnsi" w:hAnsiTheme="minorHAnsi"/>
                <w:bCs/>
                <w:color w:val="000000"/>
                <w:sz w:val="16"/>
                <w:szCs w:val="16"/>
              </w:rPr>
              <w:br/>
              <w:t>(12.5 - 19.9)</w:t>
            </w:r>
          </w:p>
        </w:tc>
        <w:tc>
          <w:tcPr>
            <w:tcW w:w="714" w:type="dxa"/>
            <w:tcBorders>
              <w:top w:val="nil"/>
              <w:left w:val="nil"/>
              <w:bottom w:val="nil"/>
              <w:right w:val="nil"/>
            </w:tcBorders>
            <w:shd w:val="clear" w:color="auto" w:fill="DAEEF3" w:themeFill="accent5" w:themeFillTint="33"/>
            <w:vAlign w:val="center"/>
          </w:tcPr>
          <w:p w14:paraId="191935A7"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259</w:t>
            </w:r>
          </w:p>
        </w:tc>
        <w:tc>
          <w:tcPr>
            <w:tcW w:w="1058" w:type="dxa"/>
            <w:tcBorders>
              <w:top w:val="nil"/>
              <w:left w:val="nil"/>
              <w:bottom w:val="nil"/>
              <w:right w:val="single" w:sz="4" w:space="0" w:color="auto"/>
            </w:tcBorders>
            <w:shd w:val="clear" w:color="auto" w:fill="DAEEF3" w:themeFill="accent5" w:themeFillTint="33"/>
            <w:vAlign w:val="center"/>
          </w:tcPr>
          <w:p w14:paraId="772BF525"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33.1</w:t>
            </w:r>
            <w:r w:rsidRPr="00A12F1D">
              <w:rPr>
                <w:rFonts w:asciiTheme="minorHAnsi" w:hAnsiTheme="minorHAnsi"/>
                <w:bCs/>
                <w:color w:val="000000"/>
                <w:sz w:val="16"/>
                <w:szCs w:val="16"/>
              </w:rPr>
              <w:br/>
              <w:t>(28.7 - 37.5)</w:t>
            </w:r>
          </w:p>
        </w:tc>
        <w:tc>
          <w:tcPr>
            <w:tcW w:w="708" w:type="dxa"/>
            <w:tcBorders>
              <w:top w:val="nil"/>
              <w:left w:val="nil"/>
              <w:bottom w:val="nil"/>
              <w:right w:val="nil"/>
            </w:tcBorders>
            <w:shd w:val="clear" w:color="auto" w:fill="DAEEF3" w:themeFill="accent5" w:themeFillTint="33"/>
            <w:vAlign w:val="center"/>
          </w:tcPr>
          <w:p w14:paraId="6C689675"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178</w:t>
            </w:r>
          </w:p>
        </w:tc>
        <w:tc>
          <w:tcPr>
            <w:tcW w:w="1058" w:type="dxa"/>
            <w:tcBorders>
              <w:top w:val="nil"/>
              <w:left w:val="nil"/>
              <w:bottom w:val="nil"/>
              <w:right w:val="single" w:sz="4" w:space="0" w:color="auto"/>
            </w:tcBorders>
            <w:shd w:val="clear" w:color="auto" w:fill="DAEEF3" w:themeFill="accent5" w:themeFillTint="33"/>
            <w:vAlign w:val="center"/>
          </w:tcPr>
          <w:p w14:paraId="0360F6D3"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24.6</w:t>
            </w:r>
            <w:r w:rsidRPr="00A12F1D">
              <w:rPr>
                <w:rFonts w:asciiTheme="minorHAnsi" w:hAnsiTheme="minorHAnsi"/>
                <w:bCs/>
                <w:color w:val="000000"/>
                <w:sz w:val="16"/>
                <w:szCs w:val="16"/>
              </w:rPr>
              <w:br/>
              <w:t>(20.5 - 28.7)</w:t>
            </w:r>
          </w:p>
        </w:tc>
        <w:tc>
          <w:tcPr>
            <w:tcW w:w="708" w:type="dxa"/>
            <w:tcBorders>
              <w:top w:val="nil"/>
              <w:left w:val="nil"/>
              <w:bottom w:val="nil"/>
              <w:right w:val="nil"/>
            </w:tcBorders>
            <w:shd w:val="clear" w:color="auto" w:fill="DAEEF3" w:themeFill="accent5" w:themeFillTint="33"/>
            <w:vAlign w:val="center"/>
          </w:tcPr>
          <w:p w14:paraId="39E9BAEB"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184</w:t>
            </w:r>
          </w:p>
        </w:tc>
        <w:tc>
          <w:tcPr>
            <w:tcW w:w="1058" w:type="dxa"/>
            <w:tcBorders>
              <w:top w:val="nil"/>
              <w:left w:val="nil"/>
              <w:bottom w:val="nil"/>
              <w:right w:val="single" w:sz="4" w:space="0" w:color="auto"/>
            </w:tcBorders>
            <w:shd w:val="clear" w:color="auto" w:fill="DAEEF3" w:themeFill="accent5" w:themeFillTint="33"/>
            <w:vAlign w:val="center"/>
          </w:tcPr>
          <w:p w14:paraId="56B4A109"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26.1</w:t>
            </w:r>
            <w:r w:rsidRPr="00A12F1D">
              <w:rPr>
                <w:rFonts w:asciiTheme="minorHAnsi" w:hAnsiTheme="minorHAnsi"/>
                <w:bCs/>
                <w:color w:val="000000"/>
                <w:sz w:val="16"/>
                <w:szCs w:val="16"/>
              </w:rPr>
              <w:br/>
              <w:t>(21.8 - 30.5)</w:t>
            </w:r>
          </w:p>
        </w:tc>
      </w:tr>
      <w:tr w:rsidR="00073300" w:rsidRPr="00AF3A24" w14:paraId="7C7F69BC" w14:textId="77777777" w:rsidTr="00073300">
        <w:trPr>
          <w:jc w:val="center"/>
        </w:trPr>
        <w:tc>
          <w:tcPr>
            <w:tcW w:w="3227" w:type="dxa"/>
            <w:tcBorders>
              <w:top w:val="nil"/>
              <w:bottom w:val="nil"/>
            </w:tcBorders>
            <w:shd w:val="clear" w:color="auto" w:fill="DAEEF3" w:themeFill="accent5" w:themeFillTint="33"/>
            <w:vAlign w:val="center"/>
          </w:tcPr>
          <w:p w14:paraId="1B779172"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casino gaming machine gamblers</w:t>
            </w:r>
          </w:p>
        </w:tc>
        <w:tc>
          <w:tcPr>
            <w:tcW w:w="714" w:type="dxa"/>
            <w:tcBorders>
              <w:top w:val="nil"/>
              <w:left w:val="nil"/>
              <w:bottom w:val="nil"/>
              <w:right w:val="nil"/>
            </w:tcBorders>
            <w:shd w:val="clear" w:color="auto" w:fill="DAEEF3" w:themeFill="accent5" w:themeFillTint="33"/>
            <w:vAlign w:val="center"/>
          </w:tcPr>
          <w:p w14:paraId="551385C6"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w:t>
            </w:r>
          </w:p>
        </w:tc>
        <w:tc>
          <w:tcPr>
            <w:tcW w:w="1058" w:type="dxa"/>
            <w:tcBorders>
              <w:top w:val="nil"/>
              <w:left w:val="nil"/>
              <w:bottom w:val="nil"/>
              <w:right w:val="single" w:sz="4" w:space="0" w:color="auto"/>
            </w:tcBorders>
            <w:shd w:val="clear" w:color="auto" w:fill="DAEEF3" w:themeFill="accent5" w:themeFillTint="33"/>
            <w:vAlign w:val="center"/>
          </w:tcPr>
          <w:p w14:paraId="68FFE215"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14.6</w:t>
            </w:r>
            <w:r w:rsidRPr="00A12F1D">
              <w:rPr>
                <w:rFonts w:asciiTheme="minorHAnsi" w:hAnsiTheme="minorHAnsi"/>
                <w:bCs/>
                <w:color w:val="000000"/>
                <w:sz w:val="16"/>
                <w:szCs w:val="16"/>
              </w:rPr>
              <w:br/>
              <w:t>(10.3 - 19.0)</w:t>
            </w:r>
          </w:p>
        </w:tc>
        <w:tc>
          <w:tcPr>
            <w:tcW w:w="714" w:type="dxa"/>
            <w:tcBorders>
              <w:top w:val="nil"/>
              <w:left w:val="nil"/>
              <w:bottom w:val="nil"/>
              <w:right w:val="nil"/>
            </w:tcBorders>
            <w:shd w:val="clear" w:color="auto" w:fill="DAEEF3" w:themeFill="accent5" w:themeFillTint="33"/>
            <w:vAlign w:val="center"/>
          </w:tcPr>
          <w:p w14:paraId="3B9121B6"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141</w:t>
            </w:r>
          </w:p>
        </w:tc>
        <w:tc>
          <w:tcPr>
            <w:tcW w:w="1058" w:type="dxa"/>
            <w:tcBorders>
              <w:top w:val="nil"/>
              <w:left w:val="nil"/>
              <w:bottom w:val="nil"/>
              <w:right w:val="single" w:sz="4" w:space="0" w:color="auto"/>
            </w:tcBorders>
            <w:shd w:val="clear" w:color="auto" w:fill="DAEEF3" w:themeFill="accent5" w:themeFillTint="33"/>
            <w:vAlign w:val="center"/>
          </w:tcPr>
          <w:p w14:paraId="49C7140A"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28.2</w:t>
            </w:r>
            <w:r w:rsidRPr="00A12F1D">
              <w:rPr>
                <w:rFonts w:asciiTheme="minorHAnsi" w:hAnsiTheme="minorHAnsi"/>
                <w:bCs/>
                <w:color w:val="000000"/>
                <w:sz w:val="16"/>
                <w:szCs w:val="16"/>
              </w:rPr>
              <w:br/>
              <w:t>(23.2 - 33.3)</w:t>
            </w:r>
          </w:p>
        </w:tc>
        <w:tc>
          <w:tcPr>
            <w:tcW w:w="708" w:type="dxa"/>
            <w:tcBorders>
              <w:top w:val="nil"/>
              <w:left w:val="nil"/>
              <w:bottom w:val="nil"/>
              <w:right w:val="nil"/>
            </w:tcBorders>
            <w:shd w:val="clear" w:color="auto" w:fill="DAEEF3" w:themeFill="accent5" w:themeFillTint="33"/>
            <w:vAlign w:val="center"/>
          </w:tcPr>
          <w:p w14:paraId="7558A410"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120</w:t>
            </w:r>
          </w:p>
        </w:tc>
        <w:tc>
          <w:tcPr>
            <w:tcW w:w="1058" w:type="dxa"/>
            <w:tcBorders>
              <w:top w:val="nil"/>
              <w:left w:val="nil"/>
              <w:bottom w:val="nil"/>
              <w:right w:val="single" w:sz="4" w:space="0" w:color="auto"/>
            </w:tcBorders>
            <w:shd w:val="clear" w:color="auto" w:fill="DAEEF3" w:themeFill="accent5" w:themeFillTint="33"/>
            <w:vAlign w:val="center"/>
          </w:tcPr>
          <w:p w14:paraId="649AF13F"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24.0</w:t>
            </w:r>
            <w:r w:rsidRPr="00A12F1D">
              <w:rPr>
                <w:rFonts w:asciiTheme="minorHAnsi" w:hAnsiTheme="minorHAnsi"/>
                <w:bCs/>
                <w:color w:val="000000"/>
                <w:sz w:val="16"/>
                <w:szCs w:val="16"/>
              </w:rPr>
              <w:br/>
              <w:t>(19.5 - 28.6)</w:t>
            </w:r>
          </w:p>
        </w:tc>
        <w:tc>
          <w:tcPr>
            <w:tcW w:w="708" w:type="dxa"/>
            <w:tcBorders>
              <w:top w:val="nil"/>
              <w:left w:val="nil"/>
              <w:bottom w:val="nil"/>
              <w:right w:val="nil"/>
            </w:tcBorders>
            <w:shd w:val="clear" w:color="auto" w:fill="DAEEF3" w:themeFill="accent5" w:themeFillTint="33"/>
            <w:vAlign w:val="center"/>
          </w:tcPr>
          <w:p w14:paraId="2725EC68"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158</w:t>
            </w:r>
          </w:p>
        </w:tc>
        <w:tc>
          <w:tcPr>
            <w:tcW w:w="1058" w:type="dxa"/>
            <w:tcBorders>
              <w:top w:val="nil"/>
              <w:left w:val="nil"/>
              <w:bottom w:val="nil"/>
              <w:right w:val="single" w:sz="4" w:space="0" w:color="auto"/>
            </w:tcBorders>
            <w:shd w:val="clear" w:color="auto" w:fill="DAEEF3" w:themeFill="accent5" w:themeFillTint="33"/>
            <w:vAlign w:val="center"/>
          </w:tcPr>
          <w:p w14:paraId="74EB288C"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33.1</w:t>
            </w:r>
            <w:r w:rsidRPr="00A12F1D">
              <w:rPr>
                <w:rFonts w:asciiTheme="minorHAnsi" w:hAnsiTheme="minorHAnsi"/>
                <w:bCs/>
                <w:color w:val="000000"/>
                <w:sz w:val="16"/>
                <w:szCs w:val="16"/>
              </w:rPr>
              <w:br/>
              <w:t>(27.5 - 38.7)</w:t>
            </w:r>
          </w:p>
        </w:tc>
      </w:tr>
      <w:tr w:rsidR="00073300" w:rsidRPr="00AF3A24" w14:paraId="32456ABF" w14:textId="77777777" w:rsidTr="00073300">
        <w:trPr>
          <w:jc w:val="center"/>
        </w:trPr>
        <w:tc>
          <w:tcPr>
            <w:tcW w:w="3227" w:type="dxa"/>
            <w:tcBorders>
              <w:top w:val="nil"/>
              <w:bottom w:val="nil"/>
            </w:tcBorders>
            <w:shd w:val="clear" w:color="auto" w:fill="DAEEF3" w:themeFill="accent5" w:themeFillTint="33"/>
            <w:vAlign w:val="center"/>
          </w:tcPr>
          <w:p w14:paraId="3F083A46"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sports betting gamblers</w:t>
            </w:r>
          </w:p>
        </w:tc>
        <w:tc>
          <w:tcPr>
            <w:tcW w:w="714" w:type="dxa"/>
            <w:tcBorders>
              <w:top w:val="nil"/>
              <w:left w:val="nil"/>
              <w:bottom w:val="nil"/>
              <w:right w:val="nil"/>
            </w:tcBorders>
            <w:shd w:val="clear" w:color="auto" w:fill="DAEEF3" w:themeFill="accent5" w:themeFillTint="33"/>
            <w:vAlign w:val="center"/>
          </w:tcPr>
          <w:p w14:paraId="39B05557"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p>
        </w:tc>
        <w:tc>
          <w:tcPr>
            <w:tcW w:w="1058" w:type="dxa"/>
            <w:tcBorders>
              <w:top w:val="nil"/>
              <w:left w:val="nil"/>
              <w:bottom w:val="nil"/>
              <w:right w:val="single" w:sz="4" w:space="0" w:color="auto"/>
            </w:tcBorders>
            <w:shd w:val="clear" w:color="auto" w:fill="DAEEF3" w:themeFill="accent5" w:themeFillTint="33"/>
            <w:vAlign w:val="center"/>
          </w:tcPr>
          <w:p w14:paraId="3CC6B024"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10.7</w:t>
            </w:r>
            <w:r w:rsidRPr="00A12F1D">
              <w:rPr>
                <w:rFonts w:asciiTheme="minorHAnsi" w:hAnsiTheme="minorHAnsi"/>
                <w:bCs/>
                <w:color w:val="000000"/>
                <w:sz w:val="16"/>
                <w:szCs w:val="16"/>
              </w:rPr>
              <w:br/>
              <w:t>(6.0 - 15.3)</w:t>
            </w:r>
          </w:p>
        </w:tc>
        <w:tc>
          <w:tcPr>
            <w:tcW w:w="714" w:type="dxa"/>
            <w:tcBorders>
              <w:top w:val="nil"/>
              <w:left w:val="nil"/>
              <w:bottom w:val="nil"/>
              <w:right w:val="nil"/>
            </w:tcBorders>
            <w:shd w:val="clear" w:color="auto" w:fill="DAEEF3" w:themeFill="accent5" w:themeFillTint="33"/>
            <w:vAlign w:val="center"/>
          </w:tcPr>
          <w:p w14:paraId="2D601E22"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78</w:t>
            </w:r>
          </w:p>
        </w:tc>
        <w:tc>
          <w:tcPr>
            <w:tcW w:w="1058" w:type="dxa"/>
            <w:tcBorders>
              <w:top w:val="nil"/>
              <w:left w:val="nil"/>
              <w:bottom w:val="nil"/>
              <w:right w:val="single" w:sz="4" w:space="0" w:color="auto"/>
            </w:tcBorders>
            <w:shd w:val="clear" w:color="auto" w:fill="DAEEF3" w:themeFill="accent5" w:themeFillTint="33"/>
            <w:vAlign w:val="center"/>
          </w:tcPr>
          <w:p w14:paraId="5B70DC03"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25.6</w:t>
            </w:r>
            <w:r w:rsidRPr="00A12F1D">
              <w:rPr>
                <w:rFonts w:asciiTheme="minorHAnsi" w:hAnsiTheme="minorHAnsi"/>
                <w:bCs/>
                <w:color w:val="000000"/>
                <w:sz w:val="16"/>
                <w:szCs w:val="16"/>
              </w:rPr>
              <w:br/>
              <w:t>(19.7 - 31.6)</w:t>
            </w:r>
          </w:p>
        </w:tc>
        <w:tc>
          <w:tcPr>
            <w:tcW w:w="708" w:type="dxa"/>
            <w:tcBorders>
              <w:top w:val="nil"/>
              <w:left w:val="nil"/>
              <w:bottom w:val="nil"/>
              <w:right w:val="nil"/>
            </w:tcBorders>
            <w:shd w:val="clear" w:color="auto" w:fill="DAEEF3" w:themeFill="accent5" w:themeFillTint="33"/>
            <w:vAlign w:val="center"/>
          </w:tcPr>
          <w:p w14:paraId="13B53AE1"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66</w:t>
            </w:r>
          </w:p>
        </w:tc>
        <w:tc>
          <w:tcPr>
            <w:tcW w:w="1058" w:type="dxa"/>
            <w:tcBorders>
              <w:top w:val="nil"/>
              <w:left w:val="nil"/>
              <w:bottom w:val="nil"/>
              <w:right w:val="single" w:sz="4" w:space="0" w:color="auto"/>
            </w:tcBorders>
            <w:shd w:val="clear" w:color="auto" w:fill="DAEEF3" w:themeFill="accent5" w:themeFillTint="33"/>
            <w:vAlign w:val="center"/>
          </w:tcPr>
          <w:p w14:paraId="2AA090C6"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24.2</w:t>
            </w:r>
            <w:r w:rsidRPr="00A12F1D">
              <w:rPr>
                <w:rFonts w:asciiTheme="minorHAnsi" w:hAnsiTheme="minorHAnsi"/>
                <w:bCs/>
                <w:color w:val="000000"/>
                <w:sz w:val="16"/>
                <w:szCs w:val="16"/>
              </w:rPr>
              <w:br/>
              <w:t>(17.5 - 30.8)</w:t>
            </w:r>
          </w:p>
        </w:tc>
        <w:tc>
          <w:tcPr>
            <w:tcW w:w="708" w:type="dxa"/>
            <w:tcBorders>
              <w:top w:val="nil"/>
              <w:left w:val="nil"/>
              <w:bottom w:val="nil"/>
              <w:right w:val="nil"/>
            </w:tcBorders>
            <w:shd w:val="clear" w:color="auto" w:fill="DAEEF3" w:themeFill="accent5" w:themeFillTint="33"/>
            <w:vAlign w:val="center"/>
          </w:tcPr>
          <w:p w14:paraId="6CDEB6E5"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102</w:t>
            </w:r>
          </w:p>
        </w:tc>
        <w:tc>
          <w:tcPr>
            <w:tcW w:w="1058" w:type="dxa"/>
            <w:tcBorders>
              <w:top w:val="nil"/>
              <w:left w:val="nil"/>
              <w:bottom w:val="nil"/>
              <w:right w:val="single" w:sz="4" w:space="0" w:color="auto"/>
            </w:tcBorders>
            <w:shd w:val="clear" w:color="auto" w:fill="DAEEF3" w:themeFill="accent5" w:themeFillTint="33"/>
            <w:vAlign w:val="center"/>
          </w:tcPr>
          <w:p w14:paraId="371B6D85" w14:textId="77777777" w:rsidR="00073300" w:rsidRPr="00A12F1D"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39.6</w:t>
            </w:r>
            <w:r w:rsidRPr="00A12F1D">
              <w:rPr>
                <w:rFonts w:asciiTheme="minorHAnsi" w:hAnsiTheme="minorHAnsi"/>
                <w:bCs/>
                <w:color w:val="000000"/>
                <w:sz w:val="16"/>
                <w:szCs w:val="16"/>
              </w:rPr>
              <w:br/>
              <w:t>(31.9 - 47.2)</w:t>
            </w:r>
          </w:p>
        </w:tc>
      </w:tr>
      <w:tr w:rsidR="00073300" w:rsidRPr="00AF3A24" w14:paraId="37BD9D08" w14:textId="77777777" w:rsidTr="00073300">
        <w:trPr>
          <w:jc w:val="center"/>
        </w:trPr>
        <w:tc>
          <w:tcPr>
            <w:tcW w:w="3227" w:type="dxa"/>
            <w:tcBorders>
              <w:top w:val="nil"/>
              <w:bottom w:val="nil"/>
            </w:tcBorders>
            <w:shd w:val="clear" w:color="auto" w:fill="DAEEF3" w:themeFill="accent5" w:themeFillTint="33"/>
            <w:vAlign w:val="center"/>
          </w:tcPr>
          <w:p w14:paraId="2C1CFCA7" w14:textId="77777777" w:rsidR="00073300" w:rsidRPr="00AF3A24" w:rsidRDefault="00073300"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casino table gamblers</w:t>
            </w:r>
          </w:p>
        </w:tc>
        <w:tc>
          <w:tcPr>
            <w:tcW w:w="714" w:type="dxa"/>
            <w:tcBorders>
              <w:top w:val="nil"/>
              <w:left w:val="nil"/>
              <w:bottom w:val="nil"/>
              <w:right w:val="nil"/>
            </w:tcBorders>
            <w:shd w:val="clear" w:color="auto" w:fill="DAEEF3" w:themeFill="accent5" w:themeFillTint="33"/>
            <w:vAlign w:val="center"/>
          </w:tcPr>
          <w:p w14:paraId="6F154F48" w14:textId="77777777" w:rsidR="00073300" w:rsidRPr="00980823" w:rsidRDefault="00980823" w:rsidP="00073300">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1F8F7B56" w14:textId="77777777" w:rsidR="00073300" w:rsidRPr="00980823" w:rsidRDefault="00980823" w:rsidP="00073300">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14" w:type="dxa"/>
            <w:tcBorders>
              <w:top w:val="nil"/>
              <w:left w:val="nil"/>
              <w:bottom w:val="nil"/>
              <w:right w:val="nil"/>
            </w:tcBorders>
            <w:shd w:val="clear" w:color="auto" w:fill="DAEEF3" w:themeFill="accent5" w:themeFillTint="33"/>
            <w:vAlign w:val="center"/>
          </w:tcPr>
          <w:p w14:paraId="5E7B6795"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tc>
        <w:tc>
          <w:tcPr>
            <w:tcW w:w="1058" w:type="dxa"/>
            <w:tcBorders>
              <w:top w:val="nil"/>
              <w:left w:val="nil"/>
              <w:bottom w:val="nil"/>
              <w:right w:val="single" w:sz="4" w:space="0" w:color="auto"/>
            </w:tcBorders>
            <w:shd w:val="clear" w:color="auto" w:fill="DAEEF3" w:themeFill="accent5" w:themeFillTint="33"/>
            <w:vAlign w:val="center"/>
          </w:tcPr>
          <w:p w14:paraId="3F41BB10"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18.7</w:t>
            </w:r>
            <w:r w:rsidRPr="00AF3A24">
              <w:rPr>
                <w:rFonts w:asciiTheme="minorHAnsi" w:hAnsiTheme="minorHAnsi"/>
                <w:bCs/>
                <w:color w:val="000000"/>
                <w:sz w:val="16"/>
                <w:szCs w:val="16"/>
              </w:rPr>
              <w:br/>
              <w:t>(11.8 - 25.5)</w:t>
            </w:r>
          </w:p>
        </w:tc>
        <w:tc>
          <w:tcPr>
            <w:tcW w:w="708" w:type="dxa"/>
            <w:tcBorders>
              <w:top w:val="nil"/>
              <w:left w:val="nil"/>
              <w:bottom w:val="nil"/>
              <w:right w:val="nil"/>
            </w:tcBorders>
            <w:shd w:val="clear" w:color="auto" w:fill="DAEEF3" w:themeFill="accent5" w:themeFillTint="33"/>
            <w:vAlign w:val="center"/>
          </w:tcPr>
          <w:p w14:paraId="57B218EC"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p>
        </w:tc>
        <w:tc>
          <w:tcPr>
            <w:tcW w:w="1058" w:type="dxa"/>
            <w:tcBorders>
              <w:top w:val="nil"/>
              <w:left w:val="nil"/>
              <w:bottom w:val="nil"/>
              <w:right w:val="single" w:sz="4" w:space="0" w:color="auto"/>
            </w:tcBorders>
            <w:shd w:val="clear" w:color="auto" w:fill="DAEEF3" w:themeFill="accent5" w:themeFillTint="33"/>
            <w:vAlign w:val="center"/>
          </w:tcPr>
          <w:p w14:paraId="6672F3D8"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28.6</w:t>
            </w:r>
            <w:r w:rsidRPr="00AF3A24">
              <w:rPr>
                <w:rFonts w:asciiTheme="minorHAnsi" w:hAnsiTheme="minorHAnsi"/>
                <w:bCs/>
                <w:color w:val="000000"/>
                <w:sz w:val="16"/>
                <w:szCs w:val="16"/>
              </w:rPr>
              <w:br/>
              <w:t>(20.7 - 36.5)</w:t>
            </w:r>
          </w:p>
        </w:tc>
        <w:tc>
          <w:tcPr>
            <w:tcW w:w="708" w:type="dxa"/>
            <w:tcBorders>
              <w:top w:val="nil"/>
              <w:left w:val="nil"/>
              <w:bottom w:val="nil"/>
              <w:right w:val="nil"/>
            </w:tcBorders>
            <w:shd w:val="clear" w:color="auto" w:fill="DAEEF3" w:themeFill="accent5" w:themeFillTint="33"/>
            <w:vAlign w:val="center"/>
          </w:tcPr>
          <w:p w14:paraId="630184B3" w14:textId="77777777" w:rsidR="00073300" w:rsidRPr="00AF3A24" w:rsidRDefault="00073300"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74</w:t>
            </w:r>
          </w:p>
        </w:tc>
        <w:tc>
          <w:tcPr>
            <w:tcW w:w="1058" w:type="dxa"/>
            <w:tcBorders>
              <w:top w:val="nil"/>
              <w:left w:val="nil"/>
              <w:bottom w:val="nil"/>
              <w:right w:val="single" w:sz="4" w:space="0" w:color="auto"/>
            </w:tcBorders>
            <w:shd w:val="clear" w:color="auto" w:fill="DAEEF3" w:themeFill="accent5" w:themeFillTint="33"/>
            <w:vAlign w:val="center"/>
          </w:tcPr>
          <w:p w14:paraId="4C4CC20F" w14:textId="77777777" w:rsidR="00073300" w:rsidRPr="00AF3A24" w:rsidRDefault="00073300"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40.1</w:t>
            </w:r>
            <w:r w:rsidRPr="00AF3A24">
              <w:rPr>
                <w:rFonts w:asciiTheme="minorHAnsi" w:hAnsiTheme="minorHAnsi"/>
                <w:bCs/>
                <w:color w:val="000000"/>
                <w:sz w:val="16"/>
                <w:szCs w:val="16"/>
              </w:rPr>
              <w:br/>
              <w:t>(31.1 - 49.1)</w:t>
            </w:r>
          </w:p>
        </w:tc>
      </w:tr>
      <w:tr w:rsidR="00980823" w:rsidRPr="00AF3A24" w14:paraId="3DC759B8" w14:textId="77777777" w:rsidTr="00073300">
        <w:trPr>
          <w:jc w:val="center"/>
        </w:trPr>
        <w:tc>
          <w:tcPr>
            <w:tcW w:w="3227" w:type="dxa"/>
            <w:tcBorders>
              <w:top w:val="nil"/>
              <w:bottom w:val="nil"/>
            </w:tcBorders>
            <w:shd w:val="clear" w:color="auto" w:fill="DAEEF3" w:themeFill="accent5" w:themeFillTint="33"/>
            <w:vAlign w:val="center"/>
          </w:tcPr>
          <w:p w14:paraId="003DFEBF" w14:textId="77777777" w:rsidR="00980823" w:rsidRPr="00AF3A24" w:rsidRDefault="00980823"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 xml:space="preserve">Amongst all past-year ‘other (including internet)’ gamblers </w:t>
            </w:r>
          </w:p>
        </w:tc>
        <w:tc>
          <w:tcPr>
            <w:tcW w:w="714" w:type="dxa"/>
            <w:tcBorders>
              <w:top w:val="nil"/>
              <w:left w:val="nil"/>
              <w:bottom w:val="nil"/>
              <w:right w:val="nil"/>
            </w:tcBorders>
            <w:shd w:val="clear" w:color="auto" w:fill="DAEEF3" w:themeFill="accent5" w:themeFillTint="33"/>
            <w:vAlign w:val="center"/>
          </w:tcPr>
          <w:p w14:paraId="656299C2"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p>
        </w:tc>
        <w:tc>
          <w:tcPr>
            <w:tcW w:w="1058" w:type="dxa"/>
            <w:tcBorders>
              <w:top w:val="nil"/>
              <w:left w:val="nil"/>
              <w:bottom w:val="nil"/>
              <w:right w:val="single" w:sz="4" w:space="0" w:color="auto"/>
            </w:tcBorders>
            <w:shd w:val="clear" w:color="auto" w:fill="DAEEF3" w:themeFill="accent5" w:themeFillTint="33"/>
            <w:vAlign w:val="center"/>
          </w:tcPr>
          <w:p w14:paraId="12B1A669"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25.4</w:t>
            </w:r>
            <w:r w:rsidRPr="00AF3A24">
              <w:rPr>
                <w:rFonts w:asciiTheme="minorHAnsi" w:hAnsiTheme="minorHAnsi"/>
                <w:bCs/>
                <w:color w:val="000000"/>
                <w:sz w:val="16"/>
                <w:szCs w:val="16"/>
              </w:rPr>
              <w:br/>
              <w:t>(16.7 - 34.0)</w:t>
            </w:r>
          </w:p>
        </w:tc>
        <w:tc>
          <w:tcPr>
            <w:tcW w:w="714" w:type="dxa"/>
            <w:tcBorders>
              <w:top w:val="nil"/>
              <w:left w:val="nil"/>
              <w:bottom w:val="nil"/>
              <w:right w:val="nil"/>
            </w:tcBorders>
            <w:shd w:val="clear" w:color="auto" w:fill="DAEEF3" w:themeFill="accent5" w:themeFillTint="33"/>
            <w:vAlign w:val="center"/>
          </w:tcPr>
          <w:p w14:paraId="4449C078"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w:t>
            </w:r>
          </w:p>
        </w:tc>
        <w:tc>
          <w:tcPr>
            <w:tcW w:w="1058" w:type="dxa"/>
            <w:tcBorders>
              <w:top w:val="nil"/>
              <w:left w:val="nil"/>
              <w:bottom w:val="nil"/>
              <w:right w:val="single" w:sz="4" w:space="0" w:color="auto"/>
            </w:tcBorders>
            <w:shd w:val="clear" w:color="auto" w:fill="DAEEF3" w:themeFill="accent5" w:themeFillTint="33"/>
            <w:vAlign w:val="center"/>
          </w:tcPr>
          <w:p w14:paraId="5C698985"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37.4</w:t>
            </w:r>
            <w:r w:rsidRPr="00AF3A24">
              <w:rPr>
                <w:rFonts w:asciiTheme="minorHAnsi" w:hAnsiTheme="minorHAnsi"/>
                <w:bCs/>
                <w:color w:val="000000"/>
                <w:sz w:val="16"/>
                <w:szCs w:val="16"/>
              </w:rPr>
              <w:br/>
              <w:t>(27.4 - 47.5)</w:t>
            </w:r>
          </w:p>
        </w:tc>
        <w:tc>
          <w:tcPr>
            <w:tcW w:w="708" w:type="dxa"/>
            <w:tcBorders>
              <w:top w:val="nil"/>
              <w:left w:val="nil"/>
              <w:bottom w:val="nil"/>
              <w:right w:val="nil"/>
            </w:tcBorders>
            <w:shd w:val="clear" w:color="auto" w:fill="DAEEF3" w:themeFill="accent5" w:themeFillTint="33"/>
            <w:vAlign w:val="center"/>
          </w:tcPr>
          <w:p w14:paraId="57CD898F"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058" w:type="dxa"/>
            <w:tcBorders>
              <w:top w:val="nil"/>
              <w:left w:val="nil"/>
              <w:bottom w:val="nil"/>
              <w:right w:val="single" w:sz="4" w:space="0" w:color="auto"/>
            </w:tcBorders>
            <w:shd w:val="clear" w:color="auto" w:fill="DAEEF3" w:themeFill="accent5" w:themeFillTint="33"/>
            <w:vAlign w:val="center"/>
          </w:tcPr>
          <w:p w14:paraId="03230F6A"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15.8</w:t>
            </w:r>
            <w:r w:rsidRPr="00AF3A24">
              <w:rPr>
                <w:rFonts w:asciiTheme="minorHAnsi" w:hAnsiTheme="minorHAnsi"/>
                <w:bCs/>
                <w:color w:val="000000"/>
                <w:sz w:val="16"/>
                <w:szCs w:val="16"/>
              </w:rPr>
              <w:br/>
              <w:t>(9.2 - 22.4)</w:t>
            </w:r>
          </w:p>
        </w:tc>
        <w:tc>
          <w:tcPr>
            <w:tcW w:w="708" w:type="dxa"/>
            <w:tcBorders>
              <w:top w:val="nil"/>
              <w:left w:val="nil"/>
              <w:bottom w:val="nil"/>
              <w:right w:val="nil"/>
            </w:tcBorders>
            <w:shd w:val="clear" w:color="auto" w:fill="DAEEF3" w:themeFill="accent5" w:themeFillTint="33"/>
            <w:vAlign w:val="center"/>
          </w:tcPr>
          <w:p w14:paraId="73130E87"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3D2133A7"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980823" w:rsidRPr="00AF3A24" w14:paraId="30F52C07" w14:textId="77777777" w:rsidTr="00073300">
        <w:trPr>
          <w:jc w:val="center"/>
        </w:trPr>
        <w:tc>
          <w:tcPr>
            <w:tcW w:w="3227" w:type="dxa"/>
            <w:tcBorders>
              <w:top w:val="nil"/>
              <w:bottom w:val="nil"/>
            </w:tcBorders>
            <w:shd w:val="clear" w:color="auto" w:fill="DAEEF3" w:themeFill="accent5" w:themeFillTint="33"/>
            <w:vAlign w:val="center"/>
          </w:tcPr>
          <w:p w14:paraId="23C9CFB2" w14:textId="77777777" w:rsidR="00980823" w:rsidRPr="00AF3A24" w:rsidRDefault="00980823"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Keno gamblers</w:t>
            </w:r>
          </w:p>
        </w:tc>
        <w:tc>
          <w:tcPr>
            <w:tcW w:w="714" w:type="dxa"/>
            <w:tcBorders>
              <w:top w:val="nil"/>
              <w:left w:val="nil"/>
              <w:bottom w:val="nil"/>
              <w:right w:val="nil"/>
            </w:tcBorders>
            <w:shd w:val="clear" w:color="auto" w:fill="DAEEF3" w:themeFill="accent5" w:themeFillTint="33"/>
            <w:vAlign w:val="center"/>
          </w:tcPr>
          <w:p w14:paraId="1031B011"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5D3C2BD4"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14" w:type="dxa"/>
            <w:tcBorders>
              <w:top w:val="nil"/>
              <w:left w:val="nil"/>
              <w:bottom w:val="nil"/>
              <w:right w:val="nil"/>
            </w:tcBorders>
            <w:shd w:val="clear" w:color="auto" w:fill="DAEEF3" w:themeFill="accent5" w:themeFillTint="33"/>
            <w:vAlign w:val="center"/>
          </w:tcPr>
          <w:p w14:paraId="686A51EF"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p>
        </w:tc>
        <w:tc>
          <w:tcPr>
            <w:tcW w:w="1058" w:type="dxa"/>
            <w:tcBorders>
              <w:top w:val="nil"/>
              <w:left w:val="nil"/>
              <w:bottom w:val="nil"/>
              <w:right w:val="single" w:sz="4" w:space="0" w:color="auto"/>
            </w:tcBorders>
            <w:shd w:val="clear" w:color="auto" w:fill="DAEEF3" w:themeFill="accent5" w:themeFillTint="33"/>
            <w:vAlign w:val="center"/>
          </w:tcPr>
          <w:p w14:paraId="51D62992"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20.9</w:t>
            </w:r>
            <w:r w:rsidRPr="00AF3A24">
              <w:rPr>
                <w:rFonts w:asciiTheme="minorHAnsi" w:hAnsiTheme="minorHAnsi"/>
                <w:bCs/>
                <w:color w:val="000000"/>
                <w:sz w:val="16"/>
                <w:szCs w:val="16"/>
              </w:rPr>
              <w:br/>
              <w:t>(11.6 - 30.2)</w:t>
            </w:r>
          </w:p>
        </w:tc>
        <w:tc>
          <w:tcPr>
            <w:tcW w:w="708" w:type="dxa"/>
            <w:tcBorders>
              <w:top w:val="nil"/>
              <w:left w:val="nil"/>
              <w:bottom w:val="nil"/>
              <w:right w:val="nil"/>
            </w:tcBorders>
            <w:shd w:val="clear" w:color="auto" w:fill="DAEEF3" w:themeFill="accent5" w:themeFillTint="33"/>
            <w:vAlign w:val="center"/>
          </w:tcPr>
          <w:p w14:paraId="2005A786"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p>
        </w:tc>
        <w:tc>
          <w:tcPr>
            <w:tcW w:w="1058" w:type="dxa"/>
            <w:tcBorders>
              <w:top w:val="nil"/>
              <w:left w:val="nil"/>
              <w:bottom w:val="nil"/>
              <w:right w:val="single" w:sz="4" w:space="0" w:color="auto"/>
            </w:tcBorders>
            <w:shd w:val="clear" w:color="auto" w:fill="DAEEF3" w:themeFill="accent5" w:themeFillTint="33"/>
            <w:vAlign w:val="center"/>
          </w:tcPr>
          <w:p w14:paraId="13F87F39"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22.4</w:t>
            </w:r>
            <w:r w:rsidRPr="00AF3A24">
              <w:rPr>
                <w:rFonts w:asciiTheme="minorHAnsi" w:hAnsiTheme="minorHAnsi"/>
                <w:bCs/>
                <w:color w:val="000000"/>
                <w:sz w:val="16"/>
                <w:szCs w:val="16"/>
              </w:rPr>
              <w:br/>
              <w:t>(14.1 - 30.8)</w:t>
            </w:r>
          </w:p>
        </w:tc>
        <w:tc>
          <w:tcPr>
            <w:tcW w:w="708" w:type="dxa"/>
            <w:tcBorders>
              <w:top w:val="nil"/>
              <w:left w:val="nil"/>
              <w:bottom w:val="nil"/>
              <w:right w:val="nil"/>
            </w:tcBorders>
            <w:shd w:val="clear" w:color="auto" w:fill="DAEEF3" w:themeFill="accent5" w:themeFillTint="33"/>
            <w:vAlign w:val="center"/>
          </w:tcPr>
          <w:p w14:paraId="3F356262" w14:textId="77777777" w:rsidR="00980823" w:rsidRPr="00A12F1D" w:rsidRDefault="00980823"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72</w:t>
            </w:r>
          </w:p>
        </w:tc>
        <w:tc>
          <w:tcPr>
            <w:tcW w:w="1058" w:type="dxa"/>
            <w:tcBorders>
              <w:top w:val="nil"/>
              <w:left w:val="nil"/>
              <w:bottom w:val="nil"/>
              <w:right w:val="single" w:sz="4" w:space="0" w:color="auto"/>
            </w:tcBorders>
            <w:shd w:val="clear" w:color="auto" w:fill="DAEEF3" w:themeFill="accent5" w:themeFillTint="33"/>
            <w:vAlign w:val="center"/>
          </w:tcPr>
          <w:p w14:paraId="7E0C17AC" w14:textId="77777777" w:rsidR="00980823" w:rsidRPr="00A12F1D" w:rsidRDefault="00980823" w:rsidP="00073300">
            <w:pPr>
              <w:spacing w:before="0" w:line="240" w:lineRule="auto"/>
              <w:jc w:val="center"/>
              <w:rPr>
                <w:rFonts w:asciiTheme="minorHAnsi" w:hAnsiTheme="minorHAnsi"/>
                <w:bCs/>
                <w:color w:val="000000"/>
                <w:sz w:val="16"/>
                <w:szCs w:val="16"/>
              </w:rPr>
            </w:pPr>
            <w:r w:rsidRPr="00A12F1D">
              <w:rPr>
                <w:rFonts w:asciiTheme="minorHAnsi" w:hAnsiTheme="minorHAnsi"/>
                <w:bCs/>
                <w:color w:val="000000"/>
                <w:sz w:val="16"/>
                <w:szCs w:val="16"/>
              </w:rPr>
              <w:t>52.3</w:t>
            </w:r>
            <w:r w:rsidRPr="00A12F1D">
              <w:rPr>
                <w:rFonts w:asciiTheme="minorHAnsi" w:hAnsiTheme="minorHAnsi"/>
                <w:bCs/>
                <w:color w:val="000000"/>
                <w:sz w:val="16"/>
                <w:szCs w:val="16"/>
              </w:rPr>
              <w:br/>
              <w:t>(41.5 - 63.2)</w:t>
            </w:r>
          </w:p>
        </w:tc>
      </w:tr>
      <w:tr w:rsidR="00980823" w:rsidRPr="00AF3A24" w14:paraId="37EC9F82" w14:textId="77777777" w:rsidTr="00073300">
        <w:trPr>
          <w:jc w:val="center"/>
        </w:trPr>
        <w:tc>
          <w:tcPr>
            <w:tcW w:w="3227" w:type="dxa"/>
            <w:tcBorders>
              <w:top w:val="nil"/>
              <w:bottom w:val="single" w:sz="4" w:space="0" w:color="auto"/>
            </w:tcBorders>
            <w:shd w:val="clear" w:color="auto" w:fill="DAEEF3" w:themeFill="accent5" w:themeFillTint="33"/>
            <w:vAlign w:val="center"/>
          </w:tcPr>
          <w:p w14:paraId="48A6DCD6" w14:textId="77777777" w:rsidR="00980823" w:rsidRPr="00AF3A24" w:rsidRDefault="00980823" w:rsidP="00073300">
            <w:pPr>
              <w:spacing w:before="0" w:line="240" w:lineRule="auto"/>
              <w:ind w:left="153" w:hanging="153"/>
              <w:jc w:val="left"/>
              <w:rPr>
                <w:rFonts w:asciiTheme="minorHAnsi" w:hAnsiTheme="minorHAnsi"/>
              </w:rPr>
            </w:pPr>
            <w:r w:rsidRPr="00AF3A24">
              <w:rPr>
                <w:rFonts w:asciiTheme="minorHAnsi" w:hAnsiTheme="minorHAnsi" w:cstheme="minorHAnsi"/>
                <w:sz w:val="16"/>
                <w:szCs w:val="16"/>
              </w:rPr>
              <w:t>Amongst all past-year Housie gamblers</w:t>
            </w:r>
          </w:p>
        </w:tc>
        <w:tc>
          <w:tcPr>
            <w:tcW w:w="714" w:type="dxa"/>
            <w:tcBorders>
              <w:top w:val="nil"/>
              <w:left w:val="nil"/>
              <w:bottom w:val="single" w:sz="4" w:space="0" w:color="auto"/>
              <w:right w:val="nil"/>
            </w:tcBorders>
            <w:shd w:val="clear" w:color="auto" w:fill="DAEEF3" w:themeFill="accent5" w:themeFillTint="33"/>
            <w:vAlign w:val="center"/>
          </w:tcPr>
          <w:p w14:paraId="4472E4D8"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06C209EA"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18.2</w:t>
            </w:r>
            <w:r w:rsidRPr="00AF3A24">
              <w:rPr>
                <w:rFonts w:asciiTheme="minorHAnsi" w:hAnsiTheme="minorHAnsi"/>
                <w:bCs/>
                <w:color w:val="000000"/>
                <w:sz w:val="16"/>
                <w:szCs w:val="16"/>
              </w:rPr>
              <w:br/>
              <w:t>(10.7 - 25.8)</w:t>
            </w:r>
          </w:p>
        </w:tc>
        <w:tc>
          <w:tcPr>
            <w:tcW w:w="714" w:type="dxa"/>
            <w:tcBorders>
              <w:top w:val="nil"/>
              <w:left w:val="nil"/>
              <w:bottom w:val="single" w:sz="4" w:space="0" w:color="auto"/>
              <w:right w:val="nil"/>
            </w:tcBorders>
            <w:shd w:val="clear" w:color="auto" w:fill="DAEEF3" w:themeFill="accent5" w:themeFillTint="33"/>
            <w:vAlign w:val="center"/>
          </w:tcPr>
          <w:p w14:paraId="5D030882"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586A4D66"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25.3</w:t>
            </w:r>
            <w:r w:rsidRPr="00AF3A24">
              <w:rPr>
                <w:rFonts w:asciiTheme="minorHAnsi" w:hAnsiTheme="minorHAnsi"/>
                <w:bCs/>
                <w:color w:val="000000"/>
                <w:sz w:val="16"/>
                <w:szCs w:val="16"/>
              </w:rPr>
              <w:br/>
              <w:t>(16.7 - 33.9)</w:t>
            </w:r>
          </w:p>
        </w:tc>
        <w:tc>
          <w:tcPr>
            <w:tcW w:w="708" w:type="dxa"/>
            <w:tcBorders>
              <w:top w:val="nil"/>
              <w:left w:val="nil"/>
              <w:bottom w:val="single" w:sz="4" w:space="0" w:color="auto"/>
              <w:right w:val="nil"/>
            </w:tcBorders>
            <w:shd w:val="clear" w:color="auto" w:fill="DAEEF3" w:themeFill="accent5" w:themeFillTint="33"/>
            <w:vAlign w:val="center"/>
          </w:tcPr>
          <w:p w14:paraId="01282AA9"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7CF93862"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8" w:type="dxa"/>
            <w:tcBorders>
              <w:top w:val="nil"/>
              <w:left w:val="nil"/>
              <w:bottom w:val="single" w:sz="4" w:space="0" w:color="auto"/>
              <w:right w:val="nil"/>
            </w:tcBorders>
            <w:shd w:val="clear" w:color="auto" w:fill="DAEEF3" w:themeFill="accent5" w:themeFillTint="33"/>
            <w:vAlign w:val="center"/>
          </w:tcPr>
          <w:p w14:paraId="7FF50122"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7539728E" w14:textId="77777777" w:rsidR="00980823" w:rsidRPr="00AF3A24" w:rsidRDefault="00980823" w:rsidP="0007330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39.7</w:t>
            </w:r>
            <w:r w:rsidRPr="00AF3A24">
              <w:rPr>
                <w:rFonts w:asciiTheme="minorHAnsi" w:hAnsiTheme="minorHAnsi"/>
                <w:bCs/>
                <w:color w:val="000000"/>
                <w:sz w:val="16"/>
                <w:szCs w:val="16"/>
              </w:rPr>
              <w:br/>
              <w:t>(28.1 - 51.2)</w:t>
            </w:r>
          </w:p>
        </w:tc>
      </w:tr>
    </w:tbl>
    <w:p w14:paraId="0BB003B0" w14:textId="77777777" w:rsidR="00793DCF" w:rsidRPr="00AF3A24" w:rsidRDefault="00793DCF" w:rsidP="00793DCF">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7A8A3905" w14:textId="77777777" w:rsidR="00793DCF" w:rsidRDefault="00793DCF" w:rsidP="006A0B0E">
      <w:pPr>
        <w:pStyle w:val="ListParagraph"/>
        <w:numPr>
          <w:ilvl w:val="0"/>
          <w:numId w:val="39"/>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23BA7CF7" w14:textId="77777777" w:rsidR="00A12F1D" w:rsidRPr="00A12F1D" w:rsidRDefault="00A12F1D" w:rsidP="00A12F1D">
      <w:pPr>
        <w:spacing w:line="240" w:lineRule="auto"/>
        <w:rPr>
          <w:rFonts w:asciiTheme="minorHAnsi" w:hAnsiTheme="minorHAnsi" w:cstheme="minorHAnsi"/>
          <w:sz w:val="16"/>
        </w:rPr>
      </w:pPr>
    </w:p>
    <w:p w14:paraId="4458C4DB" w14:textId="77777777" w:rsidR="003A507E" w:rsidRDefault="005F4551" w:rsidP="00F061EF">
      <w:pPr>
        <w:pStyle w:val="Heading3"/>
      </w:pPr>
      <w:bookmarkStart w:id="77" w:name="_Toc403833160"/>
      <w:r>
        <w:t>Changes over time – comparison of 2002/03, 2006/07 and 2011/12 NZHS:</w:t>
      </w:r>
      <w:r w:rsidR="003A507E">
        <w:t xml:space="preserve"> </w:t>
      </w:r>
      <w:r w:rsidR="003A507E" w:rsidRPr="00AF3A24">
        <w:t>Number of gambling activities</w:t>
      </w:r>
      <w:bookmarkEnd w:id="77"/>
    </w:p>
    <w:p w14:paraId="4B978288" w14:textId="471CCD33" w:rsidR="00B81E76" w:rsidRDefault="00B47D21" w:rsidP="00B81E76">
      <w:pPr>
        <w:pStyle w:val="BodyText"/>
        <w:spacing w:line="480" w:lineRule="auto"/>
      </w:pPr>
      <w:r w:rsidRPr="005B5851">
        <w:t xml:space="preserve">Results from the 2002/03, 2006/07 and 2011/12 New Zealand Health Surveys were compared to assess if there had been changes over time in the number of activities that adults had gambled on.  </w:t>
      </w:r>
      <w:r w:rsidR="005B7348" w:rsidRPr="005B5851">
        <w:t>As outlined previously, it</w:t>
      </w:r>
      <w:r w:rsidR="00B81E76" w:rsidRPr="005B5851">
        <w:t xml:space="preserve"> is important to note that when comparisons are made between the three most recent NZHS surveys (2002/03, 2006/07 and 2011/12), results have been age-standardised in accordance with World Health Organisation (WHO) age population distributions (Ahmed et al., 2001). </w:t>
      </w:r>
      <w:r w:rsidR="006C4DCD" w:rsidRPr="005B5851">
        <w:t xml:space="preserve"> </w:t>
      </w:r>
      <w:r w:rsidR="00B81E76" w:rsidRPr="005B5851">
        <w:t xml:space="preserve">As such, some of the results that are reported for the 2011/12 NZHS in this ‘changes over time’ </w:t>
      </w:r>
      <w:proofErr w:type="gramStart"/>
      <w:r w:rsidR="00B81E76" w:rsidRPr="005B5851">
        <w:t>section,</w:t>
      </w:r>
      <w:proofErr w:type="gramEnd"/>
      <w:r w:rsidR="00B81E76" w:rsidRPr="005B5851">
        <w:t xml:space="preserve"> may differ slightly to those that are specified elsewhere in this report.  For example, while 5.3% of the adult population had gambled on four or more activities in the past-year in the 2011/12 NZHS (as detailed </w:t>
      </w:r>
      <w:r w:rsidR="00737516" w:rsidRPr="005B5851">
        <w:t>above</w:t>
      </w:r>
      <w:r w:rsidR="00B81E76" w:rsidRPr="005B5851">
        <w:t xml:space="preserve">), the </w:t>
      </w:r>
      <w:r w:rsidR="00B81E76" w:rsidRPr="005B5851">
        <w:rPr>
          <w:i/>
        </w:rPr>
        <w:t xml:space="preserve">age-adjusted rate </w:t>
      </w:r>
      <w:r w:rsidR="00737516" w:rsidRPr="005B5851">
        <w:t>for</w:t>
      </w:r>
      <w:r w:rsidR="00B81E76" w:rsidRPr="005B5851">
        <w:t xml:space="preserve"> </w:t>
      </w:r>
      <w:r w:rsidR="00737516" w:rsidRPr="005B5851">
        <w:t xml:space="preserve">gambled on four or more </w:t>
      </w:r>
      <w:r w:rsidR="00737516" w:rsidRPr="005B5851">
        <w:lastRenderedPageBreak/>
        <w:t xml:space="preserve">activities in </w:t>
      </w:r>
      <w:r w:rsidR="00B81E76" w:rsidRPr="005B5851">
        <w:t xml:space="preserve">2011/12 is 3.0% (as reported below in Table 9 </w:t>
      </w:r>
      <w:r w:rsidR="006C4DCD" w:rsidRPr="005B5851">
        <w:t>and Figure 14 which</w:t>
      </w:r>
      <w:r w:rsidR="00B81E76" w:rsidRPr="005B5851">
        <w:t xml:space="preserve"> compar</w:t>
      </w:r>
      <w:r w:rsidR="006C4DCD" w:rsidRPr="005B5851">
        <w:t>e</w:t>
      </w:r>
      <w:r w:rsidR="005F68D7" w:rsidRPr="005B5851">
        <w:t xml:space="preserve"> rates across</w:t>
      </w:r>
      <w:r w:rsidR="00737516" w:rsidRPr="005B5851">
        <w:t xml:space="preserve"> multiple</w:t>
      </w:r>
      <w:r w:rsidR="00B81E76" w:rsidRPr="005B5851">
        <w:t xml:space="preserve"> waves of the NZHS).</w:t>
      </w:r>
      <w:r w:rsidR="00B81E76">
        <w:t xml:space="preserve"> </w:t>
      </w:r>
    </w:p>
    <w:p w14:paraId="1C84D715" w14:textId="77777777" w:rsidR="005736C5" w:rsidRDefault="00B47D21" w:rsidP="005736C5">
      <w:pPr>
        <w:rPr>
          <w:rFonts w:asciiTheme="minorHAnsi" w:hAnsiTheme="minorHAnsi"/>
        </w:rPr>
      </w:pPr>
      <w:r>
        <w:rPr>
          <w:rFonts w:asciiTheme="minorHAnsi" w:hAnsiTheme="minorHAnsi"/>
        </w:rPr>
        <w:t>As</w:t>
      </w:r>
      <w:r w:rsidRPr="00A21DC0">
        <w:rPr>
          <w:rFonts w:asciiTheme="minorHAnsi" w:hAnsiTheme="minorHAnsi"/>
        </w:rPr>
        <w:t xml:space="preserve"> shown in</w:t>
      </w:r>
      <w:r w:rsidR="004770DE">
        <w:rPr>
          <w:rFonts w:asciiTheme="minorHAnsi" w:hAnsiTheme="minorHAnsi"/>
        </w:rPr>
        <w:t xml:space="preserve"> Table 9, </w:t>
      </w:r>
      <w:r>
        <w:rPr>
          <w:rFonts w:asciiTheme="minorHAnsi" w:hAnsiTheme="minorHAnsi"/>
        </w:rPr>
        <w:t xml:space="preserve"> significant changes over time were observed (p&lt;0.0001)</w:t>
      </w:r>
      <w:r w:rsidR="00825A08">
        <w:rPr>
          <w:rFonts w:asciiTheme="minorHAnsi" w:hAnsiTheme="minorHAnsi"/>
        </w:rPr>
        <w:t>;</w:t>
      </w:r>
      <w:r w:rsidR="005736C5">
        <w:rPr>
          <w:rFonts w:asciiTheme="minorHAnsi" w:hAnsiTheme="minorHAnsi"/>
        </w:rPr>
        <w:t xml:space="preserve"> there was </w:t>
      </w:r>
      <w:r>
        <w:rPr>
          <w:rFonts w:asciiTheme="minorHAnsi" w:hAnsiTheme="minorHAnsi"/>
        </w:rPr>
        <w:t>an overall decreasing trend in the number of gambling activities</w:t>
      </w:r>
      <w:r w:rsidR="00825A08">
        <w:rPr>
          <w:rFonts w:asciiTheme="minorHAnsi" w:hAnsiTheme="minorHAnsi"/>
        </w:rPr>
        <w:t xml:space="preserve"> that </w:t>
      </w:r>
      <w:r w:rsidR="00A54250">
        <w:rPr>
          <w:rFonts w:asciiTheme="minorHAnsi" w:hAnsiTheme="minorHAnsi"/>
        </w:rPr>
        <w:t>people were participating in</w:t>
      </w:r>
      <w:r w:rsidR="00D37305">
        <w:rPr>
          <w:rFonts w:asciiTheme="minorHAnsi" w:hAnsiTheme="minorHAnsi"/>
        </w:rPr>
        <w:t>,</w:t>
      </w:r>
      <w:r w:rsidR="00A54250">
        <w:rPr>
          <w:rFonts w:asciiTheme="minorHAnsi" w:hAnsiTheme="minorHAnsi"/>
        </w:rPr>
        <w:t xml:space="preserve"> with each survey wave.</w:t>
      </w:r>
      <w:bookmarkStart w:id="78" w:name="_Ref397435223"/>
      <w:r w:rsidR="005736C5">
        <w:rPr>
          <w:rFonts w:asciiTheme="minorHAnsi" w:hAnsiTheme="minorHAnsi"/>
        </w:rPr>
        <w:t xml:space="preserve">  This trend should be considered in the context of the increased proportion of respondents who indicated that they were non-gamblers (i.e. they had gambled on zero activities) in 2011/12 than in previous</w:t>
      </w:r>
      <w:r w:rsidR="00D84850">
        <w:rPr>
          <w:rFonts w:asciiTheme="minorHAnsi" w:hAnsiTheme="minorHAnsi"/>
        </w:rPr>
        <w:t xml:space="preserve"> survey</w:t>
      </w:r>
      <w:r w:rsidR="005736C5">
        <w:rPr>
          <w:rFonts w:asciiTheme="minorHAnsi" w:hAnsiTheme="minorHAnsi"/>
        </w:rPr>
        <w:t xml:space="preserve"> waves. </w:t>
      </w:r>
    </w:p>
    <w:p w14:paraId="2F3C0C15" w14:textId="6D87C1B2" w:rsidR="00135AF2" w:rsidRPr="00AF3A24" w:rsidRDefault="00135AF2" w:rsidP="00433656">
      <w:pPr>
        <w:pStyle w:val="Caption"/>
        <w:keepNext/>
        <w:spacing w:after="0" w:line="276" w:lineRule="auto"/>
        <w:ind w:left="993" w:hanging="993"/>
        <w:rPr>
          <w:rFonts w:asciiTheme="minorHAnsi" w:hAnsiTheme="minorHAnsi" w:cstheme="minorHAnsi"/>
          <w:i/>
        </w:rPr>
      </w:pPr>
      <w:bookmarkStart w:id="79" w:name="_Toc425426876"/>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9</w:t>
      </w:r>
      <w:r w:rsidRPr="00AF3A24">
        <w:rPr>
          <w:rFonts w:asciiTheme="minorHAnsi" w:hAnsiTheme="minorHAnsi"/>
          <w:i/>
        </w:rPr>
        <w:fldChar w:fldCharType="end"/>
      </w:r>
      <w:bookmarkEnd w:id="78"/>
      <w:r w:rsidRPr="00AF3A24">
        <w:rPr>
          <w:rFonts w:asciiTheme="minorHAnsi" w:hAnsiTheme="minorHAnsi"/>
          <w:i/>
        </w:rPr>
        <w:t>:</w:t>
      </w:r>
      <w:r w:rsidRPr="00AF3A24">
        <w:rPr>
          <w:rFonts w:asciiTheme="minorHAnsi" w:hAnsiTheme="minorHAnsi" w:cstheme="minorHAnsi"/>
          <w:i/>
        </w:rPr>
        <w:tab/>
      </w:r>
      <w:r>
        <w:rPr>
          <w:rFonts w:asciiTheme="minorHAnsi" w:hAnsiTheme="minorHAnsi" w:cstheme="minorHAnsi"/>
          <w:i/>
        </w:rPr>
        <w:t>Number of gambling activities participated in during the last 12 months</w:t>
      </w:r>
      <w:r w:rsidRPr="00AF3A24">
        <w:rPr>
          <w:rFonts w:asciiTheme="minorHAnsi" w:hAnsiTheme="minorHAnsi" w:cstheme="minorHAnsi"/>
          <w:i/>
        </w:rPr>
        <w:t xml:space="preserve"> by NZHS survey wave, total population aged 15 years and over</w:t>
      </w:r>
      <w:r w:rsidR="00BB20F9">
        <w:rPr>
          <w:rFonts w:asciiTheme="minorHAnsi" w:hAnsiTheme="minorHAnsi" w:cstheme="minorHAnsi"/>
          <w:i/>
        </w:rPr>
        <w:t xml:space="preserve"> (adjusted prevalence</w:t>
      </w:r>
      <w:r w:rsidR="00900937">
        <w:rPr>
          <w:rFonts w:asciiTheme="minorHAnsi" w:hAnsiTheme="minorHAnsi" w:cstheme="minorHAnsi"/>
          <w:i/>
        </w:rPr>
        <w:t xml:space="preserve">; </w:t>
      </w:r>
      <w:r w:rsidR="00900937">
        <w:rPr>
          <w:rFonts w:asciiTheme="minorHAnsi" w:hAnsiTheme="minorHAnsi"/>
          <w:i/>
        </w:rPr>
        <w:t>2002/03 NZHS N=12,529,</w:t>
      </w:r>
      <w:r w:rsidR="00900937">
        <w:rPr>
          <w:rFonts w:asciiTheme="minorHAnsi" w:hAnsiTheme="minorHAnsi" w:cstheme="minorHAnsi"/>
          <w:i/>
        </w:rPr>
        <w:t xml:space="preserve"> </w:t>
      </w:r>
      <w:r w:rsidR="00900937" w:rsidRPr="0072417E">
        <w:rPr>
          <w:rFonts w:asciiTheme="minorHAnsi" w:hAnsiTheme="minorHAnsi"/>
          <w:i/>
        </w:rPr>
        <w:t>2006/07 NZHS N=12,488, 2011/12 NZHS N=12,596</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79"/>
    </w:p>
    <w:tbl>
      <w:tblPr>
        <w:tblStyle w:val="TableGrid"/>
        <w:tblW w:w="8714" w:type="dxa"/>
        <w:jc w:val="center"/>
        <w:tblLayout w:type="fixed"/>
        <w:tblLook w:val="04A0" w:firstRow="1" w:lastRow="0" w:firstColumn="1" w:lastColumn="0" w:noHBand="0" w:noVBand="1"/>
      </w:tblPr>
      <w:tblGrid>
        <w:gridCol w:w="2092"/>
        <w:gridCol w:w="720"/>
        <w:gridCol w:w="1080"/>
        <w:gridCol w:w="720"/>
        <w:gridCol w:w="1080"/>
        <w:gridCol w:w="720"/>
        <w:gridCol w:w="1080"/>
        <w:gridCol w:w="1222"/>
      </w:tblGrid>
      <w:tr w:rsidR="00135AF2" w:rsidRPr="00AF3A24" w14:paraId="316AABD2" w14:textId="77777777" w:rsidTr="00A310A6">
        <w:trPr>
          <w:trHeight w:val="386"/>
          <w:jc w:val="center"/>
        </w:trPr>
        <w:tc>
          <w:tcPr>
            <w:tcW w:w="2092" w:type="dxa"/>
            <w:vMerge w:val="restart"/>
            <w:shd w:val="clear" w:color="auto" w:fill="92CDDC" w:themeFill="accent5" w:themeFillTint="99"/>
            <w:vAlign w:val="center"/>
          </w:tcPr>
          <w:p w14:paraId="2DA85819" w14:textId="77777777" w:rsidR="00135AF2" w:rsidRPr="00AF3A24" w:rsidRDefault="00135AF2"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NUMBER OF GAMBLING ACTIVITIES IN LAST 12 MONTHS</w:t>
            </w:r>
          </w:p>
        </w:tc>
        <w:tc>
          <w:tcPr>
            <w:tcW w:w="5400" w:type="dxa"/>
            <w:gridSpan w:val="6"/>
            <w:tcBorders>
              <w:bottom w:val="single" w:sz="4" w:space="0" w:color="auto"/>
            </w:tcBorders>
            <w:shd w:val="clear" w:color="auto" w:fill="92CDDC" w:themeFill="accent5" w:themeFillTint="99"/>
            <w:vAlign w:val="center"/>
          </w:tcPr>
          <w:p w14:paraId="2E488216"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NZHS SURVEY WAVE</w:t>
            </w:r>
          </w:p>
        </w:tc>
        <w:tc>
          <w:tcPr>
            <w:tcW w:w="1222" w:type="dxa"/>
            <w:vMerge w:val="restart"/>
            <w:shd w:val="clear" w:color="auto" w:fill="92CDDC" w:themeFill="accent5" w:themeFillTint="99"/>
            <w:vAlign w:val="center"/>
          </w:tcPr>
          <w:p w14:paraId="2EB35904"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2</w:t>
            </w:r>
          </w:p>
        </w:tc>
      </w:tr>
      <w:tr w:rsidR="00135AF2" w:rsidRPr="00AF3A24" w14:paraId="0904FC03" w14:textId="77777777" w:rsidTr="00A310A6">
        <w:trPr>
          <w:trHeight w:val="386"/>
          <w:jc w:val="center"/>
        </w:trPr>
        <w:tc>
          <w:tcPr>
            <w:tcW w:w="2092" w:type="dxa"/>
            <w:vMerge/>
            <w:shd w:val="clear" w:color="auto" w:fill="92CDDC" w:themeFill="accent5" w:themeFillTint="99"/>
          </w:tcPr>
          <w:p w14:paraId="644E680F" w14:textId="77777777" w:rsidR="00135AF2" w:rsidRPr="00AF3A24" w:rsidRDefault="00135AF2" w:rsidP="00A310A6">
            <w:pPr>
              <w:spacing w:before="0" w:line="240" w:lineRule="auto"/>
              <w:jc w:val="left"/>
              <w:rPr>
                <w:rFonts w:asciiTheme="minorHAnsi" w:hAnsiTheme="minorHAnsi" w:cstheme="minorHAnsi"/>
                <w:b/>
                <w:sz w:val="18"/>
                <w:szCs w:val="18"/>
              </w:rPr>
            </w:pPr>
          </w:p>
        </w:tc>
        <w:tc>
          <w:tcPr>
            <w:tcW w:w="1800" w:type="dxa"/>
            <w:gridSpan w:val="2"/>
            <w:tcBorders>
              <w:bottom w:val="single" w:sz="4" w:space="0" w:color="auto"/>
            </w:tcBorders>
            <w:shd w:val="clear" w:color="auto" w:fill="92CDDC" w:themeFill="accent5" w:themeFillTint="99"/>
            <w:vAlign w:val="center"/>
          </w:tcPr>
          <w:p w14:paraId="2EFB004F"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2002/03</w:t>
            </w:r>
          </w:p>
          <w:p w14:paraId="6E47B003"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(N=12,529)</w:t>
            </w:r>
          </w:p>
        </w:tc>
        <w:tc>
          <w:tcPr>
            <w:tcW w:w="1800" w:type="dxa"/>
            <w:gridSpan w:val="2"/>
            <w:tcBorders>
              <w:bottom w:val="single" w:sz="4" w:space="0" w:color="auto"/>
            </w:tcBorders>
            <w:shd w:val="clear" w:color="auto" w:fill="92CDDC" w:themeFill="accent5" w:themeFillTint="99"/>
            <w:vAlign w:val="center"/>
          </w:tcPr>
          <w:p w14:paraId="4F3850B6"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2006/07</w:t>
            </w:r>
          </w:p>
          <w:p w14:paraId="3E7D2611"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(N=12,488)</w:t>
            </w:r>
          </w:p>
        </w:tc>
        <w:tc>
          <w:tcPr>
            <w:tcW w:w="1800" w:type="dxa"/>
            <w:gridSpan w:val="2"/>
            <w:tcBorders>
              <w:bottom w:val="single" w:sz="4" w:space="0" w:color="auto"/>
            </w:tcBorders>
            <w:shd w:val="clear" w:color="auto" w:fill="92CDDC" w:themeFill="accent5" w:themeFillTint="99"/>
            <w:vAlign w:val="center"/>
          </w:tcPr>
          <w:p w14:paraId="622A2CBF"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2011/12</w:t>
            </w:r>
          </w:p>
          <w:p w14:paraId="07037BAC"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(N=12,596)</w:t>
            </w:r>
          </w:p>
        </w:tc>
        <w:tc>
          <w:tcPr>
            <w:tcW w:w="1222" w:type="dxa"/>
            <w:vMerge/>
            <w:shd w:val="clear" w:color="auto" w:fill="92CDDC" w:themeFill="accent5" w:themeFillTint="99"/>
            <w:vAlign w:val="center"/>
          </w:tcPr>
          <w:p w14:paraId="2BAC389F" w14:textId="77777777" w:rsidR="00135AF2" w:rsidRPr="00AF3A24" w:rsidRDefault="00135AF2" w:rsidP="00A310A6">
            <w:pPr>
              <w:spacing w:before="0" w:line="240" w:lineRule="auto"/>
              <w:jc w:val="center"/>
              <w:rPr>
                <w:rFonts w:asciiTheme="minorHAnsi" w:hAnsiTheme="minorHAnsi" w:cstheme="minorHAnsi"/>
                <w:b/>
                <w:sz w:val="18"/>
                <w:szCs w:val="18"/>
              </w:rPr>
            </w:pPr>
          </w:p>
        </w:tc>
      </w:tr>
      <w:tr w:rsidR="00135AF2" w:rsidRPr="00AF3A24" w14:paraId="03556F90" w14:textId="77777777" w:rsidTr="00A310A6">
        <w:trPr>
          <w:trHeight w:val="386"/>
          <w:jc w:val="center"/>
        </w:trPr>
        <w:tc>
          <w:tcPr>
            <w:tcW w:w="2092" w:type="dxa"/>
            <w:vMerge/>
            <w:tcBorders>
              <w:bottom w:val="single" w:sz="4" w:space="0" w:color="auto"/>
            </w:tcBorders>
            <w:shd w:val="clear" w:color="auto" w:fill="92CDDC" w:themeFill="accent5" w:themeFillTint="99"/>
          </w:tcPr>
          <w:p w14:paraId="1F44C72C" w14:textId="77777777" w:rsidR="00135AF2" w:rsidRPr="00AF3A24" w:rsidRDefault="00135AF2" w:rsidP="00A310A6">
            <w:pPr>
              <w:spacing w:before="0" w:line="240" w:lineRule="auto"/>
              <w:jc w:val="left"/>
              <w:rPr>
                <w:rFonts w:asciiTheme="minorHAnsi" w:hAnsiTheme="minorHAnsi" w:cstheme="minorHAnsi"/>
                <w:b/>
                <w:sz w:val="18"/>
                <w:szCs w:val="18"/>
              </w:rPr>
            </w:pPr>
          </w:p>
        </w:tc>
        <w:tc>
          <w:tcPr>
            <w:tcW w:w="720" w:type="dxa"/>
            <w:tcBorders>
              <w:bottom w:val="single" w:sz="4" w:space="0" w:color="auto"/>
            </w:tcBorders>
            <w:shd w:val="clear" w:color="auto" w:fill="92CDDC" w:themeFill="accent5" w:themeFillTint="99"/>
            <w:vAlign w:val="center"/>
          </w:tcPr>
          <w:p w14:paraId="2C99B2C9" w14:textId="77777777" w:rsidR="00135AF2" w:rsidRPr="00AF3A24" w:rsidRDefault="00135AF2"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1F6C8DA8"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w:t>
            </w:r>
          </w:p>
          <w:p w14:paraId="22832832"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1CA9C88E"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387FA084"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w:t>
            </w:r>
          </w:p>
          <w:p w14:paraId="133DB2E2"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41045427"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5E1D4404"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w:t>
            </w:r>
          </w:p>
          <w:p w14:paraId="23C74437" w14:textId="77777777" w:rsidR="00135AF2" w:rsidRPr="003767EF" w:rsidRDefault="00135AF2" w:rsidP="00A310A6">
            <w:pPr>
              <w:spacing w:before="0" w:line="240" w:lineRule="auto"/>
              <w:jc w:val="center"/>
              <w:rPr>
                <w:rFonts w:asciiTheme="minorHAnsi" w:hAnsiTheme="minorHAnsi" w:cstheme="minorHAnsi"/>
                <w:b/>
                <w:sz w:val="18"/>
                <w:szCs w:val="18"/>
              </w:rPr>
            </w:pPr>
            <w:r w:rsidRPr="003767EF">
              <w:rPr>
                <w:rFonts w:asciiTheme="minorHAnsi" w:hAnsiTheme="minorHAnsi" w:cstheme="minorHAnsi"/>
                <w:b/>
                <w:sz w:val="18"/>
                <w:szCs w:val="18"/>
              </w:rPr>
              <w:t>(95% CI)</w:t>
            </w:r>
          </w:p>
        </w:tc>
        <w:tc>
          <w:tcPr>
            <w:tcW w:w="1222" w:type="dxa"/>
            <w:vMerge/>
            <w:tcBorders>
              <w:bottom w:val="single" w:sz="4" w:space="0" w:color="auto"/>
            </w:tcBorders>
            <w:shd w:val="clear" w:color="auto" w:fill="92CDDC" w:themeFill="accent5" w:themeFillTint="99"/>
          </w:tcPr>
          <w:p w14:paraId="2E90C800" w14:textId="77777777" w:rsidR="00135AF2" w:rsidRPr="00AF3A24" w:rsidRDefault="00135AF2" w:rsidP="00A310A6">
            <w:pPr>
              <w:spacing w:before="0" w:line="240" w:lineRule="auto"/>
              <w:jc w:val="center"/>
              <w:rPr>
                <w:rFonts w:asciiTheme="minorHAnsi" w:hAnsiTheme="minorHAnsi" w:cstheme="minorHAnsi"/>
                <w:b/>
                <w:sz w:val="18"/>
                <w:szCs w:val="18"/>
              </w:rPr>
            </w:pPr>
          </w:p>
        </w:tc>
      </w:tr>
      <w:tr w:rsidR="00135AF2" w:rsidRPr="00AF3A24" w14:paraId="664338C5" w14:textId="77777777" w:rsidTr="00A310A6">
        <w:trPr>
          <w:jc w:val="center"/>
        </w:trPr>
        <w:tc>
          <w:tcPr>
            <w:tcW w:w="2092" w:type="dxa"/>
            <w:tcBorders>
              <w:top w:val="single" w:sz="4" w:space="0" w:color="auto"/>
              <w:bottom w:val="nil"/>
            </w:tcBorders>
            <w:shd w:val="clear" w:color="auto" w:fill="DAEEF3" w:themeFill="accent5" w:themeFillTint="33"/>
            <w:vAlign w:val="center"/>
          </w:tcPr>
          <w:p w14:paraId="7FA58654" w14:textId="77777777" w:rsidR="00135AF2" w:rsidRPr="00AF3A24" w:rsidRDefault="00135AF2" w:rsidP="00A310A6">
            <w:pPr>
              <w:spacing w:before="0" w:line="240" w:lineRule="auto"/>
              <w:ind w:left="78"/>
              <w:jc w:val="center"/>
              <w:rPr>
                <w:rFonts w:asciiTheme="minorHAnsi" w:hAnsiTheme="minorHAnsi" w:cstheme="minorHAnsi"/>
                <w:sz w:val="16"/>
                <w:szCs w:val="16"/>
              </w:rPr>
            </w:pPr>
            <w:r w:rsidRPr="00AF3A24">
              <w:rPr>
                <w:rFonts w:asciiTheme="minorHAnsi" w:hAnsiTheme="minorHAnsi" w:cstheme="minorHAnsi"/>
                <w:sz w:val="16"/>
                <w:szCs w:val="16"/>
              </w:rPr>
              <w:t>0</w:t>
            </w:r>
          </w:p>
        </w:tc>
        <w:tc>
          <w:tcPr>
            <w:tcW w:w="720" w:type="dxa"/>
            <w:tcBorders>
              <w:top w:val="single" w:sz="4" w:space="0" w:color="auto"/>
              <w:bottom w:val="nil"/>
              <w:right w:val="nil"/>
            </w:tcBorders>
            <w:shd w:val="clear" w:color="auto" w:fill="DAEEF3" w:themeFill="accent5" w:themeFillTint="33"/>
            <w:vAlign w:val="center"/>
          </w:tcPr>
          <w:p w14:paraId="0C1F4C5E"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3,912</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27C16254"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34.1</w:t>
            </w:r>
          </w:p>
          <w:p w14:paraId="40E6027D"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(32.2 - 35.9)</w:t>
            </w:r>
          </w:p>
        </w:tc>
        <w:tc>
          <w:tcPr>
            <w:tcW w:w="720" w:type="dxa"/>
            <w:tcBorders>
              <w:top w:val="single" w:sz="4" w:space="0" w:color="auto"/>
              <w:left w:val="nil"/>
              <w:bottom w:val="nil"/>
              <w:right w:val="nil"/>
            </w:tcBorders>
            <w:shd w:val="clear" w:color="auto" w:fill="DAEEF3" w:themeFill="accent5" w:themeFillTint="33"/>
            <w:vAlign w:val="center"/>
          </w:tcPr>
          <w:p w14:paraId="52FA444F"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4,265</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661B6ECD"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39.7</w:t>
            </w:r>
          </w:p>
          <w:p w14:paraId="4576A216"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(38.1 - 41.4)</w:t>
            </w:r>
          </w:p>
        </w:tc>
        <w:tc>
          <w:tcPr>
            <w:tcW w:w="720" w:type="dxa"/>
            <w:tcBorders>
              <w:top w:val="single" w:sz="4" w:space="0" w:color="auto"/>
              <w:left w:val="nil"/>
              <w:bottom w:val="nil"/>
              <w:right w:val="nil"/>
            </w:tcBorders>
            <w:shd w:val="clear" w:color="auto" w:fill="DAEEF3" w:themeFill="accent5" w:themeFillTint="33"/>
            <w:vAlign w:val="center"/>
          </w:tcPr>
          <w:p w14:paraId="73350A3E"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6,047</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54D6EE13"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54.3</w:t>
            </w:r>
          </w:p>
          <w:p w14:paraId="54782AFD"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(52.7 - 55.8)</w:t>
            </w:r>
          </w:p>
        </w:tc>
        <w:tc>
          <w:tcPr>
            <w:tcW w:w="1222" w:type="dxa"/>
            <w:vMerge w:val="restart"/>
            <w:tcBorders>
              <w:top w:val="single" w:sz="4" w:space="0" w:color="auto"/>
              <w:left w:val="nil"/>
              <w:right w:val="single" w:sz="4" w:space="0" w:color="auto"/>
            </w:tcBorders>
            <w:shd w:val="clear" w:color="auto" w:fill="DAEEF3" w:themeFill="accent5" w:themeFillTint="33"/>
            <w:vAlign w:val="center"/>
          </w:tcPr>
          <w:p w14:paraId="21160ED1" w14:textId="77777777" w:rsidR="00135AF2" w:rsidRPr="00AF3A24" w:rsidRDefault="00135AF2"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135AF2" w:rsidRPr="00AF3A24" w14:paraId="08FD5363" w14:textId="77777777" w:rsidTr="00A310A6">
        <w:trPr>
          <w:jc w:val="center"/>
        </w:trPr>
        <w:tc>
          <w:tcPr>
            <w:tcW w:w="2092" w:type="dxa"/>
            <w:tcBorders>
              <w:top w:val="nil"/>
              <w:bottom w:val="nil"/>
            </w:tcBorders>
            <w:shd w:val="clear" w:color="auto" w:fill="DAEEF3" w:themeFill="accent5" w:themeFillTint="33"/>
            <w:vAlign w:val="center"/>
          </w:tcPr>
          <w:p w14:paraId="3BE5DD65" w14:textId="77777777" w:rsidR="00135AF2" w:rsidRPr="00AF3A24" w:rsidRDefault="00135AF2" w:rsidP="00A310A6">
            <w:pPr>
              <w:spacing w:before="0" w:line="240" w:lineRule="auto"/>
              <w:ind w:left="78"/>
              <w:jc w:val="center"/>
              <w:rPr>
                <w:rFonts w:asciiTheme="minorHAnsi" w:hAnsiTheme="minorHAnsi" w:cstheme="minorHAnsi"/>
                <w:sz w:val="16"/>
                <w:szCs w:val="16"/>
              </w:rPr>
            </w:pPr>
            <w:r w:rsidRPr="00AF3A24">
              <w:rPr>
                <w:rFonts w:asciiTheme="minorHAnsi" w:hAnsiTheme="minorHAnsi" w:cstheme="minorHAnsi"/>
                <w:sz w:val="16"/>
                <w:szCs w:val="16"/>
              </w:rPr>
              <w:t>1</w:t>
            </w:r>
          </w:p>
        </w:tc>
        <w:tc>
          <w:tcPr>
            <w:tcW w:w="720" w:type="dxa"/>
            <w:tcBorders>
              <w:top w:val="nil"/>
              <w:bottom w:val="nil"/>
              <w:right w:val="nil"/>
            </w:tcBorders>
            <w:shd w:val="clear" w:color="auto" w:fill="DAEEF3" w:themeFill="accent5" w:themeFillTint="33"/>
            <w:vAlign w:val="center"/>
          </w:tcPr>
          <w:p w14:paraId="7C6B40E2"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4,229</w:t>
            </w:r>
          </w:p>
        </w:tc>
        <w:tc>
          <w:tcPr>
            <w:tcW w:w="1080" w:type="dxa"/>
            <w:tcBorders>
              <w:top w:val="nil"/>
              <w:left w:val="nil"/>
              <w:bottom w:val="nil"/>
              <w:right w:val="single" w:sz="4" w:space="0" w:color="auto"/>
            </w:tcBorders>
            <w:shd w:val="clear" w:color="auto" w:fill="DAEEF3" w:themeFill="accent5" w:themeFillTint="33"/>
            <w:vAlign w:val="center"/>
          </w:tcPr>
          <w:p w14:paraId="39A50C19"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30.4</w:t>
            </w:r>
          </w:p>
          <w:p w14:paraId="0BCDE770"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(28.8 - 32.0)</w:t>
            </w:r>
          </w:p>
        </w:tc>
        <w:tc>
          <w:tcPr>
            <w:tcW w:w="720" w:type="dxa"/>
            <w:tcBorders>
              <w:top w:val="nil"/>
              <w:left w:val="nil"/>
              <w:bottom w:val="nil"/>
              <w:right w:val="nil"/>
            </w:tcBorders>
            <w:shd w:val="clear" w:color="auto" w:fill="DAEEF3" w:themeFill="accent5" w:themeFillTint="33"/>
            <w:vAlign w:val="center"/>
          </w:tcPr>
          <w:p w14:paraId="75346AAF"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4,124</w:t>
            </w:r>
          </w:p>
        </w:tc>
        <w:tc>
          <w:tcPr>
            <w:tcW w:w="1080" w:type="dxa"/>
            <w:tcBorders>
              <w:top w:val="nil"/>
              <w:left w:val="nil"/>
              <w:bottom w:val="nil"/>
              <w:right w:val="single" w:sz="4" w:space="0" w:color="auto"/>
            </w:tcBorders>
            <w:shd w:val="clear" w:color="auto" w:fill="DAEEF3" w:themeFill="accent5" w:themeFillTint="33"/>
            <w:vAlign w:val="center"/>
          </w:tcPr>
          <w:p w14:paraId="76EDA1D9"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27.6</w:t>
            </w:r>
          </w:p>
          <w:p w14:paraId="1566FFCA"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(26.3 - 29.0)</w:t>
            </w:r>
          </w:p>
        </w:tc>
        <w:tc>
          <w:tcPr>
            <w:tcW w:w="720" w:type="dxa"/>
            <w:tcBorders>
              <w:top w:val="nil"/>
              <w:left w:val="nil"/>
              <w:bottom w:val="nil"/>
              <w:right w:val="nil"/>
            </w:tcBorders>
            <w:shd w:val="clear" w:color="auto" w:fill="DAEEF3" w:themeFill="accent5" w:themeFillTint="33"/>
            <w:vAlign w:val="center"/>
          </w:tcPr>
          <w:p w14:paraId="2B6FA8E6"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4,137</w:t>
            </w:r>
          </w:p>
        </w:tc>
        <w:tc>
          <w:tcPr>
            <w:tcW w:w="1080" w:type="dxa"/>
            <w:tcBorders>
              <w:top w:val="nil"/>
              <w:left w:val="nil"/>
              <w:bottom w:val="nil"/>
              <w:right w:val="single" w:sz="4" w:space="0" w:color="auto"/>
            </w:tcBorders>
            <w:shd w:val="clear" w:color="auto" w:fill="DAEEF3" w:themeFill="accent5" w:themeFillTint="33"/>
            <w:vAlign w:val="center"/>
          </w:tcPr>
          <w:p w14:paraId="75AF4217"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27.6</w:t>
            </w:r>
          </w:p>
          <w:p w14:paraId="5F875195"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(26.3 - 29.0)</w:t>
            </w:r>
          </w:p>
        </w:tc>
        <w:tc>
          <w:tcPr>
            <w:tcW w:w="1222" w:type="dxa"/>
            <w:vMerge/>
            <w:tcBorders>
              <w:left w:val="nil"/>
              <w:right w:val="single" w:sz="4" w:space="0" w:color="auto"/>
            </w:tcBorders>
            <w:shd w:val="clear" w:color="auto" w:fill="DAEEF3" w:themeFill="accent5" w:themeFillTint="33"/>
            <w:vAlign w:val="center"/>
          </w:tcPr>
          <w:p w14:paraId="6551AA40" w14:textId="77777777" w:rsidR="00135AF2" w:rsidRPr="00AF3A24" w:rsidRDefault="00135AF2" w:rsidP="00A310A6">
            <w:pPr>
              <w:spacing w:before="0" w:line="240" w:lineRule="auto"/>
              <w:jc w:val="center"/>
              <w:rPr>
                <w:rFonts w:asciiTheme="minorHAnsi" w:hAnsiTheme="minorHAnsi"/>
                <w:b/>
                <w:bCs/>
                <w:color w:val="000000"/>
                <w:sz w:val="16"/>
                <w:szCs w:val="16"/>
              </w:rPr>
            </w:pPr>
          </w:p>
        </w:tc>
      </w:tr>
      <w:tr w:rsidR="00135AF2" w:rsidRPr="00AF3A24" w14:paraId="68DF38BD" w14:textId="77777777" w:rsidTr="00A310A6">
        <w:trPr>
          <w:jc w:val="center"/>
        </w:trPr>
        <w:tc>
          <w:tcPr>
            <w:tcW w:w="2092" w:type="dxa"/>
            <w:tcBorders>
              <w:top w:val="nil"/>
              <w:bottom w:val="nil"/>
            </w:tcBorders>
            <w:shd w:val="clear" w:color="auto" w:fill="DAEEF3" w:themeFill="accent5" w:themeFillTint="33"/>
            <w:vAlign w:val="center"/>
          </w:tcPr>
          <w:p w14:paraId="7974B349" w14:textId="77777777" w:rsidR="00135AF2" w:rsidRPr="00AF3A24" w:rsidRDefault="00135AF2" w:rsidP="00A310A6">
            <w:pPr>
              <w:spacing w:before="0" w:line="240" w:lineRule="auto"/>
              <w:ind w:left="78"/>
              <w:jc w:val="center"/>
              <w:rPr>
                <w:rFonts w:asciiTheme="minorHAnsi" w:hAnsiTheme="minorHAnsi" w:cstheme="minorHAnsi"/>
                <w:sz w:val="16"/>
                <w:szCs w:val="16"/>
              </w:rPr>
            </w:pPr>
            <w:r w:rsidRPr="00AF3A24">
              <w:rPr>
                <w:rFonts w:asciiTheme="minorHAnsi" w:hAnsiTheme="minorHAnsi" w:cstheme="minorHAnsi"/>
                <w:sz w:val="16"/>
                <w:szCs w:val="16"/>
              </w:rPr>
              <w:t>2</w:t>
            </w:r>
          </w:p>
        </w:tc>
        <w:tc>
          <w:tcPr>
            <w:tcW w:w="720" w:type="dxa"/>
            <w:tcBorders>
              <w:top w:val="nil"/>
              <w:bottom w:val="nil"/>
              <w:right w:val="nil"/>
            </w:tcBorders>
            <w:shd w:val="clear" w:color="auto" w:fill="DAEEF3" w:themeFill="accent5" w:themeFillTint="33"/>
            <w:vAlign w:val="center"/>
          </w:tcPr>
          <w:p w14:paraId="0D0EEBD0"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2,567</w:t>
            </w:r>
          </w:p>
        </w:tc>
        <w:tc>
          <w:tcPr>
            <w:tcW w:w="1080" w:type="dxa"/>
            <w:tcBorders>
              <w:top w:val="nil"/>
              <w:left w:val="nil"/>
              <w:bottom w:val="nil"/>
              <w:right w:val="single" w:sz="4" w:space="0" w:color="auto"/>
            </w:tcBorders>
            <w:shd w:val="clear" w:color="auto" w:fill="DAEEF3" w:themeFill="accent5" w:themeFillTint="33"/>
            <w:vAlign w:val="center"/>
          </w:tcPr>
          <w:p w14:paraId="10793A72"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20.2</w:t>
            </w:r>
          </w:p>
          <w:p w14:paraId="15C3DD84"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(18.6 - 21.7)</w:t>
            </w:r>
          </w:p>
        </w:tc>
        <w:tc>
          <w:tcPr>
            <w:tcW w:w="720" w:type="dxa"/>
            <w:tcBorders>
              <w:top w:val="nil"/>
              <w:left w:val="nil"/>
              <w:bottom w:val="nil"/>
              <w:right w:val="nil"/>
            </w:tcBorders>
            <w:shd w:val="clear" w:color="auto" w:fill="DAEEF3" w:themeFill="accent5" w:themeFillTint="33"/>
            <w:vAlign w:val="center"/>
          </w:tcPr>
          <w:p w14:paraId="1615C9FA"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2,504</w:t>
            </w:r>
          </w:p>
        </w:tc>
        <w:tc>
          <w:tcPr>
            <w:tcW w:w="1080" w:type="dxa"/>
            <w:tcBorders>
              <w:top w:val="nil"/>
              <w:left w:val="nil"/>
              <w:bottom w:val="nil"/>
              <w:right w:val="single" w:sz="4" w:space="0" w:color="auto"/>
            </w:tcBorders>
            <w:shd w:val="clear" w:color="auto" w:fill="DAEEF3" w:themeFill="accent5" w:themeFillTint="33"/>
            <w:vAlign w:val="center"/>
          </w:tcPr>
          <w:p w14:paraId="5CF23810"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18.1</w:t>
            </w:r>
          </w:p>
          <w:p w14:paraId="535D9926"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(17.0 - 19.2)</w:t>
            </w:r>
          </w:p>
        </w:tc>
        <w:tc>
          <w:tcPr>
            <w:tcW w:w="720" w:type="dxa"/>
            <w:tcBorders>
              <w:top w:val="nil"/>
              <w:left w:val="nil"/>
              <w:bottom w:val="nil"/>
              <w:right w:val="nil"/>
            </w:tcBorders>
            <w:shd w:val="clear" w:color="auto" w:fill="DAEEF3" w:themeFill="accent5" w:themeFillTint="33"/>
            <w:vAlign w:val="center"/>
          </w:tcPr>
          <w:p w14:paraId="48C930C1"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1,534</w:t>
            </w:r>
          </w:p>
        </w:tc>
        <w:tc>
          <w:tcPr>
            <w:tcW w:w="1080" w:type="dxa"/>
            <w:tcBorders>
              <w:top w:val="nil"/>
              <w:left w:val="nil"/>
              <w:bottom w:val="nil"/>
              <w:right w:val="single" w:sz="4" w:space="0" w:color="auto"/>
            </w:tcBorders>
            <w:shd w:val="clear" w:color="auto" w:fill="DAEEF3" w:themeFill="accent5" w:themeFillTint="33"/>
            <w:vAlign w:val="center"/>
          </w:tcPr>
          <w:p w14:paraId="69602FCE"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10.9</w:t>
            </w:r>
          </w:p>
          <w:p w14:paraId="2A16EDEB"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(9.9 - 11.9)</w:t>
            </w:r>
          </w:p>
        </w:tc>
        <w:tc>
          <w:tcPr>
            <w:tcW w:w="1222" w:type="dxa"/>
            <w:vMerge/>
            <w:tcBorders>
              <w:left w:val="nil"/>
              <w:right w:val="single" w:sz="4" w:space="0" w:color="auto"/>
            </w:tcBorders>
            <w:shd w:val="clear" w:color="auto" w:fill="DAEEF3" w:themeFill="accent5" w:themeFillTint="33"/>
            <w:vAlign w:val="center"/>
          </w:tcPr>
          <w:p w14:paraId="4CB2226B" w14:textId="77777777" w:rsidR="00135AF2" w:rsidRPr="00AF3A24" w:rsidRDefault="00135AF2" w:rsidP="00A310A6">
            <w:pPr>
              <w:spacing w:before="0" w:line="240" w:lineRule="auto"/>
              <w:jc w:val="center"/>
              <w:rPr>
                <w:rFonts w:asciiTheme="minorHAnsi" w:hAnsiTheme="minorHAnsi"/>
                <w:b/>
                <w:bCs/>
                <w:color w:val="000000"/>
                <w:sz w:val="16"/>
                <w:szCs w:val="16"/>
              </w:rPr>
            </w:pPr>
          </w:p>
        </w:tc>
      </w:tr>
      <w:tr w:rsidR="00135AF2" w:rsidRPr="00AF3A24" w14:paraId="17B06543" w14:textId="77777777" w:rsidTr="00A310A6">
        <w:trPr>
          <w:jc w:val="center"/>
        </w:trPr>
        <w:tc>
          <w:tcPr>
            <w:tcW w:w="2092" w:type="dxa"/>
            <w:tcBorders>
              <w:top w:val="nil"/>
              <w:bottom w:val="nil"/>
            </w:tcBorders>
            <w:shd w:val="clear" w:color="auto" w:fill="DAEEF3" w:themeFill="accent5" w:themeFillTint="33"/>
            <w:vAlign w:val="center"/>
          </w:tcPr>
          <w:p w14:paraId="56908AA4" w14:textId="77777777" w:rsidR="00135AF2" w:rsidRPr="00AF3A24" w:rsidRDefault="00135AF2" w:rsidP="00A310A6">
            <w:pPr>
              <w:spacing w:before="0" w:line="240" w:lineRule="auto"/>
              <w:ind w:left="78"/>
              <w:jc w:val="center"/>
              <w:rPr>
                <w:rFonts w:asciiTheme="minorHAnsi" w:hAnsiTheme="minorHAnsi" w:cstheme="minorHAnsi"/>
                <w:sz w:val="16"/>
                <w:szCs w:val="16"/>
              </w:rPr>
            </w:pPr>
            <w:r w:rsidRPr="00AF3A24">
              <w:rPr>
                <w:rFonts w:asciiTheme="minorHAnsi" w:hAnsiTheme="minorHAnsi" w:cstheme="minorHAnsi"/>
                <w:sz w:val="16"/>
                <w:szCs w:val="16"/>
              </w:rPr>
              <w:t>3</w:t>
            </w:r>
          </w:p>
        </w:tc>
        <w:tc>
          <w:tcPr>
            <w:tcW w:w="720" w:type="dxa"/>
            <w:tcBorders>
              <w:top w:val="nil"/>
              <w:bottom w:val="nil"/>
              <w:right w:val="nil"/>
            </w:tcBorders>
            <w:shd w:val="clear" w:color="auto" w:fill="DAEEF3" w:themeFill="accent5" w:themeFillTint="33"/>
            <w:vAlign w:val="center"/>
          </w:tcPr>
          <w:p w14:paraId="0223A992"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1,105</w:t>
            </w:r>
          </w:p>
        </w:tc>
        <w:tc>
          <w:tcPr>
            <w:tcW w:w="1080" w:type="dxa"/>
            <w:tcBorders>
              <w:top w:val="nil"/>
              <w:left w:val="nil"/>
              <w:bottom w:val="nil"/>
              <w:right w:val="single" w:sz="4" w:space="0" w:color="auto"/>
            </w:tcBorders>
            <w:shd w:val="clear" w:color="auto" w:fill="DAEEF3" w:themeFill="accent5" w:themeFillTint="33"/>
            <w:vAlign w:val="center"/>
          </w:tcPr>
          <w:p w14:paraId="2D2D0069"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9.4</w:t>
            </w:r>
          </w:p>
          <w:p w14:paraId="327582BB"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(8.4 - 10.4)</w:t>
            </w:r>
          </w:p>
        </w:tc>
        <w:tc>
          <w:tcPr>
            <w:tcW w:w="720" w:type="dxa"/>
            <w:tcBorders>
              <w:top w:val="nil"/>
              <w:left w:val="nil"/>
              <w:bottom w:val="nil"/>
              <w:right w:val="nil"/>
            </w:tcBorders>
            <w:shd w:val="clear" w:color="auto" w:fill="DAEEF3" w:themeFill="accent5" w:themeFillTint="33"/>
            <w:vAlign w:val="center"/>
          </w:tcPr>
          <w:p w14:paraId="61250E75"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1,002</w:t>
            </w:r>
          </w:p>
        </w:tc>
        <w:tc>
          <w:tcPr>
            <w:tcW w:w="1080" w:type="dxa"/>
            <w:tcBorders>
              <w:top w:val="nil"/>
              <w:left w:val="nil"/>
              <w:bottom w:val="nil"/>
              <w:right w:val="single" w:sz="4" w:space="0" w:color="auto"/>
            </w:tcBorders>
            <w:shd w:val="clear" w:color="auto" w:fill="DAEEF3" w:themeFill="accent5" w:themeFillTint="33"/>
            <w:vAlign w:val="center"/>
          </w:tcPr>
          <w:p w14:paraId="65A88621"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7.7</w:t>
            </w:r>
          </w:p>
          <w:p w14:paraId="0D2E81D9"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(6.9 - 8.5)</w:t>
            </w:r>
          </w:p>
        </w:tc>
        <w:tc>
          <w:tcPr>
            <w:tcW w:w="720" w:type="dxa"/>
            <w:tcBorders>
              <w:top w:val="nil"/>
              <w:left w:val="nil"/>
              <w:bottom w:val="nil"/>
              <w:right w:val="nil"/>
            </w:tcBorders>
            <w:shd w:val="clear" w:color="auto" w:fill="DAEEF3" w:themeFill="accent5" w:themeFillTint="33"/>
            <w:vAlign w:val="center"/>
          </w:tcPr>
          <w:p w14:paraId="4C381DD9"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556</w:t>
            </w:r>
          </w:p>
        </w:tc>
        <w:tc>
          <w:tcPr>
            <w:tcW w:w="1080" w:type="dxa"/>
            <w:tcBorders>
              <w:top w:val="nil"/>
              <w:left w:val="nil"/>
              <w:bottom w:val="nil"/>
              <w:right w:val="single" w:sz="4" w:space="0" w:color="auto"/>
            </w:tcBorders>
            <w:shd w:val="clear" w:color="auto" w:fill="DAEEF3" w:themeFill="accent5" w:themeFillTint="33"/>
            <w:vAlign w:val="center"/>
          </w:tcPr>
          <w:p w14:paraId="1FDDFAA1"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4.2</w:t>
            </w:r>
          </w:p>
          <w:p w14:paraId="21E4C270"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(3.6 - 4.8)</w:t>
            </w:r>
          </w:p>
        </w:tc>
        <w:tc>
          <w:tcPr>
            <w:tcW w:w="1222" w:type="dxa"/>
            <w:vMerge/>
            <w:tcBorders>
              <w:left w:val="nil"/>
              <w:right w:val="single" w:sz="4" w:space="0" w:color="auto"/>
            </w:tcBorders>
            <w:shd w:val="clear" w:color="auto" w:fill="DAEEF3" w:themeFill="accent5" w:themeFillTint="33"/>
            <w:vAlign w:val="center"/>
          </w:tcPr>
          <w:p w14:paraId="60041542" w14:textId="77777777" w:rsidR="00135AF2" w:rsidRPr="00AF3A24" w:rsidRDefault="00135AF2" w:rsidP="00A310A6">
            <w:pPr>
              <w:spacing w:before="0" w:line="240" w:lineRule="auto"/>
              <w:jc w:val="center"/>
              <w:rPr>
                <w:rFonts w:asciiTheme="minorHAnsi" w:hAnsiTheme="minorHAnsi"/>
                <w:b/>
                <w:bCs/>
                <w:color w:val="000000"/>
                <w:sz w:val="16"/>
                <w:szCs w:val="16"/>
              </w:rPr>
            </w:pPr>
          </w:p>
        </w:tc>
      </w:tr>
      <w:tr w:rsidR="00135AF2" w:rsidRPr="00AF3A24" w14:paraId="183FE163" w14:textId="77777777" w:rsidTr="00A310A6">
        <w:trPr>
          <w:jc w:val="center"/>
        </w:trPr>
        <w:tc>
          <w:tcPr>
            <w:tcW w:w="2092" w:type="dxa"/>
            <w:tcBorders>
              <w:top w:val="nil"/>
              <w:bottom w:val="single" w:sz="4" w:space="0" w:color="auto"/>
            </w:tcBorders>
            <w:shd w:val="clear" w:color="auto" w:fill="DAEEF3" w:themeFill="accent5" w:themeFillTint="33"/>
            <w:vAlign w:val="center"/>
          </w:tcPr>
          <w:p w14:paraId="65297E79" w14:textId="77777777" w:rsidR="00135AF2" w:rsidRPr="00AF3A24" w:rsidRDefault="00135AF2" w:rsidP="00A310A6">
            <w:pPr>
              <w:spacing w:before="0" w:line="240" w:lineRule="auto"/>
              <w:ind w:left="78"/>
              <w:jc w:val="center"/>
              <w:rPr>
                <w:rFonts w:asciiTheme="minorHAnsi" w:hAnsiTheme="minorHAnsi" w:cstheme="minorHAnsi"/>
                <w:sz w:val="16"/>
                <w:szCs w:val="16"/>
              </w:rPr>
            </w:pPr>
            <w:r w:rsidRPr="00AF3A24">
              <w:rPr>
                <w:rFonts w:asciiTheme="minorHAnsi" w:hAnsiTheme="minorHAnsi" w:cstheme="minorHAnsi"/>
                <w:sz w:val="16"/>
                <w:szCs w:val="16"/>
              </w:rPr>
              <w:t>4 or more</w:t>
            </w:r>
          </w:p>
        </w:tc>
        <w:tc>
          <w:tcPr>
            <w:tcW w:w="720" w:type="dxa"/>
            <w:tcBorders>
              <w:top w:val="nil"/>
              <w:bottom w:val="single" w:sz="4" w:space="0" w:color="auto"/>
              <w:right w:val="nil"/>
            </w:tcBorders>
            <w:shd w:val="clear" w:color="auto" w:fill="DAEEF3" w:themeFill="accent5" w:themeFillTint="33"/>
            <w:vAlign w:val="center"/>
          </w:tcPr>
          <w:p w14:paraId="03E5DE93"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716</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24984F1F"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w:t>
            </w:r>
          </w:p>
          <w:p w14:paraId="02202810"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(5.0 - 6.8)</w:t>
            </w:r>
          </w:p>
        </w:tc>
        <w:tc>
          <w:tcPr>
            <w:tcW w:w="720" w:type="dxa"/>
            <w:tcBorders>
              <w:top w:val="nil"/>
              <w:left w:val="nil"/>
              <w:bottom w:val="single" w:sz="4" w:space="0" w:color="auto"/>
              <w:right w:val="nil"/>
            </w:tcBorders>
            <w:shd w:val="clear" w:color="auto" w:fill="DAEEF3" w:themeFill="accent5" w:themeFillTint="33"/>
            <w:vAlign w:val="center"/>
          </w:tcPr>
          <w:p w14:paraId="26ADB273"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593</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70A3A7F0"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5.2</w:t>
            </w:r>
          </w:p>
          <w:p w14:paraId="516EA1F1"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(4.5 - 5.9)</w:t>
            </w:r>
          </w:p>
        </w:tc>
        <w:tc>
          <w:tcPr>
            <w:tcW w:w="720" w:type="dxa"/>
            <w:tcBorders>
              <w:top w:val="nil"/>
              <w:left w:val="nil"/>
              <w:bottom w:val="single" w:sz="4" w:space="0" w:color="auto"/>
              <w:right w:val="nil"/>
            </w:tcBorders>
            <w:shd w:val="clear" w:color="auto" w:fill="DAEEF3" w:themeFill="accent5" w:themeFillTint="33"/>
            <w:vAlign w:val="center"/>
          </w:tcPr>
          <w:p w14:paraId="1C4768DA" w14:textId="77777777" w:rsidR="00135AF2" w:rsidRPr="00AF3A24" w:rsidRDefault="00135AF2"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322</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7A8E45EA"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3.0</w:t>
            </w:r>
          </w:p>
          <w:p w14:paraId="3F1D103A" w14:textId="77777777" w:rsidR="00135AF2" w:rsidRPr="003767EF" w:rsidRDefault="00135AF2" w:rsidP="00A310A6">
            <w:pPr>
              <w:spacing w:before="0" w:line="240" w:lineRule="auto"/>
              <w:jc w:val="center"/>
              <w:rPr>
                <w:rFonts w:asciiTheme="minorHAnsi" w:hAnsiTheme="minorHAnsi"/>
                <w:bCs/>
                <w:color w:val="000000"/>
                <w:sz w:val="16"/>
                <w:szCs w:val="18"/>
              </w:rPr>
            </w:pPr>
            <w:r w:rsidRPr="003767EF">
              <w:rPr>
                <w:rFonts w:asciiTheme="minorHAnsi" w:hAnsiTheme="minorHAnsi"/>
                <w:bCs/>
                <w:color w:val="000000"/>
                <w:sz w:val="16"/>
                <w:szCs w:val="18"/>
              </w:rPr>
              <w:t>(2.4 - 3.6)</w:t>
            </w:r>
          </w:p>
        </w:tc>
        <w:tc>
          <w:tcPr>
            <w:tcW w:w="1222" w:type="dxa"/>
            <w:vMerge/>
            <w:tcBorders>
              <w:left w:val="nil"/>
              <w:bottom w:val="single" w:sz="4" w:space="0" w:color="auto"/>
              <w:right w:val="single" w:sz="4" w:space="0" w:color="auto"/>
            </w:tcBorders>
            <w:shd w:val="clear" w:color="auto" w:fill="DAEEF3" w:themeFill="accent5" w:themeFillTint="33"/>
            <w:vAlign w:val="center"/>
          </w:tcPr>
          <w:p w14:paraId="59046267" w14:textId="77777777" w:rsidR="00135AF2" w:rsidRPr="00AF3A24" w:rsidRDefault="00135AF2" w:rsidP="00A310A6">
            <w:pPr>
              <w:spacing w:before="0" w:line="240" w:lineRule="auto"/>
              <w:jc w:val="center"/>
              <w:rPr>
                <w:rFonts w:asciiTheme="minorHAnsi" w:hAnsiTheme="minorHAnsi"/>
                <w:b/>
                <w:bCs/>
                <w:color w:val="000000"/>
                <w:sz w:val="16"/>
                <w:szCs w:val="16"/>
              </w:rPr>
            </w:pPr>
          </w:p>
        </w:tc>
      </w:tr>
    </w:tbl>
    <w:p w14:paraId="65B64FE1" w14:textId="77777777" w:rsidR="00135AF2" w:rsidRPr="00AF3A24" w:rsidRDefault="00135AF2" w:rsidP="00135AF2">
      <w:pPr>
        <w:spacing w:before="0" w:line="240" w:lineRule="auto"/>
        <w:ind w:left="709"/>
        <w:rPr>
          <w:rFonts w:asciiTheme="minorHAnsi" w:hAnsiTheme="minorHAnsi" w:cstheme="minorHAnsi"/>
          <w:sz w:val="16"/>
          <w:szCs w:val="16"/>
        </w:rPr>
      </w:pPr>
      <w:r w:rsidRPr="00AF3A24">
        <w:rPr>
          <w:rFonts w:asciiTheme="minorHAnsi" w:hAnsiTheme="minorHAnsi" w:cstheme="minorHAnsi"/>
          <w:sz w:val="16"/>
          <w:szCs w:val="16"/>
        </w:rPr>
        <w:t>Notes:</w:t>
      </w:r>
    </w:p>
    <w:p w14:paraId="1E235E6E" w14:textId="603C193F" w:rsidR="00135AF2" w:rsidRPr="00AF3A24" w:rsidRDefault="00135AF2" w:rsidP="006A0B0E">
      <w:pPr>
        <w:pStyle w:val="ListParagraph"/>
        <w:numPr>
          <w:ilvl w:val="0"/>
          <w:numId w:val="31"/>
        </w:numPr>
        <w:spacing w:line="240" w:lineRule="auto"/>
        <w:ind w:left="993" w:hanging="284"/>
        <w:rPr>
          <w:rFonts w:asciiTheme="minorHAnsi" w:hAnsiTheme="minorHAnsi" w:cstheme="minorHAnsi"/>
          <w:sz w:val="16"/>
          <w:szCs w:val="16"/>
        </w:rPr>
      </w:pPr>
      <w:r w:rsidRPr="00AF3A24">
        <w:rPr>
          <w:rFonts w:asciiTheme="minorHAnsi" w:hAnsiTheme="minorHAnsi" w:cstheme="minorHAnsi"/>
          <w:sz w:val="16"/>
          <w:szCs w:val="16"/>
        </w:rPr>
        <w:t xml:space="preserve">Sources: 2002/03, 2006/07 and 2011/12 New Zealand Health Surveys. </w:t>
      </w:r>
      <w:r w:rsidR="003D06E5">
        <w:rPr>
          <w:rFonts w:asciiTheme="minorHAnsi" w:hAnsiTheme="minorHAnsi" w:cstheme="minorHAnsi"/>
          <w:sz w:val="16"/>
          <w:szCs w:val="16"/>
        </w:rPr>
        <w:t>NB: P</w:t>
      </w:r>
      <w:r>
        <w:rPr>
          <w:rFonts w:asciiTheme="minorHAnsi" w:hAnsiTheme="minorHAnsi" w:cstheme="minorHAnsi"/>
          <w:sz w:val="16"/>
          <w:szCs w:val="16"/>
        </w:rPr>
        <w:t>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Pr>
          <w:rFonts w:asciiTheme="minorHAnsi" w:hAnsiTheme="minorHAnsi" w:cstheme="minorHAnsi"/>
          <w:sz w:val="16"/>
          <w:szCs w:val="16"/>
        </w:rPr>
        <w:t>.</w:t>
      </w:r>
      <w:r w:rsidR="003D06E5">
        <w:rPr>
          <w:rFonts w:asciiTheme="minorHAnsi" w:hAnsiTheme="minorHAnsi" w:cstheme="minorHAnsi"/>
          <w:sz w:val="16"/>
          <w:szCs w:val="16"/>
        </w:rPr>
        <w:t xml:space="preserve"> As such, the results presented here differ slightly to those presented earlier in</w:t>
      </w:r>
      <w:r w:rsidR="005309E2">
        <w:rPr>
          <w:rFonts w:asciiTheme="minorHAnsi" w:hAnsiTheme="minorHAnsi" w:cstheme="minorHAnsi"/>
          <w:sz w:val="16"/>
          <w:szCs w:val="16"/>
        </w:rPr>
        <w:t xml:space="preserve"> Table 7</w:t>
      </w:r>
      <w:r w:rsidR="003D06E5">
        <w:rPr>
          <w:rFonts w:asciiTheme="minorHAnsi" w:hAnsiTheme="minorHAnsi" w:cstheme="minorHAnsi"/>
          <w:sz w:val="16"/>
          <w:szCs w:val="16"/>
        </w:rPr>
        <w:t xml:space="preserve">. </w:t>
      </w:r>
    </w:p>
    <w:p w14:paraId="4DEA66D2" w14:textId="77777777" w:rsidR="00135AF2" w:rsidRDefault="00135AF2" w:rsidP="006A0B0E">
      <w:pPr>
        <w:pStyle w:val="ListParagraph"/>
        <w:numPr>
          <w:ilvl w:val="0"/>
          <w:numId w:val="31"/>
        </w:numPr>
        <w:spacing w:after="200" w:line="240" w:lineRule="auto"/>
        <w:ind w:left="993" w:hanging="284"/>
        <w:jc w:val="left"/>
        <w:rPr>
          <w:rFonts w:asciiTheme="minorHAnsi" w:hAnsiTheme="minorHAnsi" w:cstheme="minorHAnsi"/>
          <w:sz w:val="16"/>
        </w:rPr>
      </w:pPr>
      <w:r w:rsidRPr="00AF3A24">
        <w:rPr>
          <w:rFonts w:asciiTheme="minorHAnsi" w:hAnsiTheme="minorHAnsi" w:cstheme="minorHAnsi"/>
          <w:sz w:val="16"/>
        </w:rPr>
        <w:t>Logistic regression analyses have controlled for gender, age, ethnicity, neighbourhood deprivation, and geography (urban/rural).</w:t>
      </w:r>
    </w:p>
    <w:p w14:paraId="4A1648D1" w14:textId="77777777" w:rsidR="007672E9" w:rsidRDefault="007672E9" w:rsidP="007672E9">
      <w:pPr>
        <w:spacing w:line="240" w:lineRule="auto"/>
        <w:rPr>
          <w:rFonts w:asciiTheme="minorHAnsi" w:hAnsiTheme="minorHAnsi"/>
        </w:rPr>
      </w:pPr>
    </w:p>
    <w:p w14:paraId="62454872" w14:textId="77777777" w:rsidR="00A847CC" w:rsidRDefault="004770DE" w:rsidP="00DD52D4">
      <w:pPr>
        <w:rPr>
          <w:rFonts w:asciiTheme="minorHAnsi" w:hAnsiTheme="minorHAnsi"/>
        </w:rPr>
      </w:pPr>
      <w:r>
        <w:rPr>
          <w:rFonts w:asciiTheme="minorHAnsi" w:hAnsiTheme="minorHAnsi"/>
        </w:rPr>
        <w:t>Figure 14</w:t>
      </w:r>
      <w:r w:rsidR="00135AF2">
        <w:rPr>
          <w:rFonts w:asciiTheme="minorHAnsi" w:hAnsiTheme="minorHAnsi"/>
        </w:rPr>
        <w:t xml:space="preserve"> </w:t>
      </w:r>
      <w:r w:rsidR="00F061EF">
        <w:rPr>
          <w:rFonts w:asciiTheme="minorHAnsi" w:hAnsiTheme="minorHAnsi"/>
        </w:rPr>
        <w:t xml:space="preserve">provides an </w:t>
      </w:r>
      <w:r w:rsidR="00135AF2">
        <w:rPr>
          <w:rFonts w:asciiTheme="minorHAnsi" w:hAnsiTheme="minorHAnsi"/>
        </w:rPr>
        <w:t>illustrat</w:t>
      </w:r>
      <w:r w:rsidR="00F061EF">
        <w:rPr>
          <w:rFonts w:asciiTheme="minorHAnsi" w:hAnsiTheme="minorHAnsi"/>
        </w:rPr>
        <w:t>ion of</w:t>
      </w:r>
      <w:r w:rsidR="00135AF2">
        <w:rPr>
          <w:rFonts w:asciiTheme="minorHAnsi" w:hAnsiTheme="minorHAnsi"/>
        </w:rPr>
        <w:t xml:space="preserve"> the </w:t>
      </w:r>
      <w:r w:rsidR="00B54501">
        <w:rPr>
          <w:rFonts w:asciiTheme="minorHAnsi" w:hAnsiTheme="minorHAnsi"/>
        </w:rPr>
        <w:t xml:space="preserve">decrease in the proportions of people gambling on </w:t>
      </w:r>
      <w:r w:rsidR="00B54501" w:rsidRPr="00966911">
        <w:rPr>
          <w:rFonts w:asciiTheme="minorHAnsi" w:hAnsiTheme="minorHAnsi"/>
          <w:i/>
        </w:rPr>
        <w:t>two</w:t>
      </w:r>
      <w:r w:rsidR="00B54501">
        <w:rPr>
          <w:rFonts w:asciiTheme="minorHAnsi" w:hAnsiTheme="minorHAnsi"/>
        </w:rPr>
        <w:t xml:space="preserve">, </w:t>
      </w:r>
      <w:r w:rsidR="00B54501" w:rsidRPr="00966911">
        <w:rPr>
          <w:rFonts w:asciiTheme="minorHAnsi" w:hAnsiTheme="minorHAnsi"/>
          <w:i/>
        </w:rPr>
        <w:t>three</w:t>
      </w:r>
      <w:r w:rsidR="00B54501">
        <w:rPr>
          <w:rFonts w:asciiTheme="minorHAnsi" w:hAnsiTheme="minorHAnsi"/>
        </w:rPr>
        <w:t xml:space="preserve"> and </w:t>
      </w:r>
      <w:r w:rsidR="00B54501" w:rsidRPr="00966911">
        <w:rPr>
          <w:rFonts w:asciiTheme="minorHAnsi" w:hAnsiTheme="minorHAnsi"/>
          <w:i/>
        </w:rPr>
        <w:t>four or more</w:t>
      </w:r>
      <w:r w:rsidR="00B54501">
        <w:rPr>
          <w:rFonts w:asciiTheme="minorHAnsi" w:hAnsiTheme="minorHAnsi"/>
        </w:rPr>
        <w:t xml:space="preserve"> activities across the survey waves, along with a </w:t>
      </w:r>
      <w:r w:rsidR="00135AF2">
        <w:rPr>
          <w:rFonts w:asciiTheme="minorHAnsi" w:hAnsiTheme="minorHAnsi"/>
        </w:rPr>
        <w:t>substantial increase in the proportion of people who had not gambled in the past 12 months (</w:t>
      </w:r>
      <w:r w:rsidR="00135AF2" w:rsidRPr="00966911">
        <w:rPr>
          <w:rFonts w:asciiTheme="minorHAnsi" w:hAnsiTheme="minorHAnsi"/>
          <w:i/>
        </w:rPr>
        <w:t>zero</w:t>
      </w:r>
      <w:r w:rsidR="00135AF2">
        <w:rPr>
          <w:rFonts w:asciiTheme="minorHAnsi" w:hAnsiTheme="minorHAnsi"/>
        </w:rPr>
        <w:t xml:space="preserve"> activities).  </w:t>
      </w:r>
      <w:r w:rsidR="00A9547F">
        <w:rPr>
          <w:rFonts w:asciiTheme="minorHAnsi" w:hAnsiTheme="minorHAnsi"/>
        </w:rPr>
        <w:t>It also shows that t</w:t>
      </w:r>
      <w:r w:rsidR="00966911">
        <w:rPr>
          <w:rFonts w:asciiTheme="minorHAnsi" w:hAnsiTheme="minorHAnsi"/>
        </w:rPr>
        <w:t xml:space="preserve">he proportion of people who had gambled on </w:t>
      </w:r>
      <w:r w:rsidR="00966911" w:rsidRPr="00966911">
        <w:rPr>
          <w:rFonts w:asciiTheme="minorHAnsi" w:hAnsiTheme="minorHAnsi"/>
          <w:i/>
        </w:rPr>
        <w:t>one</w:t>
      </w:r>
      <w:r w:rsidR="00966911">
        <w:rPr>
          <w:rFonts w:asciiTheme="minorHAnsi" w:hAnsiTheme="minorHAnsi"/>
        </w:rPr>
        <w:t xml:space="preserve"> activity remained </w:t>
      </w:r>
      <w:r w:rsidR="00B54501">
        <w:rPr>
          <w:rFonts w:asciiTheme="minorHAnsi" w:hAnsiTheme="minorHAnsi"/>
        </w:rPr>
        <w:t xml:space="preserve">fairly </w:t>
      </w:r>
      <w:r w:rsidR="00966911">
        <w:rPr>
          <w:rFonts w:asciiTheme="minorHAnsi" w:hAnsiTheme="minorHAnsi"/>
        </w:rPr>
        <w:t>stable</w:t>
      </w:r>
      <w:r w:rsidR="00135AF2">
        <w:rPr>
          <w:rFonts w:asciiTheme="minorHAnsi" w:hAnsiTheme="minorHAnsi"/>
        </w:rPr>
        <w:t xml:space="preserve">. </w:t>
      </w:r>
    </w:p>
    <w:p w14:paraId="144CF39C" w14:textId="77777777" w:rsidR="001B4A71" w:rsidRDefault="001B4A71">
      <w:pPr>
        <w:spacing w:before="0" w:after="200" w:line="276" w:lineRule="auto"/>
        <w:jc w:val="left"/>
        <w:rPr>
          <w:rFonts w:asciiTheme="minorHAnsi" w:hAnsiTheme="minorHAnsi" w:cstheme="minorHAnsi"/>
          <w:b/>
          <w:bCs/>
          <w:i/>
          <w:sz w:val="20"/>
          <w:szCs w:val="20"/>
        </w:rPr>
      </w:pPr>
      <w:bookmarkStart w:id="80" w:name="_Ref397441014"/>
      <w:bookmarkStart w:id="81" w:name="_Toc425426987"/>
      <w:r>
        <w:rPr>
          <w:rFonts w:asciiTheme="minorHAnsi" w:hAnsiTheme="minorHAnsi" w:cstheme="minorHAnsi"/>
          <w:i/>
        </w:rPr>
        <w:br w:type="page"/>
      </w:r>
    </w:p>
    <w:p w14:paraId="16F915D5" w14:textId="378C16A1" w:rsidR="00A847CC" w:rsidRPr="00A847CC" w:rsidRDefault="00A847CC" w:rsidP="00B970C8">
      <w:pPr>
        <w:pStyle w:val="Caption"/>
        <w:keepNext/>
        <w:spacing w:after="0" w:line="276" w:lineRule="auto"/>
        <w:ind w:left="993" w:hanging="993"/>
        <w:rPr>
          <w:rFonts w:asciiTheme="minorHAnsi" w:hAnsiTheme="minorHAnsi" w:cstheme="minorHAnsi"/>
          <w:i/>
        </w:rPr>
      </w:pPr>
      <w:r w:rsidRPr="003670BB">
        <w:rPr>
          <w:rFonts w:asciiTheme="minorHAnsi" w:hAnsiTheme="minorHAnsi" w:cstheme="minorHAnsi"/>
          <w:i/>
        </w:rPr>
        <w:lastRenderedPageBreak/>
        <w:t xml:space="preserve">Figure </w:t>
      </w:r>
      <w:r w:rsidRPr="003670BB">
        <w:rPr>
          <w:rFonts w:asciiTheme="minorHAnsi" w:hAnsiTheme="minorHAnsi" w:cstheme="minorHAnsi"/>
          <w:i/>
        </w:rPr>
        <w:fldChar w:fldCharType="begin"/>
      </w:r>
      <w:r w:rsidRPr="003670BB">
        <w:rPr>
          <w:rFonts w:asciiTheme="minorHAnsi" w:hAnsiTheme="minorHAnsi" w:cstheme="minorHAnsi"/>
          <w:i/>
        </w:rPr>
        <w:instrText xml:space="preserve"> SEQ Figure \* ARABIC </w:instrText>
      </w:r>
      <w:r w:rsidRPr="003670BB">
        <w:rPr>
          <w:rFonts w:asciiTheme="minorHAnsi" w:hAnsiTheme="minorHAnsi" w:cstheme="minorHAnsi"/>
          <w:i/>
        </w:rPr>
        <w:fldChar w:fldCharType="separate"/>
      </w:r>
      <w:r w:rsidR="00D71107" w:rsidRPr="003670BB">
        <w:rPr>
          <w:rFonts w:asciiTheme="minorHAnsi" w:hAnsiTheme="minorHAnsi" w:cstheme="minorHAnsi"/>
          <w:i/>
          <w:noProof/>
        </w:rPr>
        <w:t>14</w:t>
      </w:r>
      <w:r w:rsidRPr="003670BB">
        <w:rPr>
          <w:rFonts w:asciiTheme="minorHAnsi" w:hAnsiTheme="minorHAnsi" w:cstheme="minorHAnsi"/>
          <w:i/>
        </w:rPr>
        <w:fldChar w:fldCharType="end"/>
      </w:r>
      <w:bookmarkEnd w:id="80"/>
      <w:r w:rsidRPr="003670BB">
        <w:rPr>
          <w:rFonts w:asciiTheme="minorHAnsi" w:hAnsiTheme="minorHAnsi" w:cstheme="minorHAnsi"/>
          <w:i/>
        </w:rPr>
        <w:t xml:space="preserve">: </w:t>
      </w:r>
      <w:r w:rsidR="00AF6E1C" w:rsidRPr="003670BB">
        <w:rPr>
          <w:rFonts w:asciiTheme="minorHAnsi" w:hAnsiTheme="minorHAnsi" w:cstheme="minorHAnsi"/>
          <w:i/>
        </w:rPr>
        <w:tab/>
      </w:r>
      <w:r w:rsidRPr="003670BB">
        <w:rPr>
          <w:rFonts w:asciiTheme="minorHAnsi" w:hAnsiTheme="minorHAnsi" w:cstheme="minorHAnsi"/>
          <w:i/>
        </w:rPr>
        <w:t>Number of gambling activities participated in during the last 12 months by NZHS survey wave, total population aged 15 years and over</w:t>
      </w:r>
      <w:r w:rsidR="00BB20F9" w:rsidRPr="003670BB">
        <w:rPr>
          <w:rFonts w:asciiTheme="minorHAnsi" w:hAnsiTheme="minorHAnsi" w:cstheme="minorHAnsi"/>
          <w:i/>
        </w:rPr>
        <w:t xml:space="preserve"> (adjusted prevalence</w:t>
      </w:r>
      <w:r w:rsidRPr="003670BB">
        <w:rPr>
          <w:rFonts w:asciiTheme="minorHAnsi" w:hAnsiTheme="minorHAnsi" w:cstheme="minorHAnsi"/>
          <w:i/>
        </w:rPr>
        <w:t>)</w:t>
      </w:r>
      <w:r w:rsidR="003B601E" w:rsidRPr="003670BB">
        <w:rPr>
          <w:rFonts w:asciiTheme="minorHAnsi" w:hAnsiTheme="minorHAnsi" w:cstheme="minorHAnsi"/>
          <w:i/>
        </w:rPr>
        <w:t xml:space="preserve"> </w:t>
      </w:r>
      <w:r w:rsidR="00DC770D" w:rsidRPr="003670BB">
        <w:rPr>
          <w:rFonts w:asciiTheme="minorHAnsi" w:hAnsiTheme="minorHAnsi" w:cstheme="minorHAnsi"/>
          <w:i/>
          <w:vertAlign w:val="superscript"/>
        </w:rPr>
        <w:t>1</w:t>
      </w:r>
      <w:bookmarkEnd w:id="81"/>
    </w:p>
    <w:p w14:paraId="0072A39D" w14:textId="77777777" w:rsidR="001D35E5" w:rsidRDefault="001D35E5" w:rsidP="003B601E">
      <w:pPr>
        <w:spacing w:before="0" w:line="240" w:lineRule="auto"/>
        <w:ind w:left="450" w:right="521"/>
        <w:rPr>
          <w:rFonts w:asciiTheme="minorHAnsi" w:hAnsiTheme="minorHAnsi" w:cstheme="minorHAnsi"/>
          <w:sz w:val="16"/>
          <w:szCs w:val="16"/>
        </w:rPr>
      </w:pPr>
    </w:p>
    <w:p w14:paraId="48FB6BD1" w14:textId="2173892E" w:rsidR="001D35E5" w:rsidRDefault="001D35E5" w:rsidP="003B601E">
      <w:pPr>
        <w:spacing w:before="0" w:line="240" w:lineRule="auto"/>
        <w:ind w:left="450" w:right="521"/>
        <w:rPr>
          <w:rFonts w:asciiTheme="minorHAnsi" w:hAnsiTheme="minorHAnsi" w:cstheme="minorHAnsi"/>
          <w:sz w:val="16"/>
          <w:szCs w:val="16"/>
        </w:rPr>
      </w:pPr>
      <w:r>
        <w:rPr>
          <w:noProof/>
          <w:lang w:eastAsia="en-NZ"/>
        </w:rPr>
        <w:drawing>
          <wp:inline distT="0" distB="0" distL="0" distR="0" wp14:anchorId="68627037" wp14:editId="30854168">
            <wp:extent cx="5762847" cy="2647507"/>
            <wp:effectExtent l="0" t="0" r="9525" b="1968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4D7EFFD" w14:textId="54DFBDD1" w:rsidR="00A847CC" w:rsidRDefault="00A847CC" w:rsidP="003B601E">
      <w:pPr>
        <w:spacing w:before="0" w:line="240" w:lineRule="auto"/>
        <w:ind w:left="450" w:right="521"/>
        <w:rPr>
          <w:rFonts w:asciiTheme="minorHAnsi" w:hAnsiTheme="minorHAnsi" w:cstheme="minorHAnsi"/>
          <w:sz w:val="16"/>
          <w:szCs w:val="16"/>
        </w:rPr>
      </w:pPr>
      <w:r w:rsidRPr="00AF3A24">
        <w:rPr>
          <w:rFonts w:asciiTheme="minorHAnsi" w:hAnsiTheme="minorHAnsi" w:cstheme="minorHAnsi"/>
          <w:sz w:val="16"/>
          <w:szCs w:val="16"/>
        </w:rPr>
        <w:t>Notes:</w:t>
      </w:r>
      <w:r>
        <w:rPr>
          <w:rFonts w:asciiTheme="minorHAnsi" w:hAnsiTheme="minorHAnsi" w:cstheme="minorHAnsi"/>
          <w:sz w:val="16"/>
          <w:szCs w:val="16"/>
        </w:rPr>
        <w:t xml:space="preserve">  </w:t>
      </w:r>
      <w:r w:rsidR="005309E2">
        <w:rPr>
          <w:rFonts w:asciiTheme="minorHAnsi" w:hAnsiTheme="minorHAnsi" w:cstheme="minorHAnsi"/>
          <w:sz w:val="16"/>
          <w:szCs w:val="16"/>
        </w:rPr>
        <w:t xml:space="preserve">1. </w:t>
      </w:r>
      <w:r w:rsidRPr="00A847CC">
        <w:rPr>
          <w:rFonts w:asciiTheme="minorHAnsi" w:hAnsiTheme="minorHAnsi" w:cstheme="minorHAnsi"/>
          <w:sz w:val="16"/>
          <w:szCs w:val="16"/>
        </w:rPr>
        <w:t>Sources: 2002/03, 2006/07 and 2011/12 New Zealand Health Surveys.</w:t>
      </w:r>
      <w:r w:rsidR="00B970C8">
        <w:rPr>
          <w:rFonts w:asciiTheme="minorHAnsi" w:hAnsiTheme="minorHAnsi" w:cstheme="minorHAnsi"/>
          <w:sz w:val="16"/>
          <w:szCs w:val="16"/>
        </w:rPr>
        <w:t xml:space="preserve"> </w:t>
      </w:r>
      <w:r w:rsidR="00B970C8" w:rsidRPr="00B970C8">
        <w:rPr>
          <w:rFonts w:asciiTheme="minorHAnsi" w:hAnsiTheme="minorHAnsi" w:cstheme="minorHAnsi"/>
          <w:sz w:val="14"/>
          <w:szCs w:val="16"/>
        </w:rPr>
        <w:t xml:space="preserve"> </w:t>
      </w:r>
      <w:r w:rsidR="003B601E">
        <w:rPr>
          <w:rFonts w:asciiTheme="minorHAnsi" w:hAnsiTheme="minorHAnsi" w:cstheme="minorHAnsi"/>
          <w:sz w:val="16"/>
          <w:szCs w:val="16"/>
        </w:rPr>
        <w:t xml:space="preserve">Percentages and 95% confidence intervals have been age-standardised in accordance with World Health Organisation (WHO) age population distributions </w:t>
      </w:r>
      <w:r w:rsidR="003B601E">
        <w:rPr>
          <w:rFonts w:asciiTheme="minorHAnsi" w:hAnsiTheme="minorHAnsi" w:cstheme="minorHAnsi"/>
          <w:sz w:val="16"/>
          <w:szCs w:val="16"/>
        </w:rPr>
        <w:fldChar w:fldCharType="begin"/>
      </w:r>
      <w:r w:rsidR="003B601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3B601E">
        <w:rPr>
          <w:rFonts w:asciiTheme="minorHAnsi" w:hAnsiTheme="minorHAnsi" w:cstheme="minorHAnsi"/>
          <w:sz w:val="16"/>
          <w:szCs w:val="16"/>
        </w:rPr>
        <w:fldChar w:fldCharType="separate"/>
      </w:r>
      <w:r w:rsidR="003B601E">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3B601E">
        <w:rPr>
          <w:rFonts w:asciiTheme="minorHAnsi" w:hAnsiTheme="minorHAnsi" w:cstheme="minorHAnsi"/>
          <w:noProof/>
          <w:sz w:val="16"/>
          <w:szCs w:val="16"/>
        </w:rPr>
        <w:t>)</w:t>
      </w:r>
      <w:r w:rsidR="003B601E">
        <w:rPr>
          <w:rFonts w:asciiTheme="minorHAnsi" w:hAnsiTheme="minorHAnsi" w:cstheme="minorHAnsi"/>
          <w:sz w:val="16"/>
          <w:szCs w:val="16"/>
        </w:rPr>
        <w:fldChar w:fldCharType="end"/>
      </w:r>
      <w:r w:rsidR="003B601E">
        <w:rPr>
          <w:rFonts w:asciiTheme="minorHAnsi" w:hAnsiTheme="minorHAnsi" w:cstheme="minorHAnsi"/>
          <w:sz w:val="16"/>
          <w:szCs w:val="16"/>
        </w:rPr>
        <w:t>.</w:t>
      </w:r>
    </w:p>
    <w:p w14:paraId="6C494B69" w14:textId="77777777" w:rsidR="00B81E76" w:rsidRDefault="00B81E76" w:rsidP="003B601E">
      <w:pPr>
        <w:spacing w:before="0" w:line="240" w:lineRule="auto"/>
        <w:ind w:left="450" w:right="521"/>
        <w:rPr>
          <w:rFonts w:asciiTheme="minorHAnsi" w:hAnsiTheme="minorHAnsi" w:cstheme="minorHAnsi"/>
          <w:sz w:val="16"/>
          <w:szCs w:val="16"/>
        </w:rPr>
      </w:pPr>
    </w:p>
    <w:p w14:paraId="52DEE22C" w14:textId="77777777" w:rsidR="00B81E76" w:rsidRDefault="00B81E76" w:rsidP="003B601E">
      <w:pPr>
        <w:spacing w:before="0" w:line="240" w:lineRule="auto"/>
        <w:ind w:left="450" w:right="521"/>
        <w:rPr>
          <w:rFonts w:asciiTheme="minorHAnsi" w:hAnsiTheme="minorHAnsi" w:cstheme="minorHAnsi"/>
          <w:sz w:val="16"/>
        </w:rPr>
      </w:pPr>
    </w:p>
    <w:p w14:paraId="2B23F878" w14:textId="77777777" w:rsidR="001B4A71" w:rsidRDefault="001B4A71" w:rsidP="003B601E">
      <w:pPr>
        <w:spacing w:before="0" w:line="240" w:lineRule="auto"/>
        <w:ind w:left="450" w:right="521"/>
        <w:rPr>
          <w:rFonts w:asciiTheme="minorHAnsi" w:hAnsiTheme="minorHAnsi" w:cstheme="minorHAnsi"/>
          <w:sz w:val="16"/>
        </w:rPr>
      </w:pPr>
    </w:p>
    <w:p w14:paraId="1DFFD708" w14:textId="77777777" w:rsidR="001B4A71" w:rsidRDefault="001B4A71" w:rsidP="003B601E">
      <w:pPr>
        <w:spacing w:before="0" w:line="240" w:lineRule="auto"/>
        <w:ind w:left="450" w:right="521"/>
        <w:rPr>
          <w:rFonts w:asciiTheme="minorHAnsi" w:hAnsiTheme="minorHAnsi" w:cstheme="minorHAnsi"/>
          <w:sz w:val="16"/>
        </w:rPr>
      </w:pPr>
    </w:p>
    <w:p w14:paraId="11DE7B11" w14:textId="4449C8A0" w:rsidR="00983E2E" w:rsidRPr="00AF3A24" w:rsidRDefault="00983E2E" w:rsidP="00F061EF">
      <w:pPr>
        <w:pStyle w:val="Heading2"/>
      </w:pPr>
      <w:bookmarkStart w:id="82" w:name="_Toc403833161"/>
      <w:r w:rsidRPr="00AF3A24">
        <w:t>Preferred gambling activity</w:t>
      </w:r>
      <w:bookmarkEnd w:id="82"/>
    </w:p>
    <w:p w14:paraId="1F23FDF0" w14:textId="77777777" w:rsidR="00813A72" w:rsidRPr="00AF3A24" w:rsidRDefault="00455BC5" w:rsidP="00813A72">
      <w:pPr>
        <w:rPr>
          <w:rFonts w:asciiTheme="minorHAnsi" w:hAnsiTheme="minorHAnsi"/>
        </w:rPr>
      </w:pPr>
      <w:r>
        <w:rPr>
          <w:rFonts w:asciiTheme="minorHAnsi" w:hAnsiTheme="minorHAnsi"/>
        </w:rPr>
        <w:t xml:space="preserve">Adults who had gambled in the past year were asked to </w:t>
      </w:r>
      <w:r w:rsidR="00C5072C" w:rsidRPr="00AF3A24">
        <w:rPr>
          <w:rFonts w:asciiTheme="minorHAnsi" w:hAnsiTheme="minorHAnsi"/>
        </w:rPr>
        <w:t xml:space="preserve">specify </w:t>
      </w:r>
      <w:r>
        <w:rPr>
          <w:rFonts w:asciiTheme="minorHAnsi" w:hAnsiTheme="minorHAnsi"/>
        </w:rPr>
        <w:t>their</w:t>
      </w:r>
      <w:r w:rsidR="00C5072C" w:rsidRPr="00AF3A24">
        <w:rPr>
          <w:rFonts w:asciiTheme="minorHAnsi" w:hAnsiTheme="minorHAnsi"/>
        </w:rPr>
        <w:t xml:space="preserve"> preferred gambling activity</w:t>
      </w:r>
      <w:r>
        <w:rPr>
          <w:rFonts w:asciiTheme="minorHAnsi" w:hAnsiTheme="minorHAnsi"/>
        </w:rPr>
        <w:t>. The three most popular activities were</w:t>
      </w:r>
      <w:r w:rsidR="00C5072C" w:rsidRPr="00AF3A24">
        <w:rPr>
          <w:rFonts w:asciiTheme="minorHAnsi" w:hAnsiTheme="minorHAnsi"/>
        </w:rPr>
        <w:t xml:space="preserve"> Lotto </w:t>
      </w:r>
      <w:r w:rsidR="00467C5C">
        <w:rPr>
          <w:rFonts w:asciiTheme="minorHAnsi" w:hAnsiTheme="minorHAnsi"/>
        </w:rPr>
        <w:t>(43.8%</w:t>
      </w:r>
      <w:r w:rsidR="00C5072C" w:rsidRPr="00AF3A24">
        <w:rPr>
          <w:rFonts w:asciiTheme="minorHAnsi" w:hAnsiTheme="minorHAnsi"/>
        </w:rPr>
        <w:t>), f</w:t>
      </w:r>
      <w:r w:rsidR="00467C5C">
        <w:rPr>
          <w:rFonts w:asciiTheme="minorHAnsi" w:hAnsiTheme="minorHAnsi"/>
        </w:rPr>
        <w:t xml:space="preserve">ollowed by Instant Kiwi </w:t>
      </w:r>
      <w:r>
        <w:rPr>
          <w:rFonts w:asciiTheme="minorHAnsi" w:hAnsiTheme="minorHAnsi"/>
        </w:rPr>
        <w:t xml:space="preserve">or other scratch tickets </w:t>
      </w:r>
      <w:r w:rsidR="00467C5C">
        <w:rPr>
          <w:rFonts w:asciiTheme="minorHAnsi" w:hAnsiTheme="minorHAnsi"/>
        </w:rPr>
        <w:t>(18.4%) and track betting (11.5%</w:t>
      </w:r>
      <w:r w:rsidR="00C5072C" w:rsidRPr="00AF3A24">
        <w:rPr>
          <w:rFonts w:asciiTheme="minorHAnsi" w:hAnsiTheme="minorHAnsi"/>
        </w:rPr>
        <w:t xml:space="preserve">). </w:t>
      </w:r>
      <w:r>
        <w:rPr>
          <w:rFonts w:asciiTheme="minorHAnsi" w:hAnsiTheme="minorHAnsi"/>
        </w:rPr>
        <w:t xml:space="preserve"> The remaining activities were all specified by less than ten percent of past-year gamblers. </w:t>
      </w:r>
      <w:r w:rsidR="003B07BB" w:rsidRPr="00AF3A24">
        <w:rPr>
          <w:rFonts w:asciiTheme="minorHAnsi" w:hAnsiTheme="minorHAnsi"/>
        </w:rPr>
        <w:t xml:space="preserve">See </w:t>
      </w:r>
      <w:r w:rsidR="004770DE">
        <w:rPr>
          <w:rFonts w:asciiTheme="minorHAnsi" w:hAnsiTheme="minorHAnsi"/>
        </w:rPr>
        <w:t>Table 10</w:t>
      </w:r>
      <w:r w:rsidR="003B07BB" w:rsidRPr="00AF3A24">
        <w:rPr>
          <w:rFonts w:asciiTheme="minorHAnsi" w:hAnsiTheme="minorHAnsi"/>
        </w:rPr>
        <w:t xml:space="preserve"> for further details.</w:t>
      </w:r>
      <w:r w:rsidR="00C5072C" w:rsidRPr="00AF3A24">
        <w:rPr>
          <w:rFonts w:asciiTheme="minorHAnsi" w:hAnsiTheme="minorHAnsi"/>
        </w:rPr>
        <w:t xml:space="preserve"> </w:t>
      </w:r>
    </w:p>
    <w:p w14:paraId="60F17BB7" w14:textId="77777777" w:rsidR="001B4A71" w:rsidRDefault="001B4A71">
      <w:pPr>
        <w:spacing w:before="0" w:after="200" w:line="276" w:lineRule="auto"/>
        <w:jc w:val="left"/>
        <w:rPr>
          <w:rFonts w:asciiTheme="minorHAnsi" w:hAnsiTheme="minorHAnsi"/>
          <w:b/>
          <w:bCs/>
          <w:i/>
          <w:sz w:val="20"/>
          <w:szCs w:val="20"/>
        </w:rPr>
      </w:pPr>
      <w:bookmarkStart w:id="83" w:name="_Ref396204382"/>
      <w:bookmarkStart w:id="84" w:name="_Toc425426877"/>
      <w:r>
        <w:rPr>
          <w:rFonts w:asciiTheme="minorHAnsi" w:hAnsiTheme="minorHAnsi"/>
          <w:i/>
        </w:rPr>
        <w:br w:type="page"/>
      </w:r>
    </w:p>
    <w:p w14:paraId="01F19AB2" w14:textId="672A6855" w:rsidR="001A257C" w:rsidRPr="0060749D" w:rsidRDefault="001A257C" w:rsidP="0060749D">
      <w:pPr>
        <w:pStyle w:val="Caption"/>
        <w:keepNext/>
        <w:spacing w:line="276" w:lineRule="auto"/>
        <w:ind w:left="851" w:hanging="851"/>
        <w:rPr>
          <w:rFonts w:asciiTheme="minorHAnsi" w:hAnsiTheme="minorHAnsi"/>
          <w:i/>
        </w:rPr>
      </w:pPr>
      <w:r w:rsidRPr="0060749D">
        <w:rPr>
          <w:rFonts w:asciiTheme="minorHAnsi" w:hAnsiTheme="minorHAnsi"/>
          <w:i/>
        </w:rPr>
        <w:lastRenderedPageBreak/>
        <w:t xml:space="preserve">Table </w:t>
      </w:r>
      <w:r w:rsidRPr="0060749D">
        <w:rPr>
          <w:rFonts w:asciiTheme="minorHAnsi" w:hAnsiTheme="minorHAnsi"/>
          <w:i/>
        </w:rPr>
        <w:fldChar w:fldCharType="begin"/>
      </w:r>
      <w:r w:rsidRPr="0060749D">
        <w:rPr>
          <w:rFonts w:asciiTheme="minorHAnsi" w:hAnsiTheme="minorHAnsi"/>
          <w:i/>
        </w:rPr>
        <w:instrText xml:space="preserve"> SEQ Table \* ARABIC </w:instrText>
      </w:r>
      <w:r w:rsidRPr="0060749D">
        <w:rPr>
          <w:rFonts w:asciiTheme="minorHAnsi" w:hAnsiTheme="minorHAnsi"/>
          <w:i/>
        </w:rPr>
        <w:fldChar w:fldCharType="separate"/>
      </w:r>
      <w:r w:rsidR="00D71107" w:rsidRPr="0060749D">
        <w:rPr>
          <w:rFonts w:asciiTheme="minorHAnsi" w:hAnsiTheme="minorHAnsi"/>
          <w:i/>
        </w:rPr>
        <w:t>10</w:t>
      </w:r>
      <w:r w:rsidRPr="0060749D">
        <w:rPr>
          <w:rFonts w:asciiTheme="minorHAnsi" w:hAnsiTheme="minorHAnsi"/>
          <w:i/>
        </w:rPr>
        <w:fldChar w:fldCharType="end"/>
      </w:r>
      <w:bookmarkEnd w:id="83"/>
      <w:r w:rsidRPr="0060749D">
        <w:rPr>
          <w:rFonts w:asciiTheme="minorHAnsi" w:hAnsiTheme="minorHAnsi"/>
          <w:i/>
        </w:rPr>
        <w:t>:</w:t>
      </w:r>
      <w:r w:rsidR="00A919A0" w:rsidRPr="0060749D">
        <w:rPr>
          <w:rFonts w:asciiTheme="minorHAnsi" w:hAnsiTheme="minorHAnsi"/>
          <w:i/>
        </w:rPr>
        <w:t xml:space="preserve"> </w:t>
      </w:r>
      <w:r w:rsidRPr="0060749D">
        <w:rPr>
          <w:rFonts w:asciiTheme="minorHAnsi" w:hAnsiTheme="minorHAnsi"/>
          <w:i/>
        </w:rPr>
        <w:t>Preferred gambling activity</w:t>
      </w:r>
      <w:r w:rsidR="00BA4EAE" w:rsidRPr="0060749D">
        <w:rPr>
          <w:rFonts w:asciiTheme="minorHAnsi" w:hAnsiTheme="minorHAnsi"/>
          <w:i/>
        </w:rPr>
        <w:t>, past-year gamblers</w:t>
      </w:r>
      <w:r w:rsidRPr="0060749D">
        <w:rPr>
          <w:rFonts w:asciiTheme="minorHAnsi" w:hAnsiTheme="minorHAnsi"/>
          <w:i/>
        </w:rPr>
        <w:t xml:space="preserve"> (unadjusted prevalence; N=</w:t>
      </w:r>
      <w:r w:rsidR="000A5633" w:rsidRPr="0060749D">
        <w:rPr>
          <w:rFonts w:asciiTheme="minorHAnsi" w:hAnsiTheme="minorHAnsi"/>
          <w:i/>
        </w:rPr>
        <w:t>6</w:t>
      </w:r>
      <w:r w:rsidR="00137279" w:rsidRPr="0060749D">
        <w:rPr>
          <w:rFonts w:asciiTheme="minorHAnsi" w:hAnsiTheme="minorHAnsi"/>
          <w:i/>
        </w:rPr>
        <w:t>,</w:t>
      </w:r>
      <w:r w:rsidR="000A5633" w:rsidRPr="0060749D">
        <w:rPr>
          <w:rFonts w:asciiTheme="minorHAnsi" w:hAnsiTheme="minorHAnsi"/>
          <w:i/>
        </w:rPr>
        <w:t>549</w:t>
      </w:r>
      <w:r w:rsidRPr="0060749D">
        <w:rPr>
          <w:rFonts w:asciiTheme="minorHAnsi" w:hAnsiTheme="minorHAnsi"/>
          <w:i/>
        </w:rPr>
        <w:t xml:space="preserve">) </w:t>
      </w:r>
      <w:r w:rsidRPr="0060749D">
        <w:rPr>
          <w:rFonts w:asciiTheme="minorHAnsi" w:hAnsiTheme="minorHAnsi"/>
          <w:i/>
          <w:vertAlign w:val="superscript"/>
        </w:rPr>
        <w:t>1</w:t>
      </w:r>
      <w:bookmarkEnd w:id="84"/>
    </w:p>
    <w:tbl>
      <w:tblPr>
        <w:tblStyle w:val="TableGrid"/>
        <w:tblW w:w="0" w:type="auto"/>
        <w:jc w:val="center"/>
        <w:tblLayout w:type="fixed"/>
        <w:tblLook w:val="04A0" w:firstRow="1" w:lastRow="0" w:firstColumn="1" w:lastColumn="0" w:noHBand="0" w:noVBand="1"/>
      </w:tblPr>
      <w:tblGrid>
        <w:gridCol w:w="4860"/>
        <w:gridCol w:w="1040"/>
        <w:gridCol w:w="1599"/>
      </w:tblGrid>
      <w:tr w:rsidR="00C900B9" w:rsidRPr="00AF3A24" w14:paraId="62E1F186" w14:textId="77777777" w:rsidTr="00FD5C91">
        <w:trPr>
          <w:trHeight w:val="365"/>
          <w:jc w:val="center"/>
        </w:trPr>
        <w:tc>
          <w:tcPr>
            <w:tcW w:w="4860" w:type="dxa"/>
            <w:vMerge w:val="restart"/>
            <w:shd w:val="clear" w:color="auto" w:fill="92CDDC" w:themeFill="accent5" w:themeFillTint="99"/>
            <w:vAlign w:val="center"/>
          </w:tcPr>
          <w:p w14:paraId="2CC8463A" w14:textId="77777777" w:rsidR="00C900B9" w:rsidRPr="00AF3A24" w:rsidRDefault="00C900B9" w:rsidP="00C900B9">
            <w:pPr>
              <w:spacing w:before="0" w:line="240" w:lineRule="auto"/>
              <w:jc w:val="left"/>
              <w:rPr>
                <w:rFonts w:asciiTheme="minorHAnsi" w:hAnsiTheme="minorHAnsi" w:cstheme="minorHAnsi"/>
                <w:b/>
                <w:sz w:val="18"/>
                <w:szCs w:val="18"/>
              </w:rPr>
            </w:pPr>
          </w:p>
        </w:tc>
        <w:tc>
          <w:tcPr>
            <w:tcW w:w="2639" w:type="dxa"/>
            <w:gridSpan w:val="2"/>
            <w:shd w:val="clear" w:color="auto" w:fill="92CDDC" w:themeFill="accent5" w:themeFillTint="99"/>
            <w:vAlign w:val="center"/>
          </w:tcPr>
          <w:p w14:paraId="1A3AF551" w14:textId="77777777" w:rsidR="00C900B9" w:rsidRPr="00AF3A24" w:rsidRDefault="00010D7D" w:rsidP="00C900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PREFERRED GAMBLING ACTIVITY </w:t>
            </w:r>
            <w:r w:rsidRPr="00AF3A24">
              <w:rPr>
                <w:rFonts w:asciiTheme="minorHAnsi" w:hAnsiTheme="minorHAnsi" w:cstheme="minorHAnsi"/>
                <w:b/>
                <w:sz w:val="18"/>
                <w:szCs w:val="18"/>
                <w:vertAlign w:val="superscript"/>
              </w:rPr>
              <w:t>2</w:t>
            </w:r>
          </w:p>
        </w:tc>
      </w:tr>
      <w:tr w:rsidR="00C900B9" w:rsidRPr="00AF3A24" w14:paraId="619DDBDC" w14:textId="77777777" w:rsidTr="00FD5C91">
        <w:trPr>
          <w:trHeight w:val="768"/>
          <w:jc w:val="center"/>
        </w:trPr>
        <w:tc>
          <w:tcPr>
            <w:tcW w:w="4860" w:type="dxa"/>
            <w:vMerge/>
            <w:tcBorders>
              <w:bottom w:val="single" w:sz="4" w:space="0" w:color="auto"/>
            </w:tcBorders>
            <w:shd w:val="clear" w:color="auto" w:fill="92CDDC" w:themeFill="accent5" w:themeFillTint="99"/>
            <w:vAlign w:val="center"/>
          </w:tcPr>
          <w:p w14:paraId="10FB9E5D" w14:textId="77777777" w:rsidR="00C900B9" w:rsidRPr="00AF3A24" w:rsidRDefault="00C900B9" w:rsidP="00C900B9">
            <w:pPr>
              <w:spacing w:before="0" w:line="240" w:lineRule="auto"/>
              <w:jc w:val="left"/>
              <w:rPr>
                <w:rFonts w:asciiTheme="minorHAnsi" w:hAnsiTheme="minorHAnsi" w:cstheme="minorHAnsi"/>
                <w:b/>
                <w:sz w:val="18"/>
                <w:szCs w:val="18"/>
              </w:rPr>
            </w:pPr>
          </w:p>
        </w:tc>
        <w:tc>
          <w:tcPr>
            <w:tcW w:w="1040" w:type="dxa"/>
            <w:tcBorders>
              <w:bottom w:val="single" w:sz="4" w:space="0" w:color="auto"/>
            </w:tcBorders>
            <w:shd w:val="clear" w:color="auto" w:fill="92CDDC" w:themeFill="accent5" w:themeFillTint="99"/>
            <w:vAlign w:val="center"/>
          </w:tcPr>
          <w:p w14:paraId="1FF712DB" w14:textId="77777777" w:rsidR="00C900B9" w:rsidRPr="00AF3A24" w:rsidRDefault="00C900B9" w:rsidP="00C900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99" w:type="dxa"/>
            <w:tcBorders>
              <w:bottom w:val="single" w:sz="4" w:space="0" w:color="auto"/>
            </w:tcBorders>
            <w:shd w:val="clear" w:color="auto" w:fill="92CDDC" w:themeFill="accent5" w:themeFillTint="99"/>
            <w:vAlign w:val="center"/>
          </w:tcPr>
          <w:p w14:paraId="649B1075" w14:textId="77777777" w:rsidR="00C900B9" w:rsidRPr="00AF3A24" w:rsidRDefault="00010D7D" w:rsidP="00C900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2BD33B7C" w14:textId="77777777" w:rsidR="00010D7D" w:rsidRPr="00AF3A24" w:rsidRDefault="00010D7D" w:rsidP="00C900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1A257C" w:rsidRPr="00AF3A24" w14:paraId="196620B3" w14:textId="77777777" w:rsidTr="00FD5C91">
        <w:trPr>
          <w:jc w:val="center"/>
        </w:trPr>
        <w:tc>
          <w:tcPr>
            <w:tcW w:w="4860" w:type="dxa"/>
            <w:tcBorders>
              <w:bottom w:val="nil"/>
            </w:tcBorders>
            <w:shd w:val="clear" w:color="auto" w:fill="DAEEF3" w:themeFill="accent5" w:themeFillTint="33"/>
            <w:vAlign w:val="center"/>
          </w:tcPr>
          <w:p w14:paraId="000882A2" w14:textId="77777777" w:rsidR="001A257C" w:rsidRPr="00AF3A24" w:rsidRDefault="001A257C"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Lotto </w:t>
            </w:r>
            <w:r w:rsidR="007C5D12" w:rsidRPr="00AF3A24">
              <w:rPr>
                <w:rFonts w:asciiTheme="minorHAnsi" w:hAnsiTheme="minorHAnsi" w:cstheme="minorHAnsi"/>
                <w:sz w:val="16"/>
                <w:szCs w:val="16"/>
                <w:vertAlign w:val="superscript"/>
              </w:rPr>
              <w:t>3</w:t>
            </w:r>
          </w:p>
        </w:tc>
        <w:tc>
          <w:tcPr>
            <w:tcW w:w="1040" w:type="dxa"/>
            <w:tcBorders>
              <w:bottom w:val="nil"/>
            </w:tcBorders>
            <w:shd w:val="clear" w:color="auto" w:fill="DAEEF3" w:themeFill="accent5" w:themeFillTint="33"/>
            <w:vAlign w:val="center"/>
          </w:tcPr>
          <w:p w14:paraId="6188300E" w14:textId="77777777" w:rsidR="001A257C" w:rsidRPr="00AF3A24" w:rsidRDefault="006A638F" w:rsidP="006A638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1,027</w:t>
            </w:r>
          </w:p>
        </w:tc>
        <w:tc>
          <w:tcPr>
            <w:tcW w:w="1599" w:type="dxa"/>
            <w:tcBorders>
              <w:bottom w:val="nil"/>
            </w:tcBorders>
            <w:shd w:val="clear" w:color="auto" w:fill="DAEEF3" w:themeFill="accent5" w:themeFillTint="33"/>
            <w:vAlign w:val="center"/>
          </w:tcPr>
          <w:p w14:paraId="40A87390" w14:textId="77777777" w:rsidR="001A257C" w:rsidRPr="00AF3A24" w:rsidRDefault="006A638F" w:rsidP="006A638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43.8</w:t>
            </w:r>
            <w:r w:rsidRPr="00AF3A24">
              <w:rPr>
                <w:rFonts w:asciiTheme="minorHAnsi" w:hAnsiTheme="minorHAnsi"/>
                <w:bCs/>
                <w:color w:val="000000"/>
                <w:sz w:val="16"/>
                <w:szCs w:val="16"/>
              </w:rPr>
              <w:br/>
              <w:t>(41.2 - 46.4)</w:t>
            </w:r>
          </w:p>
        </w:tc>
      </w:tr>
      <w:tr w:rsidR="008D0754" w:rsidRPr="00AF3A24" w14:paraId="4B02B8CD" w14:textId="77777777" w:rsidTr="00FD5C91">
        <w:trPr>
          <w:jc w:val="center"/>
        </w:trPr>
        <w:tc>
          <w:tcPr>
            <w:tcW w:w="4860" w:type="dxa"/>
            <w:tcBorders>
              <w:top w:val="nil"/>
              <w:bottom w:val="nil"/>
            </w:tcBorders>
            <w:shd w:val="clear" w:color="auto" w:fill="DAEEF3" w:themeFill="accent5" w:themeFillTint="33"/>
            <w:vAlign w:val="center"/>
          </w:tcPr>
          <w:p w14:paraId="7E012E24" w14:textId="77777777" w:rsidR="008D0754" w:rsidRPr="00AF3A24" w:rsidRDefault="008D0754"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Instant Kiwi or other scratch tickets</w:t>
            </w:r>
          </w:p>
        </w:tc>
        <w:tc>
          <w:tcPr>
            <w:tcW w:w="1040" w:type="dxa"/>
            <w:tcBorders>
              <w:top w:val="nil"/>
              <w:bottom w:val="nil"/>
            </w:tcBorders>
            <w:shd w:val="clear" w:color="auto" w:fill="DAEEF3" w:themeFill="accent5" w:themeFillTint="33"/>
            <w:vAlign w:val="center"/>
          </w:tcPr>
          <w:p w14:paraId="0E542759"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395</w:t>
            </w:r>
          </w:p>
        </w:tc>
        <w:tc>
          <w:tcPr>
            <w:tcW w:w="1599" w:type="dxa"/>
            <w:tcBorders>
              <w:top w:val="nil"/>
              <w:bottom w:val="nil"/>
            </w:tcBorders>
            <w:shd w:val="clear" w:color="auto" w:fill="DAEEF3" w:themeFill="accent5" w:themeFillTint="33"/>
            <w:vAlign w:val="center"/>
          </w:tcPr>
          <w:p w14:paraId="4D763602"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18.4</w:t>
            </w:r>
            <w:r w:rsidRPr="00AF3A24">
              <w:rPr>
                <w:rFonts w:asciiTheme="minorHAnsi" w:hAnsiTheme="minorHAnsi"/>
                <w:bCs/>
                <w:color w:val="000000"/>
                <w:sz w:val="16"/>
                <w:szCs w:val="16"/>
              </w:rPr>
              <w:br/>
              <w:t>(16.3 - 20.5)</w:t>
            </w:r>
          </w:p>
        </w:tc>
      </w:tr>
      <w:tr w:rsidR="008D0754" w:rsidRPr="00AF3A24" w14:paraId="5CA90B25" w14:textId="77777777" w:rsidTr="00FD5C91">
        <w:trPr>
          <w:jc w:val="center"/>
        </w:trPr>
        <w:tc>
          <w:tcPr>
            <w:tcW w:w="4860" w:type="dxa"/>
            <w:tcBorders>
              <w:top w:val="nil"/>
              <w:bottom w:val="nil"/>
            </w:tcBorders>
            <w:shd w:val="clear" w:color="auto" w:fill="DAEEF3" w:themeFill="accent5" w:themeFillTint="33"/>
            <w:vAlign w:val="center"/>
          </w:tcPr>
          <w:p w14:paraId="427874A7" w14:textId="77777777" w:rsidR="008D0754" w:rsidRPr="00AF3A24" w:rsidRDefault="008D0754" w:rsidP="003B17C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Track betting</w:t>
            </w:r>
          </w:p>
        </w:tc>
        <w:tc>
          <w:tcPr>
            <w:tcW w:w="1040" w:type="dxa"/>
            <w:tcBorders>
              <w:top w:val="nil"/>
              <w:bottom w:val="nil"/>
            </w:tcBorders>
            <w:shd w:val="clear" w:color="auto" w:fill="DAEEF3" w:themeFill="accent5" w:themeFillTint="33"/>
            <w:vAlign w:val="center"/>
          </w:tcPr>
          <w:p w14:paraId="221FFEE4"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259</w:t>
            </w:r>
          </w:p>
        </w:tc>
        <w:tc>
          <w:tcPr>
            <w:tcW w:w="1599" w:type="dxa"/>
            <w:tcBorders>
              <w:top w:val="nil"/>
              <w:bottom w:val="nil"/>
            </w:tcBorders>
            <w:shd w:val="clear" w:color="auto" w:fill="DAEEF3" w:themeFill="accent5" w:themeFillTint="33"/>
            <w:vAlign w:val="center"/>
          </w:tcPr>
          <w:p w14:paraId="40822A99"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11.5</w:t>
            </w:r>
            <w:r w:rsidRPr="00AF3A24">
              <w:rPr>
                <w:rFonts w:asciiTheme="minorHAnsi" w:hAnsiTheme="minorHAnsi"/>
                <w:bCs/>
                <w:color w:val="000000"/>
                <w:sz w:val="16"/>
                <w:szCs w:val="16"/>
              </w:rPr>
              <w:br/>
              <w:t>(9.9 - 13.2)</w:t>
            </w:r>
          </w:p>
        </w:tc>
      </w:tr>
      <w:tr w:rsidR="008D0754" w:rsidRPr="00AF3A24" w14:paraId="6512CD6E" w14:textId="77777777" w:rsidTr="00FD5C91">
        <w:trPr>
          <w:jc w:val="center"/>
        </w:trPr>
        <w:tc>
          <w:tcPr>
            <w:tcW w:w="4860" w:type="dxa"/>
            <w:tcBorders>
              <w:top w:val="nil"/>
              <w:bottom w:val="nil"/>
            </w:tcBorders>
            <w:shd w:val="clear" w:color="auto" w:fill="DAEEF3" w:themeFill="accent5" w:themeFillTint="33"/>
            <w:vAlign w:val="center"/>
          </w:tcPr>
          <w:p w14:paraId="5C1D62EE" w14:textId="77777777" w:rsidR="008D0754" w:rsidRPr="00AF3A24" w:rsidRDefault="008D0754" w:rsidP="00F504F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Non-casino </w:t>
            </w:r>
            <w:r w:rsidR="00F504FC">
              <w:rPr>
                <w:rFonts w:asciiTheme="minorHAnsi" w:hAnsiTheme="minorHAnsi" w:cstheme="minorHAnsi"/>
                <w:sz w:val="16"/>
                <w:szCs w:val="16"/>
              </w:rPr>
              <w:t>gam</w:t>
            </w:r>
            <w:r w:rsidRPr="00AF3A24">
              <w:rPr>
                <w:rFonts w:asciiTheme="minorHAnsi" w:hAnsiTheme="minorHAnsi" w:cstheme="minorHAnsi"/>
                <w:sz w:val="16"/>
                <w:szCs w:val="16"/>
              </w:rPr>
              <w:t>ing machines</w:t>
            </w:r>
          </w:p>
        </w:tc>
        <w:tc>
          <w:tcPr>
            <w:tcW w:w="1040" w:type="dxa"/>
            <w:tcBorders>
              <w:top w:val="nil"/>
              <w:bottom w:val="nil"/>
            </w:tcBorders>
            <w:shd w:val="clear" w:color="auto" w:fill="DAEEF3" w:themeFill="accent5" w:themeFillTint="33"/>
            <w:vAlign w:val="center"/>
          </w:tcPr>
          <w:p w14:paraId="6E693227"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201</w:t>
            </w:r>
          </w:p>
        </w:tc>
        <w:tc>
          <w:tcPr>
            <w:tcW w:w="1599" w:type="dxa"/>
            <w:tcBorders>
              <w:top w:val="nil"/>
              <w:bottom w:val="nil"/>
            </w:tcBorders>
            <w:shd w:val="clear" w:color="auto" w:fill="DAEEF3" w:themeFill="accent5" w:themeFillTint="33"/>
            <w:vAlign w:val="center"/>
          </w:tcPr>
          <w:p w14:paraId="54B5FF5F"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w:t>
            </w:r>
            <w:r w:rsidRPr="00AF3A24">
              <w:rPr>
                <w:rFonts w:asciiTheme="minorHAnsi" w:hAnsiTheme="minorHAnsi"/>
                <w:bCs/>
                <w:color w:val="000000"/>
                <w:sz w:val="16"/>
                <w:szCs w:val="16"/>
              </w:rPr>
              <w:br/>
              <w:t>(7.0 - 10.0)</w:t>
            </w:r>
          </w:p>
        </w:tc>
      </w:tr>
      <w:tr w:rsidR="008D0754" w:rsidRPr="00AF3A24" w14:paraId="65D24E11" w14:textId="77777777" w:rsidTr="00FD5C91">
        <w:trPr>
          <w:jc w:val="center"/>
        </w:trPr>
        <w:tc>
          <w:tcPr>
            <w:tcW w:w="4860" w:type="dxa"/>
            <w:tcBorders>
              <w:top w:val="nil"/>
              <w:bottom w:val="nil"/>
            </w:tcBorders>
            <w:shd w:val="clear" w:color="auto" w:fill="DAEEF3" w:themeFill="accent5" w:themeFillTint="33"/>
            <w:vAlign w:val="center"/>
          </w:tcPr>
          <w:p w14:paraId="1D5FE0B6" w14:textId="77777777" w:rsidR="008D0754" w:rsidRPr="00AF3A24" w:rsidRDefault="008D0754"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Casino </w:t>
            </w:r>
            <w:r w:rsidR="00F504FC">
              <w:rPr>
                <w:rFonts w:asciiTheme="minorHAnsi" w:hAnsiTheme="minorHAnsi" w:cstheme="minorHAnsi"/>
                <w:sz w:val="16"/>
                <w:szCs w:val="16"/>
              </w:rPr>
              <w:t>gam</w:t>
            </w:r>
            <w:r w:rsidR="00F504FC" w:rsidRPr="00AF3A24">
              <w:rPr>
                <w:rFonts w:asciiTheme="minorHAnsi" w:hAnsiTheme="minorHAnsi" w:cstheme="minorHAnsi"/>
                <w:sz w:val="16"/>
                <w:szCs w:val="16"/>
              </w:rPr>
              <w:t xml:space="preserve">ing </w:t>
            </w:r>
            <w:r w:rsidRPr="00AF3A24">
              <w:rPr>
                <w:rFonts w:asciiTheme="minorHAnsi" w:hAnsiTheme="minorHAnsi" w:cstheme="minorHAnsi"/>
                <w:sz w:val="16"/>
                <w:szCs w:val="16"/>
              </w:rPr>
              <w:t>machines</w:t>
            </w:r>
          </w:p>
        </w:tc>
        <w:tc>
          <w:tcPr>
            <w:tcW w:w="1040" w:type="dxa"/>
            <w:tcBorders>
              <w:top w:val="nil"/>
              <w:bottom w:val="nil"/>
            </w:tcBorders>
            <w:shd w:val="clear" w:color="auto" w:fill="DAEEF3" w:themeFill="accent5" w:themeFillTint="33"/>
            <w:vAlign w:val="center"/>
          </w:tcPr>
          <w:p w14:paraId="023C613D"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p>
        </w:tc>
        <w:tc>
          <w:tcPr>
            <w:tcW w:w="1599" w:type="dxa"/>
            <w:tcBorders>
              <w:top w:val="nil"/>
              <w:bottom w:val="nil"/>
            </w:tcBorders>
            <w:shd w:val="clear" w:color="auto" w:fill="DAEEF3" w:themeFill="accent5" w:themeFillTint="33"/>
            <w:vAlign w:val="center"/>
          </w:tcPr>
          <w:p w14:paraId="616B20B3"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w:t>
            </w:r>
            <w:r w:rsidRPr="00AF3A24">
              <w:rPr>
                <w:rFonts w:asciiTheme="minorHAnsi" w:hAnsiTheme="minorHAnsi"/>
                <w:bCs/>
                <w:color w:val="000000"/>
                <w:sz w:val="16"/>
                <w:szCs w:val="16"/>
              </w:rPr>
              <w:br/>
              <w:t>(4.5 - 6.9)</w:t>
            </w:r>
          </w:p>
        </w:tc>
      </w:tr>
      <w:tr w:rsidR="008D0754" w:rsidRPr="00AF3A24" w14:paraId="17440619" w14:textId="77777777" w:rsidTr="00FD5C91">
        <w:trPr>
          <w:jc w:val="center"/>
        </w:trPr>
        <w:tc>
          <w:tcPr>
            <w:tcW w:w="4860" w:type="dxa"/>
            <w:tcBorders>
              <w:top w:val="nil"/>
              <w:bottom w:val="nil"/>
            </w:tcBorders>
            <w:shd w:val="clear" w:color="auto" w:fill="DAEEF3" w:themeFill="accent5" w:themeFillTint="33"/>
            <w:vAlign w:val="center"/>
          </w:tcPr>
          <w:p w14:paraId="5009C741" w14:textId="77777777" w:rsidR="008D0754" w:rsidRPr="00AF3A24" w:rsidRDefault="008D0754"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Sports betting</w:t>
            </w:r>
          </w:p>
        </w:tc>
        <w:tc>
          <w:tcPr>
            <w:tcW w:w="1040" w:type="dxa"/>
            <w:tcBorders>
              <w:top w:val="nil"/>
              <w:bottom w:val="nil"/>
            </w:tcBorders>
            <w:shd w:val="clear" w:color="auto" w:fill="DAEEF3" w:themeFill="accent5" w:themeFillTint="33"/>
            <w:vAlign w:val="center"/>
          </w:tcPr>
          <w:p w14:paraId="222DE3BA"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76</w:t>
            </w:r>
          </w:p>
        </w:tc>
        <w:tc>
          <w:tcPr>
            <w:tcW w:w="1599" w:type="dxa"/>
            <w:tcBorders>
              <w:top w:val="nil"/>
              <w:bottom w:val="nil"/>
            </w:tcBorders>
            <w:shd w:val="clear" w:color="auto" w:fill="DAEEF3" w:themeFill="accent5" w:themeFillTint="33"/>
            <w:vAlign w:val="center"/>
          </w:tcPr>
          <w:p w14:paraId="55862B9D"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(3.1 - 5.4)</w:t>
            </w:r>
          </w:p>
        </w:tc>
      </w:tr>
      <w:tr w:rsidR="008D0754" w:rsidRPr="00AF3A24" w14:paraId="0CF12834" w14:textId="77777777" w:rsidTr="00FD5C91">
        <w:trPr>
          <w:jc w:val="center"/>
        </w:trPr>
        <w:tc>
          <w:tcPr>
            <w:tcW w:w="4860" w:type="dxa"/>
            <w:tcBorders>
              <w:top w:val="nil"/>
              <w:bottom w:val="nil"/>
            </w:tcBorders>
            <w:shd w:val="clear" w:color="auto" w:fill="DAEEF3" w:themeFill="accent5" w:themeFillTint="33"/>
            <w:vAlign w:val="center"/>
          </w:tcPr>
          <w:p w14:paraId="27AA9B51" w14:textId="77777777" w:rsidR="008D0754" w:rsidRPr="00AF3A24" w:rsidRDefault="008D0754"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tables</w:t>
            </w:r>
          </w:p>
        </w:tc>
        <w:tc>
          <w:tcPr>
            <w:tcW w:w="1040" w:type="dxa"/>
            <w:tcBorders>
              <w:top w:val="nil"/>
              <w:bottom w:val="nil"/>
            </w:tcBorders>
            <w:shd w:val="clear" w:color="auto" w:fill="DAEEF3" w:themeFill="accent5" w:themeFillTint="33"/>
            <w:vAlign w:val="center"/>
          </w:tcPr>
          <w:p w14:paraId="571528AC"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p>
        </w:tc>
        <w:tc>
          <w:tcPr>
            <w:tcW w:w="1599" w:type="dxa"/>
            <w:tcBorders>
              <w:top w:val="nil"/>
              <w:bottom w:val="nil"/>
            </w:tcBorders>
            <w:shd w:val="clear" w:color="auto" w:fill="DAEEF3" w:themeFill="accent5" w:themeFillTint="33"/>
            <w:vAlign w:val="center"/>
          </w:tcPr>
          <w:p w14:paraId="61C63BCE"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r w:rsidRPr="00AF3A24">
              <w:rPr>
                <w:rFonts w:asciiTheme="minorHAnsi" w:hAnsiTheme="minorHAnsi"/>
                <w:bCs/>
                <w:color w:val="000000"/>
                <w:sz w:val="16"/>
                <w:szCs w:val="16"/>
              </w:rPr>
              <w:br/>
              <w:t>(2.5 - 4.8)</w:t>
            </w:r>
          </w:p>
        </w:tc>
      </w:tr>
      <w:tr w:rsidR="008D0754" w:rsidRPr="00AF3A24" w14:paraId="6AB23184" w14:textId="77777777" w:rsidTr="00FD5C91">
        <w:trPr>
          <w:jc w:val="center"/>
        </w:trPr>
        <w:tc>
          <w:tcPr>
            <w:tcW w:w="4860" w:type="dxa"/>
            <w:tcBorders>
              <w:top w:val="nil"/>
              <w:bottom w:val="nil"/>
            </w:tcBorders>
            <w:shd w:val="clear" w:color="auto" w:fill="DAEEF3" w:themeFill="accent5" w:themeFillTint="33"/>
            <w:vAlign w:val="center"/>
          </w:tcPr>
          <w:p w14:paraId="1AA0089E" w14:textId="77777777" w:rsidR="008D0754" w:rsidRPr="00AF3A24" w:rsidRDefault="008D0754" w:rsidP="00C900B9">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Other form of gambling (including Internet-based gambling)</w:t>
            </w:r>
          </w:p>
        </w:tc>
        <w:tc>
          <w:tcPr>
            <w:tcW w:w="1040" w:type="dxa"/>
            <w:tcBorders>
              <w:top w:val="nil"/>
              <w:bottom w:val="nil"/>
            </w:tcBorders>
            <w:shd w:val="clear" w:color="auto" w:fill="DAEEF3" w:themeFill="accent5" w:themeFillTint="33"/>
            <w:vAlign w:val="center"/>
          </w:tcPr>
          <w:p w14:paraId="087751F2"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599" w:type="dxa"/>
            <w:tcBorders>
              <w:top w:val="nil"/>
              <w:bottom w:val="nil"/>
            </w:tcBorders>
            <w:shd w:val="clear" w:color="auto" w:fill="DAEEF3" w:themeFill="accent5" w:themeFillTint="33"/>
            <w:vAlign w:val="center"/>
          </w:tcPr>
          <w:p w14:paraId="648F5B66"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w:t>
            </w:r>
            <w:r w:rsidRPr="00AF3A24">
              <w:rPr>
                <w:rFonts w:asciiTheme="minorHAnsi" w:hAnsiTheme="minorHAnsi"/>
                <w:bCs/>
                <w:color w:val="000000"/>
                <w:sz w:val="16"/>
                <w:szCs w:val="16"/>
              </w:rPr>
              <w:br/>
              <w:t>(1.9 - 3.9)</w:t>
            </w:r>
          </w:p>
        </w:tc>
      </w:tr>
      <w:tr w:rsidR="008D0754" w:rsidRPr="00AF3A24" w14:paraId="73DDF8CF" w14:textId="77777777" w:rsidTr="00FD5C91">
        <w:trPr>
          <w:jc w:val="center"/>
        </w:trPr>
        <w:tc>
          <w:tcPr>
            <w:tcW w:w="4860" w:type="dxa"/>
            <w:tcBorders>
              <w:top w:val="nil"/>
              <w:bottom w:val="single" w:sz="4" w:space="0" w:color="auto"/>
            </w:tcBorders>
            <w:shd w:val="clear" w:color="auto" w:fill="DAEEF3" w:themeFill="accent5" w:themeFillTint="33"/>
            <w:vAlign w:val="center"/>
          </w:tcPr>
          <w:p w14:paraId="51229082" w14:textId="77777777" w:rsidR="008D0754" w:rsidRPr="00AF3A24" w:rsidRDefault="008D0754" w:rsidP="003B17C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Housie</w:t>
            </w:r>
          </w:p>
        </w:tc>
        <w:tc>
          <w:tcPr>
            <w:tcW w:w="1040" w:type="dxa"/>
            <w:tcBorders>
              <w:top w:val="nil"/>
              <w:bottom w:val="single" w:sz="4" w:space="0" w:color="auto"/>
            </w:tcBorders>
            <w:shd w:val="clear" w:color="auto" w:fill="DAEEF3" w:themeFill="accent5" w:themeFillTint="33"/>
            <w:vAlign w:val="center"/>
          </w:tcPr>
          <w:p w14:paraId="360EB939"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w:t>
            </w:r>
          </w:p>
        </w:tc>
        <w:tc>
          <w:tcPr>
            <w:tcW w:w="1599" w:type="dxa"/>
            <w:tcBorders>
              <w:top w:val="nil"/>
              <w:bottom w:val="single" w:sz="4" w:space="0" w:color="auto"/>
            </w:tcBorders>
            <w:shd w:val="clear" w:color="auto" w:fill="DAEEF3" w:themeFill="accent5" w:themeFillTint="33"/>
            <w:vAlign w:val="center"/>
          </w:tcPr>
          <w:p w14:paraId="6DE48C0E" w14:textId="77777777" w:rsidR="008D0754" w:rsidRPr="00AF3A24" w:rsidRDefault="008D0754" w:rsidP="008D075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(0.8 - 1.7)</w:t>
            </w:r>
          </w:p>
        </w:tc>
      </w:tr>
    </w:tbl>
    <w:p w14:paraId="259F03A1" w14:textId="77777777" w:rsidR="001A257C" w:rsidRPr="00AF3A24" w:rsidRDefault="001A257C" w:rsidP="003B07BB">
      <w:pPr>
        <w:spacing w:before="0" w:line="240" w:lineRule="auto"/>
        <w:ind w:left="1276"/>
        <w:rPr>
          <w:rFonts w:asciiTheme="minorHAnsi" w:hAnsiTheme="minorHAnsi" w:cstheme="minorHAnsi"/>
          <w:sz w:val="16"/>
          <w:szCs w:val="16"/>
        </w:rPr>
      </w:pPr>
      <w:r w:rsidRPr="00AF3A24">
        <w:rPr>
          <w:rFonts w:asciiTheme="minorHAnsi" w:hAnsiTheme="minorHAnsi" w:cstheme="minorHAnsi"/>
          <w:sz w:val="16"/>
          <w:szCs w:val="16"/>
        </w:rPr>
        <w:t>Notes:</w:t>
      </w:r>
    </w:p>
    <w:p w14:paraId="605AF6A7" w14:textId="77777777" w:rsidR="001A257C" w:rsidRPr="00AF3A24" w:rsidRDefault="001A257C" w:rsidP="00D75319">
      <w:pPr>
        <w:pStyle w:val="ListParagraph"/>
        <w:numPr>
          <w:ilvl w:val="0"/>
          <w:numId w:val="11"/>
        </w:numPr>
        <w:spacing w:line="240" w:lineRule="auto"/>
        <w:ind w:left="1560" w:right="1559" w:hanging="283"/>
        <w:rPr>
          <w:rFonts w:asciiTheme="minorHAnsi" w:hAnsiTheme="minorHAnsi" w:cstheme="minorHAnsi"/>
          <w:sz w:val="16"/>
          <w:szCs w:val="16"/>
        </w:rPr>
      </w:pPr>
      <w:r w:rsidRPr="00AF3A24">
        <w:rPr>
          <w:rFonts w:asciiTheme="minorHAnsi" w:hAnsiTheme="minorHAnsi" w:cstheme="minorHAnsi"/>
          <w:sz w:val="16"/>
          <w:szCs w:val="16"/>
        </w:rPr>
        <w:t xml:space="preserve">Source: 2011/12 New Zealand Health Survey. </w:t>
      </w:r>
    </w:p>
    <w:p w14:paraId="1CB5433B" w14:textId="77777777" w:rsidR="00266B83" w:rsidRPr="00AF3A24" w:rsidRDefault="00266B83" w:rsidP="00D75319">
      <w:pPr>
        <w:pStyle w:val="ListParagraph"/>
        <w:numPr>
          <w:ilvl w:val="0"/>
          <w:numId w:val="11"/>
        </w:numPr>
        <w:spacing w:line="240" w:lineRule="auto"/>
        <w:ind w:left="1560" w:right="1559" w:hanging="283"/>
        <w:rPr>
          <w:rFonts w:asciiTheme="minorHAnsi" w:hAnsiTheme="minorHAnsi" w:cstheme="minorHAnsi"/>
          <w:sz w:val="16"/>
          <w:szCs w:val="16"/>
        </w:rPr>
      </w:pPr>
      <w:r w:rsidRPr="00AF3A24">
        <w:rPr>
          <w:rFonts w:asciiTheme="minorHAnsi" w:hAnsiTheme="minorHAnsi" w:cstheme="minorHAnsi"/>
          <w:sz w:val="16"/>
          <w:szCs w:val="16"/>
        </w:rPr>
        <w:t xml:space="preserve">Due to small cell sizes/denominators (n&lt;30), some activities </w:t>
      </w:r>
      <w:r w:rsidR="000F6BC2" w:rsidRPr="00AF3A24">
        <w:rPr>
          <w:rFonts w:asciiTheme="minorHAnsi" w:hAnsiTheme="minorHAnsi" w:cstheme="minorHAnsi"/>
          <w:sz w:val="16"/>
        </w:rPr>
        <w:t xml:space="preserve">have been </w:t>
      </w:r>
      <w:r w:rsidRPr="00AF3A24">
        <w:rPr>
          <w:rFonts w:asciiTheme="minorHAnsi" w:hAnsiTheme="minorHAnsi" w:cstheme="minorHAnsi"/>
          <w:sz w:val="16"/>
          <w:szCs w:val="16"/>
        </w:rPr>
        <w:t>combined with others to enable their inclusion in the analyses.</w:t>
      </w:r>
    </w:p>
    <w:p w14:paraId="70E0EAC0" w14:textId="77777777" w:rsidR="001A257C" w:rsidRPr="00AF3A24" w:rsidRDefault="001A257C" w:rsidP="00D75319">
      <w:pPr>
        <w:pStyle w:val="ListParagraph"/>
        <w:numPr>
          <w:ilvl w:val="0"/>
          <w:numId w:val="11"/>
        </w:numPr>
        <w:spacing w:line="240" w:lineRule="auto"/>
        <w:ind w:left="1560" w:right="1559" w:hanging="283"/>
        <w:rPr>
          <w:rFonts w:asciiTheme="minorHAnsi" w:hAnsiTheme="minorHAnsi" w:cstheme="minorHAnsi"/>
          <w:sz w:val="16"/>
          <w:szCs w:val="16"/>
        </w:rPr>
      </w:pPr>
      <w:r w:rsidRPr="00AF3A24">
        <w:rPr>
          <w:rFonts w:asciiTheme="minorHAnsi" w:hAnsiTheme="minorHAnsi" w:cstheme="minorHAnsi"/>
          <w:sz w:val="16"/>
          <w:szCs w:val="16"/>
        </w:rPr>
        <w:t>Lotto includes ‘Strike’, ‘Powerball’</w:t>
      </w:r>
      <w:r w:rsidR="002501DE" w:rsidRPr="00AF3A24">
        <w:rPr>
          <w:rFonts w:asciiTheme="minorHAnsi" w:hAnsiTheme="minorHAnsi" w:cstheme="minorHAnsi"/>
          <w:sz w:val="16"/>
          <w:szCs w:val="16"/>
        </w:rPr>
        <w:t>,</w:t>
      </w:r>
      <w:r w:rsidRPr="00AF3A24">
        <w:rPr>
          <w:rFonts w:asciiTheme="minorHAnsi" w:hAnsiTheme="minorHAnsi" w:cstheme="minorHAnsi"/>
          <w:sz w:val="16"/>
          <w:szCs w:val="16"/>
        </w:rPr>
        <w:t xml:space="preserve"> ‘Big Wednesday’</w:t>
      </w:r>
      <w:r w:rsidR="002501DE" w:rsidRPr="00AF3A24">
        <w:rPr>
          <w:rFonts w:asciiTheme="minorHAnsi" w:hAnsiTheme="minorHAnsi" w:cstheme="minorHAnsi"/>
          <w:sz w:val="16"/>
          <w:szCs w:val="16"/>
        </w:rPr>
        <w:t xml:space="preserve"> and ‘Keno’</w:t>
      </w:r>
      <w:r w:rsidRPr="00AF3A24">
        <w:rPr>
          <w:rFonts w:asciiTheme="minorHAnsi" w:hAnsiTheme="minorHAnsi" w:cstheme="minorHAnsi"/>
          <w:sz w:val="16"/>
          <w:szCs w:val="16"/>
        </w:rPr>
        <w:t>.</w:t>
      </w:r>
      <w:r w:rsidR="00326EB8" w:rsidRPr="00AF3A24">
        <w:rPr>
          <w:rFonts w:asciiTheme="minorHAnsi" w:hAnsiTheme="minorHAnsi" w:cstheme="minorHAnsi"/>
          <w:sz w:val="16"/>
          <w:szCs w:val="16"/>
        </w:rPr>
        <w:t xml:space="preserve"> </w:t>
      </w:r>
    </w:p>
    <w:p w14:paraId="7F9AAA0D" w14:textId="77777777" w:rsidR="00C132B2" w:rsidRPr="00AF3A24" w:rsidRDefault="00C132B2" w:rsidP="00C132B2">
      <w:pPr>
        <w:pStyle w:val="BodyText"/>
        <w:rPr>
          <w:highlight w:val="yellow"/>
        </w:rPr>
      </w:pPr>
    </w:p>
    <w:p w14:paraId="6B7AC0E9" w14:textId="77777777" w:rsidR="00600F72" w:rsidRPr="00AF3A24" w:rsidRDefault="00600F72" w:rsidP="00F061EF">
      <w:pPr>
        <w:pStyle w:val="Heading3"/>
      </w:pPr>
      <w:bookmarkStart w:id="85" w:name="_Toc403833162"/>
      <w:r w:rsidRPr="00AF3A24">
        <w:t>Preferred gambling activity by demographics</w:t>
      </w:r>
      <w:bookmarkEnd w:id="85"/>
    </w:p>
    <w:p w14:paraId="5F47A527" w14:textId="77777777" w:rsidR="003868A2" w:rsidRDefault="003868A2" w:rsidP="008C34D0">
      <w:pPr>
        <w:rPr>
          <w:rFonts w:asciiTheme="minorHAnsi" w:hAnsiTheme="minorHAnsi"/>
        </w:rPr>
      </w:pPr>
      <w:r>
        <w:rPr>
          <w:rFonts w:asciiTheme="minorHAnsi" w:hAnsiTheme="minorHAnsi"/>
        </w:rPr>
        <w:t xml:space="preserve">Preferred gambling activity was broken down by demographic characteristics. </w:t>
      </w:r>
      <w:r w:rsidR="004770DE">
        <w:rPr>
          <w:rFonts w:asciiTheme="minorHAnsi" w:hAnsiTheme="minorHAnsi"/>
        </w:rPr>
        <w:t xml:space="preserve"> Table 22 (Appendix E)</w:t>
      </w:r>
      <w:r w:rsidR="00E81A66">
        <w:rPr>
          <w:rFonts w:asciiTheme="minorHAnsi" w:hAnsiTheme="minorHAnsi"/>
        </w:rPr>
        <w:t xml:space="preserve"> provides detailed results for this set of analyses</w:t>
      </w:r>
      <w:r w:rsidR="00E253F0">
        <w:rPr>
          <w:rFonts w:asciiTheme="minorHAnsi" w:hAnsiTheme="minorHAnsi"/>
        </w:rPr>
        <w:t xml:space="preserve">, with </w:t>
      </w:r>
      <w:r w:rsidR="0012096C">
        <w:rPr>
          <w:rFonts w:asciiTheme="minorHAnsi" w:hAnsiTheme="minorHAnsi"/>
        </w:rPr>
        <w:t xml:space="preserve">trends and </w:t>
      </w:r>
      <w:r w:rsidR="00E81A66">
        <w:rPr>
          <w:rFonts w:asciiTheme="minorHAnsi" w:hAnsiTheme="minorHAnsi"/>
        </w:rPr>
        <w:t>key results</w:t>
      </w:r>
      <w:r w:rsidR="00E253F0">
        <w:rPr>
          <w:rFonts w:asciiTheme="minorHAnsi" w:hAnsiTheme="minorHAnsi"/>
        </w:rPr>
        <w:t xml:space="preserve"> including:</w:t>
      </w:r>
      <w:r w:rsidR="00E81A66">
        <w:rPr>
          <w:rFonts w:asciiTheme="minorHAnsi" w:hAnsiTheme="minorHAnsi"/>
        </w:rPr>
        <w:t xml:space="preserve"> </w:t>
      </w:r>
    </w:p>
    <w:p w14:paraId="5A97A268" w14:textId="77777777" w:rsidR="003868A2" w:rsidRPr="00E253F0" w:rsidRDefault="002F6992" w:rsidP="00E253F0">
      <w:pPr>
        <w:pStyle w:val="ListParagraph"/>
        <w:numPr>
          <w:ilvl w:val="0"/>
          <w:numId w:val="9"/>
        </w:numPr>
        <w:rPr>
          <w:rFonts w:asciiTheme="minorHAnsi" w:hAnsiTheme="minorHAnsi"/>
        </w:rPr>
      </w:pPr>
      <w:r w:rsidRPr="00E253F0">
        <w:rPr>
          <w:rFonts w:asciiTheme="minorHAnsi" w:hAnsiTheme="minorHAnsi"/>
        </w:rPr>
        <w:t xml:space="preserve">While </w:t>
      </w:r>
      <w:r w:rsidR="00AA42D5" w:rsidRPr="00E253F0">
        <w:rPr>
          <w:rFonts w:asciiTheme="minorHAnsi" w:hAnsiTheme="minorHAnsi"/>
        </w:rPr>
        <w:t>Instant Kiwi was preferred by greater</w:t>
      </w:r>
      <w:r w:rsidR="00467C5C" w:rsidRPr="00E253F0">
        <w:rPr>
          <w:rFonts w:asciiTheme="minorHAnsi" w:hAnsiTheme="minorHAnsi"/>
        </w:rPr>
        <w:t xml:space="preserve"> proportions of females (26.5%) than males (10.6%</w:t>
      </w:r>
      <w:r w:rsidR="00AA42D5" w:rsidRPr="00E253F0">
        <w:rPr>
          <w:rFonts w:asciiTheme="minorHAnsi" w:hAnsiTheme="minorHAnsi"/>
        </w:rPr>
        <w:t>)</w:t>
      </w:r>
      <w:r w:rsidR="003868A2" w:rsidRPr="00E253F0">
        <w:rPr>
          <w:rFonts w:asciiTheme="minorHAnsi" w:hAnsiTheme="minorHAnsi"/>
        </w:rPr>
        <w:t>, greater proportions of males preferr</w:t>
      </w:r>
      <w:r w:rsidRPr="00E253F0">
        <w:rPr>
          <w:rFonts w:asciiTheme="minorHAnsi" w:hAnsiTheme="minorHAnsi"/>
        </w:rPr>
        <w:t>ed</w:t>
      </w:r>
      <w:r w:rsidR="003868A2" w:rsidRPr="00E253F0">
        <w:rPr>
          <w:rFonts w:asciiTheme="minorHAnsi" w:hAnsiTheme="minorHAnsi"/>
        </w:rPr>
        <w:t xml:space="preserve"> t</w:t>
      </w:r>
      <w:r w:rsidR="0041524B" w:rsidRPr="00E253F0">
        <w:rPr>
          <w:rFonts w:asciiTheme="minorHAnsi" w:hAnsiTheme="minorHAnsi"/>
        </w:rPr>
        <w:t xml:space="preserve">rack </w:t>
      </w:r>
      <w:r w:rsidR="00E81A66" w:rsidRPr="00E253F0">
        <w:rPr>
          <w:rFonts w:asciiTheme="minorHAnsi" w:hAnsiTheme="minorHAnsi"/>
        </w:rPr>
        <w:t>(</w:t>
      </w:r>
      <w:r w:rsidRPr="00E253F0">
        <w:rPr>
          <w:rFonts w:asciiTheme="minorHAnsi" w:hAnsiTheme="minorHAnsi"/>
        </w:rPr>
        <w:t xml:space="preserve">males </w:t>
      </w:r>
      <w:r w:rsidR="00E81A66" w:rsidRPr="00E253F0">
        <w:rPr>
          <w:rFonts w:asciiTheme="minorHAnsi" w:hAnsiTheme="minorHAnsi"/>
        </w:rPr>
        <w:t>15.8%</w:t>
      </w:r>
      <w:r w:rsidRPr="00E253F0">
        <w:rPr>
          <w:rFonts w:asciiTheme="minorHAnsi" w:hAnsiTheme="minorHAnsi"/>
        </w:rPr>
        <w:t>, females</w:t>
      </w:r>
      <w:r w:rsidR="00E81A66" w:rsidRPr="00E253F0">
        <w:rPr>
          <w:rFonts w:asciiTheme="minorHAnsi" w:hAnsiTheme="minorHAnsi"/>
        </w:rPr>
        <w:t xml:space="preserve"> 7.1%) </w:t>
      </w:r>
      <w:r w:rsidR="003868A2" w:rsidRPr="00E253F0">
        <w:rPr>
          <w:rFonts w:asciiTheme="minorHAnsi" w:hAnsiTheme="minorHAnsi"/>
        </w:rPr>
        <w:t xml:space="preserve">and sports betting </w:t>
      </w:r>
      <w:r w:rsidR="00E81A66" w:rsidRPr="00E253F0">
        <w:rPr>
          <w:rFonts w:asciiTheme="minorHAnsi" w:hAnsiTheme="minorHAnsi"/>
        </w:rPr>
        <w:t>(</w:t>
      </w:r>
      <w:r w:rsidRPr="00E253F0">
        <w:rPr>
          <w:rFonts w:asciiTheme="minorHAnsi" w:hAnsiTheme="minorHAnsi"/>
        </w:rPr>
        <w:t xml:space="preserve">males </w:t>
      </w:r>
      <w:r w:rsidR="00E81A66" w:rsidRPr="00E253F0">
        <w:rPr>
          <w:rFonts w:asciiTheme="minorHAnsi" w:hAnsiTheme="minorHAnsi"/>
        </w:rPr>
        <w:t>8.0%</w:t>
      </w:r>
      <w:r w:rsidRPr="00E253F0">
        <w:rPr>
          <w:rFonts w:asciiTheme="minorHAnsi" w:hAnsiTheme="minorHAnsi"/>
        </w:rPr>
        <w:t>, females</w:t>
      </w:r>
      <w:r w:rsidR="00E41AFD" w:rsidRPr="00E253F0">
        <w:rPr>
          <w:rFonts w:asciiTheme="minorHAnsi" w:hAnsiTheme="minorHAnsi"/>
        </w:rPr>
        <w:t xml:space="preserve"> registered </w:t>
      </w:r>
      <w:r w:rsidRPr="00E253F0">
        <w:rPr>
          <w:rFonts w:asciiTheme="minorHAnsi" w:hAnsiTheme="minorHAnsi"/>
        </w:rPr>
        <w:t>negligible percent</w:t>
      </w:r>
      <w:r w:rsidR="00E81A66" w:rsidRPr="00E253F0">
        <w:rPr>
          <w:rFonts w:asciiTheme="minorHAnsi" w:hAnsiTheme="minorHAnsi"/>
        </w:rPr>
        <w:t xml:space="preserve">). </w:t>
      </w:r>
    </w:p>
    <w:p w14:paraId="063E5670" w14:textId="77777777" w:rsidR="0012096C" w:rsidRPr="00E253F0" w:rsidRDefault="0041524B" w:rsidP="00E253F0">
      <w:pPr>
        <w:pStyle w:val="ListParagraph"/>
        <w:numPr>
          <w:ilvl w:val="0"/>
          <w:numId w:val="9"/>
        </w:numPr>
        <w:rPr>
          <w:rFonts w:asciiTheme="minorHAnsi" w:hAnsiTheme="minorHAnsi"/>
        </w:rPr>
      </w:pPr>
      <w:r w:rsidRPr="00E253F0">
        <w:rPr>
          <w:rFonts w:asciiTheme="minorHAnsi" w:hAnsiTheme="minorHAnsi"/>
        </w:rPr>
        <w:t xml:space="preserve">With regard to age, </w:t>
      </w:r>
      <w:r w:rsidR="008C34D0" w:rsidRPr="00E253F0">
        <w:rPr>
          <w:rFonts w:asciiTheme="minorHAnsi" w:hAnsiTheme="minorHAnsi"/>
        </w:rPr>
        <w:t>Lotto and track betting</w:t>
      </w:r>
      <w:r w:rsidRPr="00E253F0">
        <w:rPr>
          <w:rFonts w:asciiTheme="minorHAnsi" w:hAnsiTheme="minorHAnsi"/>
        </w:rPr>
        <w:t xml:space="preserve"> were more popular amongst </w:t>
      </w:r>
      <w:r w:rsidR="008C34D0" w:rsidRPr="00E253F0">
        <w:rPr>
          <w:rFonts w:asciiTheme="minorHAnsi" w:hAnsiTheme="minorHAnsi"/>
        </w:rPr>
        <w:t>the older age-brackets</w:t>
      </w:r>
      <w:r w:rsidRPr="00E253F0">
        <w:rPr>
          <w:rFonts w:asciiTheme="minorHAnsi" w:hAnsiTheme="minorHAnsi"/>
        </w:rPr>
        <w:t xml:space="preserve"> while </w:t>
      </w:r>
      <w:r w:rsidR="008C34D0" w:rsidRPr="00E253F0">
        <w:rPr>
          <w:rFonts w:asciiTheme="minorHAnsi" w:hAnsiTheme="minorHAnsi"/>
        </w:rPr>
        <w:t>greater proportions of participants from the younger ag</w:t>
      </w:r>
      <w:r w:rsidR="00AA42D5" w:rsidRPr="00E253F0">
        <w:rPr>
          <w:rFonts w:asciiTheme="minorHAnsi" w:hAnsiTheme="minorHAnsi"/>
        </w:rPr>
        <w:t>e</w:t>
      </w:r>
      <w:r w:rsidR="008C34D0" w:rsidRPr="00E253F0">
        <w:rPr>
          <w:rFonts w:asciiTheme="minorHAnsi" w:hAnsiTheme="minorHAnsi"/>
        </w:rPr>
        <w:t xml:space="preserve">-groups preferred Instant Kiwi. </w:t>
      </w:r>
    </w:p>
    <w:p w14:paraId="2086B452" w14:textId="77777777" w:rsidR="0035174C" w:rsidRDefault="00105312" w:rsidP="00DF3687">
      <w:pPr>
        <w:pStyle w:val="ListParagraph"/>
        <w:numPr>
          <w:ilvl w:val="0"/>
          <w:numId w:val="9"/>
        </w:numPr>
        <w:rPr>
          <w:rFonts w:asciiTheme="minorHAnsi" w:hAnsiTheme="minorHAnsi"/>
        </w:rPr>
      </w:pPr>
      <w:r w:rsidRPr="00E253F0">
        <w:rPr>
          <w:rFonts w:asciiTheme="minorHAnsi" w:hAnsiTheme="minorHAnsi"/>
        </w:rPr>
        <w:t xml:space="preserve">No meaningful trends were observed in relation to ethnicity, neighbourhood deprivation or geography (urban/rural location). </w:t>
      </w:r>
    </w:p>
    <w:p w14:paraId="6AC07904" w14:textId="77777777" w:rsidR="00DF3687" w:rsidRPr="00DF3687" w:rsidRDefault="00DF3687" w:rsidP="00DF3687">
      <w:pPr>
        <w:rPr>
          <w:rFonts w:asciiTheme="minorHAnsi" w:hAnsiTheme="minorHAnsi"/>
        </w:rPr>
      </w:pPr>
    </w:p>
    <w:p w14:paraId="74EF7660" w14:textId="77777777" w:rsidR="007E2FC5" w:rsidRDefault="00200E0F" w:rsidP="00F061EF">
      <w:pPr>
        <w:pStyle w:val="Heading2"/>
      </w:pPr>
      <w:bookmarkStart w:id="86" w:name="_Toc403833163"/>
      <w:r>
        <w:lastRenderedPageBreak/>
        <w:t>SUMMARY</w:t>
      </w:r>
      <w:r w:rsidR="007E2FC5" w:rsidRPr="00266F7D">
        <w:t>:</w:t>
      </w:r>
      <w:r w:rsidR="00EB5023" w:rsidRPr="00266F7D">
        <w:t xml:space="preserve"> PAST YEAR GAMBLING PARTICIPATION</w:t>
      </w:r>
      <w:bookmarkEnd w:id="86"/>
    </w:p>
    <w:p w14:paraId="2877925B" w14:textId="77777777" w:rsidR="00B828A8" w:rsidRPr="004C0617" w:rsidRDefault="00B828A8" w:rsidP="00266F7D">
      <w:pPr>
        <w:spacing w:line="360" w:lineRule="auto"/>
        <w:rPr>
          <w:rFonts w:asciiTheme="minorHAnsi" w:hAnsiTheme="minorHAnsi" w:cstheme="minorHAnsi"/>
          <w:b/>
          <w:color w:val="1F497D"/>
        </w:rPr>
      </w:pPr>
      <w:r w:rsidRPr="004C0617">
        <w:rPr>
          <w:rFonts w:asciiTheme="minorHAnsi" w:hAnsiTheme="minorHAnsi" w:cstheme="minorHAnsi"/>
          <w:b/>
          <w:color w:val="1F497D"/>
        </w:rPr>
        <w:t>Involvement in gambling:</w:t>
      </w:r>
    </w:p>
    <w:p w14:paraId="0E3682EE" w14:textId="77777777" w:rsidR="00B828A8" w:rsidRDefault="00B828A8" w:rsidP="004F129A">
      <w:pPr>
        <w:pStyle w:val="ListParagraph"/>
        <w:numPr>
          <w:ilvl w:val="0"/>
          <w:numId w:val="61"/>
        </w:numPr>
        <w:spacing w:after="200"/>
        <w:rPr>
          <w:rFonts w:asciiTheme="minorHAnsi" w:hAnsiTheme="minorHAnsi" w:cstheme="minorHAnsi"/>
        </w:rPr>
      </w:pPr>
      <w:r w:rsidRPr="000F49A1">
        <w:rPr>
          <w:rFonts w:asciiTheme="minorHAnsi" w:hAnsiTheme="minorHAnsi" w:cstheme="minorHAnsi"/>
        </w:rPr>
        <w:t xml:space="preserve">Approximately </w:t>
      </w:r>
      <w:r w:rsidR="00263888">
        <w:rPr>
          <w:rFonts w:asciiTheme="minorHAnsi" w:hAnsiTheme="minorHAnsi" w:cstheme="minorHAnsi"/>
        </w:rPr>
        <w:t>one-</w:t>
      </w:r>
      <w:r w:rsidRPr="000F49A1">
        <w:rPr>
          <w:rFonts w:asciiTheme="minorHAnsi" w:hAnsiTheme="minorHAnsi" w:cstheme="minorHAnsi"/>
        </w:rPr>
        <w:t xml:space="preserve">half (52%) of all adults aged 15 years and over had gambled on at least one activity in the last 12 months. </w:t>
      </w:r>
    </w:p>
    <w:p w14:paraId="5C499E14" w14:textId="77777777" w:rsidR="00B828A8" w:rsidRDefault="00B828A8" w:rsidP="004F129A">
      <w:pPr>
        <w:pStyle w:val="ListParagraph"/>
        <w:numPr>
          <w:ilvl w:val="0"/>
          <w:numId w:val="61"/>
        </w:numPr>
        <w:spacing w:after="200"/>
        <w:rPr>
          <w:rFonts w:asciiTheme="minorHAnsi" w:hAnsiTheme="minorHAnsi" w:cstheme="minorHAnsi"/>
        </w:rPr>
      </w:pPr>
      <w:r w:rsidRPr="000F49A1">
        <w:rPr>
          <w:rFonts w:asciiTheme="minorHAnsi" w:hAnsiTheme="minorHAnsi" w:cstheme="minorHAnsi"/>
        </w:rPr>
        <w:t>Ethnicity and age-group were significantly associated with past-year gambling</w:t>
      </w:r>
      <w:r>
        <w:rPr>
          <w:rFonts w:asciiTheme="minorHAnsi" w:hAnsiTheme="minorHAnsi" w:cstheme="minorHAnsi"/>
        </w:rPr>
        <w:t>:</w:t>
      </w:r>
      <w:r w:rsidRPr="000F49A1">
        <w:rPr>
          <w:rFonts w:asciiTheme="minorHAnsi" w:hAnsiTheme="minorHAnsi" w:cstheme="minorHAnsi"/>
        </w:rPr>
        <w:t xml:space="preserve"> </w:t>
      </w:r>
    </w:p>
    <w:p w14:paraId="0F425942" w14:textId="77777777" w:rsidR="00B828A8" w:rsidRPr="00B60A98" w:rsidRDefault="00B828A8" w:rsidP="004F129A">
      <w:pPr>
        <w:pStyle w:val="ListParagraph"/>
        <w:numPr>
          <w:ilvl w:val="1"/>
          <w:numId w:val="61"/>
        </w:numPr>
        <w:spacing w:after="200"/>
        <w:rPr>
          <w:rFonts w:asciiTheme="minorHAnsi" w:hAnsiTheme="minorHAnsi" w:cstheme="minorHAnsi"/>
        </w:rPr>
      </w:pPr>
      <w:r w:rsidRPr="00B60A98">
        <w:rPr>
          <w:rFonts w:asciiTheme="minorHAnsi" w:hAnsiTheme="minorHAnsi" w:cstheme="minorHAnsi"/>
        </w:rPr>
        <w:t xml:space="preserve">Approximately one-half of Māori (54%), Pacific (49%) and European/Other (53%) </w:t>
      </w:r>
      <w:r w:rsidR="00B60A98" w:rsidRPr="00B60A98">
        <w:rPr>
          <w:rFonts w:asciiTheme="minorHAnsi" w:hAnsiTheme="minorHAnsi" w:cstheme="minorHAnsi"/>
        </w:rPr>
        <w:t>and one-third of Asian people (37%)</w:t>
      </w:r>
      <w:r w:rsidR="00B60A98">
        <w:rPr>
          <w:rFonts w:asciiTheme="minorHAnsi" w:hAnsiTheme="minorHAnsi" w:cstheme="minorHAnsi"/>
        </w:rPr>
        <w:t xml:space="preserve"> </w:t>
      </w:r>
      <w:r w:rsidRPr="00B60A98">
        <w:rPr>
          <w:rFonts w:asciiTheme="minorHAnsi" w:hAnsiTheme="minorHAnsi" w:cstheme="minorHAnsi"/>
        </w:rPr>
        <w:t>had gambled in the past 12 months.</w:t>
      </w:r>
    </w:p>
    <w:p w14:paraId="7F66F358" w14:textId="77777777" w:rsidR="00B828A8" w:rsidRDefault="00B828A8" w:rsidP="004F129A">
      <w:pPr>
        <w:pStyle w:val="ListParagraph"/>
        <w:numPr>
          <w:ilvl w:val="1"/>
          <w:numId w:val="61"/>
        </w:numPr>
        <w:spacing w:after="200"/>
        <w:rPr>
          <w:rFonts w:asciiTheme="minorHAnsi" w:hAnsiTheme="minorHAnsi" w:cstheme="minorHAnsi"/>
        </w:rPr>
      </w:pPr>
      <w:r w:rsidRPr="000F49A1">
        <w:rPr>
          <w:rFonts w:asciiTheme="minorHAnsi" w:hAnsiTheme="minorHAnsi" w:cstheme="minorHAnsi"/>
        </w:rPr>
        <w:t>Approximately one-third of respondents aged 15-24 years (3</w:t>
      </w:r>
      <w:r>
        <w:rPr>
          <w:rFonts w:asciiTheme="minorHAnsi" w:hAnsiTheme="minorHAnsi" w:cstheme="minorHAnsi"/>
        </w:rPr>
        <w:t>3</w:t>
      </w:r>
      <w:r w:rsidRPr="000F49A1">
        <w:rPr>
          <w:rFonts w:asciiTheme="minorHAnsi" w:hAnsiTheme="minorHAnsi" w:cstheme="minorHAnsi"/>
        </w:rPr>
        <w:t xml:space="preserve">%) </w:t>
      </w:r>
      <w:r>
        <w:rPr>
          <w:rFonts w:asciiTheme="minorHAnsi" w:hAnsiTheme="minorHAnsi" w:cstheme="minorHAnsi"/>
        </w:rPr>
        <w:t>had</w:t>
      </w:r>
      <w:r w:rsidRPr="000F49A1">
        <w:rPr>
          <w:rFonts w:asciiTheme="minorHAnsi" w:hAnsiTheme="minorHAnsi" w:cstheme="minorHAnsi"/>
        </w:rPr>
        <w:t xml:space="preserve"> gambled in the past year compared with 50%-60% percent of </w:t>
      </w:r>
      <w:r>
        <w:rPr>
          <w:rFonts w:asciiTheme="minorHAnsi" w:hAnsiTheme="minorHAnsi" w:cstheme="minorHAnsi"/>
        </w:rPr>
        <w:t>adults</w:t>
      </w:r>
      <w:r w:rsidRPr="000F49A1">
        <w:rPr>
          <w:rFonts w:asciiTheme="minorHAnsi" w:hAnsiTheme="minorHAnsi" w:cstheme="minorHAnsi"/>
        </w:rPr>
        <w:t xml:space="preserve"> in other age groups</w:t>
      </w:r>
      <w:r>
        <w:rPr>
          <w:rFonts w:asciiTheme="minorHAnsi" w:hAnsiTheme="minorHAnsi" w:cstheme="minorHAnsi"/>
        </w:rPr>
        <w:t>.</w:t>
      </w:r>
    </w:p>
    <w:p w14:paraId="2B9263EB" w14:textId="77777777" w:rsidR="003A1E84" w:rsidRPr="00DF3687" w:rsidRDefault="00EC3EDD" w:rsidP="004F129A">
      <w:pPr>
        <w:pStyle w:val="ListParagraph"/>
        <w:numPr>
          <w:ilvl w:val="0"/>
          <w:numId w:val="61"/>
        </w:numPr>
        <w:spacing w:after="200"/>
        <w:rPr>
          <w:rFonts w:asciiTheme="minorHAnsi" w:hAnsiTheme="minorHAnsi" w:cstheme="minorHAnsi"/>
        </w:rPr>
      </w:pPr>
      <w:r w:rsidRPr="00DF3687">
        <w:rPr>
          <w:rFonts w:asciiTheme="minorHAnsi" w:hAnsiTheme="minorHAnsi" w:cstheme="minorHAnsi"/>
        </w:rPr>
        <w:t>The proportion of people who had gambled on any activity has significantly decreased with each NZHS wave</w:t>
      </w:r>
      <w:r w:rsidR="00F41D7F" w:rsidRPr="00DF3687">
        <w:rPr>
          <w:rFonts w:asciiTheme="minorHAnsi" w:hAnsiTheme="minorHAnsi" w:cstheme="minorHAnsi"/>
        </w:rPr>
        <w:t>: 65.9% in 2002/03, 60.3% in 2006/07, and 45.7% in 2011/12</w:t>
      </w:r>
      <w:r w:rsidR="003A1E84" w:rsidRPr="00A245F0">
        <w:rPr>
          <w:rFonts w:asciiTheme="minorHAnsi" w:hAnsiTheme="minorHAnsi" w:cstheme="minorHAnsi"/>
          <w:vertAlign w:val="superscript"/>
        </w:rPr>
        <w:footnoteReference w:id="6"/>
      </w:r>
      <w:r w:rsidR="003A1E84" w:rsidRPr="00DF3687">
        <w:rPr>
          <w:rFonts w:asciiTheme="minorHAnsi" w:hAnsiTheme="minorHAnsi" w:cstheme="minorHAnsi"/>
        </w:rPr>
        <w:t xml:space="preserve">. </w:t>
      </w:r>
      <w:r w:rsidR="00F41D7F" w:rsidRPr="00DF3687">
        <w:rPr>
          <w:rFonts w:asciiTheme="minorHAnsi" w:hAnsiTheme="minorHAnsi" w:cstheme="minorHAnsi"/>
        </w:rPr>
        <w:t xml:space="preserve"> </w:t>
      </w:r>
    </w:p>
    <w:p w14:paraId="2A0FE60B" w14:textId="77777777" w:rsidR="00B828A8" w:rsidRPr="003A1E84" w:rsidRDefault="00B828A8" w:rsidP="00DF3687">
      <w:pPr>
        <w:spacing w:line="360" w:lineRule="auto"/>
        <w:rPr>
          <w:rFonts w:asciiTheme="minorHAnsi" w:hAnsiTheme="minorHAnsi" w:cstheme="minorHAnsi"/>
          <w:b/>
          <w:color w:val="1F497D"/>
        </w:rPr>
      </w:pPr>
      <w:r w:rsidRPr="003A1E84">
        <w:rPr>
          <w:rFonts w:asciiTheme="minorHAnsi" w:hAnsiTheme="minorHAnsi" w:cstheme="minorHAnsi"/>
          <w:b/>
          <w:color w:val="1F497D"/>
        </w:rPr>
        <w:t>Activities that adults gamble on:</w:t>
      </w:r>
    </w:p>
    <w:p w14:paraId="3EF90C43" w14:textId="77777777" w:rsidR="00B828A8" w:rsidRPr="00543414" w:rsidRDefault="00B828A8" w:rsidP="004F129A">
      <w:pPr>
        <w:pStyle w:val="ListParagraph"/>
        <w:numPr>
          <w:ilvl w:val="0"/>
          <w:numId w:val="61"/>
        </w:numPr>
        <w:spacing w:after="200"/>
        <w:rPr>
          <w:rFonts w:asciiTheme="minorHAnsi" w:hAnsiTheme="minorHAnsi" w:cstheme="minorHAnsi"/>
        </w:rPr>
      </w:pPr>
      <w:r w:rsidRPr="00543414">
        <w:rPr>
          <w:rFonts w:asciiTheme="minorHAnsi" w:hAnsiTheme="minorHAnsi" w:cstheme="minorHAnsi"/>
        </w:rPr>
        <w:t xml:space="preserve">The most popular gambling activities were </w:t>
      </w:r>
      <w:r w:rsidR="00777195">
        <w:rPr>
          <w:rFonts w:asciiTheme="minorHAnsi" w:hAnsiTheme="minorHAnsi" w:cstheme="minorHAnsi"/>
        </w:rPr>
        <w:t>NZ Lotteries</w:t>
      </w:r>
      <w:r w:rsidR="002669CD" w:rsidRPr="002669CD">
        <w:rPr>
          <w:rFonts w:asciiTheme="minorHAnsi" w:hAnsiTheme="minorHAnsi" w:cstheme="minorHAnsi"/>
        </w:rPr>
        <w:t xml:space="preserve"> </w:t>
      </w:r>
      <w:r w:rsidR="002669CD" w:rsidRPr="00543414">
        <w:rPr>
          <w:rFonts w:asciiTheme="minorHAnsi" w:hAnsiTheme="minorHAnsi" w:cstheme="minorHAnsi"/>
        </w:rPr>
        <w:t>products</w:t>
      </w:r>
      <w:r w:rsidR="00071756">
        <w:rPr>
          <w:rStyle w:val="FootnoteReference"/>
          <w:rFonts w:asciiTheme="minorHAnsi" w:hAnsiTheme="minorHAnsi"/>
        </w:rPr>
        <w:footnoteReference w:id="7"/>
      </w:r>
      <w:r w:rsidRPr="00543414">
        <w:rPr>
          <w:rFonts w:asciiTheme="minorHAnsi" w:hAnsiTheme="minorHAnsi" w:cstheme="minorHAnsi"/>
        </w:rPr>
        <w:t xml:space="preserve"> (45%)</w:t>
      </w:r>
      <w:r>
        <w:rPr>
          <w:rFonts w:asciiTheme="minorHAnsi" w:hAnsiTheme="minorHAnsi" w:cstheme="minorHAnsi"/>
        </w:rPr>
        <w:t>.</w:t>
      </w:r>
      <w:r w:rsidRPr="00543414">
        <w:rPr>
          <w:rFonts w:asciiTheme="minorHAnsi" w:hAnsiTheme="minorHAnsi" w:cstheme="minorHAnsi"/>
        </w:rPr>
        <w:t xml:space="preserve"> </w:t>
      </w:r>
      <w:r>
        <w:rPr>
          <w:rFonts w:asciiTheme="minorHAnsi" w:hAnsiTheme="minorHAnsi" w:cstheme="minorHAnsi"/>
        </w:rPr>
        <w:t xml:space="preserve"> L</w:t>
      </w:r>
      <w:r w:rsidRPr="00543414">
        <w:rPr>
          <w:rFonts w:asciiTheme="minorHAnsi" w:hAnsiTheme="minorHAnsi" w:cstheme="minorHAnsi"/>
        </w:rPr>
        <w:t xml:space="preserve">ess than ten percent of adults had gambled on EGMs (casino and/or non-casino), track or sports betting, casino </w:t>
      </w:r>
      <w:r w:rsidR="00C22E1D">
        <w:rPr>
          <w:rFonts w:asciiTheme="minorHAnsi" w:hAnsiTheme="minorHAnsi" w:cstheme="minorHAnsi"/>
        </w:rPr>
        <w:t>gambling (EGMs and/or tables), K</w:t>
      </w:r>
      <w:r w:rsidRPr="00543414">
        <w:rPr>
          <w:rFonts w:asciiTheme="minorHAnsi" w:hAnsiTheme="minorHAnsi" w:cstheme="minorHAnsi"/>
        </w:rPr>
        <w:t>eno, housie and ‘other’ in the previous year.</w:t>
      </w:r>
    </w:p>
    <w:p w14:paraId="73583F21" w14:textId="77777777" w:rsidR="00B828A8" w:rsidRPr="00543414" w:rsidRDefault="00B828A8" w:rsidP="004F129A">
      <w:pPr>
        <w:pStyle w:val="ListParagraph"/>
        <w:numPr>
          <w:ilvl w:val="0"/>
          <w:numId w:val="61"/>
        </w:numPr>
        <w:spacing w:after="200"/>
        <w:rPr>
          <w:rFonts w:asciiTheme="minorHAnsi" w:hAnsiTheme="minorHAnsi" w:cstheme="minorHAnsi"/>
        </w:rPr>
      </w:pPr>
      <w:r w:rsidRPr="00C41703">
        <w:rPr>
          <w:rFonts w:asciiTheme="minorHAnsi" w:hAnsiTheme="minorHAnsi"/>
        </w:rPr>
        <w:t xml:space="preserve">Males were significantly more likely than females to have gambled on: Lotto, track betting, sports betting, casino tables and ‘other’. </w:t>
      </w:r>
      <w:r w:rsidR="00777195">
        <w:rPr>
          <w:rFonts w:asciiTheme="minorHAnsi" w:hAnsiTheme="minorHAnsi"/>
        </w:rPr>
        <w:t xml:space="preserve"> </w:t>
      </w:r>
      <w:r w:rsidRPr="00C41703">
        <w:rPr>
          <w:rFonts w:asciiTheme="minorHAnsi" w:hAnsiTheme="minorHAnsi"/>
        </w:rPr>
        <w:t>Females were more likely to gamble on Instant kiwi (or other scratch tickets) and housie</w:t>
      </w:r>
      <w:r>
        <w:rPr>
          <w:rFonts w:asciiTheme="minorHAnsi" w:hAnsiTheme="minorHAnsi"/>
        </w:rPr>
        <w:t>.</w:t>
      </w:r>
    </w:p>
    <w:p w14:paraId="1B7AB832" w14:textId="77777777" w:rsidR="00B828A8" w:rsidRDefault="00B828A8" w:rsidP="004F129A">
      <w:pPr>
        <w:pStyle w:val="ListParagraph"/>
        <w:numPr>
          <w:ilvl w:val="0"/>
          <w:numId w:val="61"/>
        </w:numPr>
        <w:spacing w:after="200"/>
        <w:rPr>
          <w:rFonts w:asciiTheme="minorHAnsi" w:hAnsiTheme="minorHAnsi" w:cstheme="minorHAnsi"/>
        </w:rPr>
      </w:pPr>
      <w:r>
        <w:rPr>
          <w:rFonts w:asciiTheme="minorHAnsi" w:hAnsiTheme="minorHAnsi" w:cstheme="minorHAnsi"/>
        </w:rPr>
        <w:t xml:space="preserve">Age was significantly related to participation in most gambling activities: </w:t>
      </w:r>
    </w:p>
    <w:p w14:paraId="4DF91C85" w14:textId="77777777" w:rsidR="00B828A8" w:rsidRPr="00543414" w:rsidRDefault="00777195" w:rsidP="004F129A">
      <w:pPr>
        <w:pStyle w:val="ListParagraph"/>
        <w:numPr>
          <w:ilvl w:val="1"/>
          <w:numId w:val="61"/>
        </w:numPr>
        <w:spacing w:after="200"/>
        <w:rPr>
          <w:rFonts w:asciiTheme="minorHAnsi" w:hAnsiTheme="minorHAnsi" w:cstheme="minorHAnsi"/>
        </w:rPr>
      </w:pPr>
      <w:r>
        <w:rPr>
          <w:rFonts w:asciiTheme="minorHAnsi" w:hAnsiTheme="minorHAnsi"/>
        </w:rPr>
        <w:t>A</w:t>
      </w:r>
      <w:r w:rsidR="00B828A8" w:rsidRPr="00AF3A24">
        <w:rPr>
          <w:rFonts w:asciiTheme="minorHAnsi" w:hAnsiTheme="minorHAnsi"/>
        </w:rPr>
        <w:t>ny non-Lotto</w:t>
      </w:r>
      <w:r w:rsidR="00B828A8">
        <w:rPr>
          <w:rFonts w:asciiTheme="minorHAnsi" w:hAnsiTheme="minorHAnsi"/>
        </w:rPr>
        <w:t>, a</w:t>
      </w:r>
      <w:r w:rsidR="00B828A8" w:rsidRPr="00AF3A24">
        <w:rPr>
          <w:rFonts w:asciiTheme="minorHAnsi" w:hAnsiTheme="minorHAnsi"/>
        </w:rPr>
        <w:t>ny EGM</w:t>
      </w:r>
      <w:r w:rsidR="00B828A8">
        <w:rPr>
          <w:rFonts w:asciiTheme="minorHAnsi" w:hAnsiTheme="minorHAnsi"/>
        </w:rPr>
        <w:t>, a</w:t>
      </w:r>
      <w:r w:rsidR="00B828A8" w:rsidRPr="00AF3A24">
        <w:rPr>
          <w:rFonts w:asciiTheme="minorHAnsi" w:hAnsiTheme="minorHAnsi"/>
        </w:rPr>
        <w:t xml:space="preserve">ny </w:t>
      </w:r>
      <w:r w:rsidR="00B828A8" w:rsidRPr="0030101D">
        <w:rPr>
          <w:rFonts w:asciiTheme="minorHAnsi" w:hAnsiTheme="minorHAnsi"/>
        </w:rPr>
        <w:t>casino activity</w:t>
      </w:r>
      <w:r w:rsidR="00B828A8">
        <w:rPr>
          <w:rFonts w:asciiTheme="minorHAnsi" w:hAnsiTheme="minorHAnsi"/>
        </w:rPr>
        <w:t xml:space="preserve">, </w:t>
      </w:r>
      <w:r w:rsidR="00B828A8" w:rsidRPr="00AF3A24">
        <w:rPr>
          <w:rFonts w:asciiTheme="minorHAnsi" w:hAnsiTheme="minorHAnsi"/>
        </w:rPr>
        <w:t>I</w:t>
      </w:r>
      <w:r w:rsidR="00B828A8" w:rsidRPr="0030101D">
        <w:rPr>
          <w:rFonts w:asciiTheme="minorHAnsi" w:hAnsiTheme="minorHAnsi"/>
        </w:rPr>
        <w:t>nstant Kiw</w:t>
      </w:r>
      <w:r w:rsidR="00B828A8" w:rsidRPr="00AF3A24">
        <w:rPr>
          <w:rFonts w:asciiTheme="minorHAnsi" w:hAnsiTheme="minorHAnsi"/>
        </w:rPr>
        <w:t>i</w:t>
      </w:r>
      <w:r w:rsidR="00B828A8">
        <w:rPr>
          <w:rFonts w:asciiTheme="minorHAnsi" w:hAnsiTheme="minorHAnsi"/>
        </w:rPr>
        <w:t>, s</w:t>
      </w:r>
      <w:r w:rsidR="00B828A8" w:rsidRPr="00AF3A24">
        <w:rPr>
          <w:rFonts w:asciiTheme="minorHAnsi" w:hAnsiTheme="minorHAnsi"/>
        </w:rPr>
        <w:t>ports</w:t>
      </w:r>
      <w:r w:rsidR="00B828A8">
        <w:rPr>
          <w:rFonts w:asciiTheme="minorHAnsi" w:hAnsiTheme="minorHAnsi"/>
        </w:rPr>
        <w:t xml:space="preserve"> betting and casino t</w:t>
      </w:r>
      <w:r w:rsidR="00B828A8" w:rsidRPr="00AF3A24">
        <w:rPr>
          <w:rFonts w:asciiTheme="minorHAnsi" w:hAnsiTheme="minorHAnsi"/>
        </w:rPr>
        <w:t>ables</w:t>
      </w:r>
      <w:r w:rsidR="00B828A8">
        <w:rPr>
          <w:rFonts w:asciiTheme="minorHAnsi" w:hAnsiTheme="minorHAnsi"/>
        </w:rPr>
        <w:t xml:space="preserve"> were more popular with a</w:t>
      </w:r>
      <w:r w:rsidR="00B828A8">
        <w:rPr>
          <w:rFonts w:asciiTheme="minorHAnsi" w:hAnsiTheme="minorHAnsi" w:cstheme="minorHAnsi"/>
        </w:rPr>
        <w:t>dults aged 25-34 years; and,</w:t>
      </w:r>
    </w:p>
    <w:p w14:paraId="68C809A8" w14:textId="77777777" w:rsidR="00B828A8" w:rsidRPr="0087410C" w:rsidRDefault="001E11CC" w:rsidP="004F129A">
      <w:pPr>
        <w:pStyle w:val="ListParagraph"/>
        <w:numPr>
          <w:ilvl w:val="1"/>
          <w:numId w:val="61"/>
        </w:numPr>
        <w:spacing w:after="200"/>
        <w:rPr>
          <w:rFonts w:asciiTheme="minorHAnsi" w:hAnsiTheme="minorHAnsi" w:cstheme="minorHAnsi"/>
        </w:rPr>
      </w:pPr>
      <w:r>
        <w:rPr>
          <w:rFonts w:asciiTheme="minorHAnsi" w:hAnsiTheme="minorHAnsi"/>
        </w:rPr>
        <w:t>‘</w:t>
      </w:r>
      <w:r w:rsidR="00B828A8">
        <w:rPr>
          <w:rFonts w:asciiTheme="minorHAnsi" w:hAnsiTheme="minorHAnsi"/>
        </w:rPr>
        <w:t>Lotto only</w:t>
      </w:r>
      <w:r>
        <w:rPr>
          <w:rFonts w:asciiTheme="minorHAnsi" w:hAnsiTheme="minorHAnsi"/>
        </w:rPr>
        <w:t>’</w:t>
      </w:r>
      <w:r w:rsidR="00B828A8">
        <w:rPr>
          <w:rFonts w:asciiTheme="minorHAnsi" w:hAnsiTheme="minorHAnsi"/>
        </w:rPr>
        <w:t xml:space="preserve">, </w:t>
      </w:r>
      <w:r w:rsidR="00B828A8" w:rsidRPr="0030101D">
        <w:rPr>
          <w:rFonts w:asciiTheme="minorHAnsi" w:hAnsiTheme="minorHAnsi"/>
        </w:rPr>
        <w:t>Lotto</w:t>
      </w:r>
      <w:r w:rsidR="00B828A8">
        <w:rPr>
          <w:rFonts w:asciiTheme="minorHAnsi" w:hAnsiTheme="minorHAnsi"/>
        </w:rPr>
        <w:t>, and track betting were more popular with adults aged 45-54 years.</w:t>
      </w:r>
    </w:p>
    <w:p w14:paraId="5D276F16" w14:textId="77777777" w:rsidR="00183477" w:rsidRPr="00183477" w:rsidRDefault="00B828A8" w:rsidP="004F129A">
      <w:pPr>
        <w:pStyle w:val="ListParagraph"/>
        <w:numPr>
          <w:ilvl w:val="0"/>
          <w:numId w:val="61"/>
        </w:numPr>
        <w:spacing w:after="200"/>
        <w:rPr>
          <w:rFonts w:asciiTheme="minorHAnsi" w:hAnsiTheme="minorHAnsi" w:cstheme="minorHAnsi"/>
        </w:rPr>
      </w:pPr>
      <w:r w:rsidRPr="00183477">
        <w:rPr>
          <w:rFonts w:asciiTheme="minorHAnsi" w:hAnsiTheme="minorHAnsi" w:cstheme="minorHAnsi"/>
        </w:rPr>
        <w:lastRenderedPageBreak/>
        <w:t>The following significant trends were observed in relation to ethnicity and participation in gambling activities:</w:t>
      </w:r>
    </w:p>
    <w:p w14:paraId="4CDD7EE6" w14:textId="77777777" w:rsidR="00183477" w:rsidRPr="00183477" w:rsidRDefault="00183477" w:rsidP="004F129A">
      <w:pPr>
        <w:pStyle w:val="ListParagraph"/>
        <w:numPr>
          <w:ilvl w:val="1"/>
          <w:numId w:val="61"/>
        </w:numPr>
        <w:spacing w:after="200"/>
        <w:rPr>
          <w:rFonts w:asciiTheme="minorHAnsi" w:hAnsiTheme="minorHAnsi" w:cstheme="minorHAnsi"/>
        </w:rPr>
      </w:pPr>
      <w:r w:rsidRPr="00183477">
        <w:rPr>
          <w:rFonts w:asciiTheme="minorHAnsi" w:hAnsiTheme="minorHAnsi" w:cstheme="minorHAnsi"/>
        </w:rPr>
        <w:t xml:space="preserve">Compared with European/Other, Māori were more likely and Pacific and Asian less likely, to have gambled on any EGM (casino or non-casino), and non-casino EGMs. </w:t>
      </w:r>
    </w:p>
    <w:p w14:paraId="685A2A93" w14:textId="77777777" w:rsidR="00183477" w:rsidRPr="00183477" w:rsidRDefault="00183477" w:rsidP="004F129A">
      <w:pPr>
        <w:pStyle w:val="ListParagraph"/>
        <w:numPr>
          <w:ilvl w:val="1"/>
          <w:numId w:val="61"/>
        </w:numPr>
        <w:spacing w:after="200"/>
        <w:rPr>
          <w:rFonts w:asciiTheme="minorHAnsi" w:hAnsiTheme="minorHAnsi" w:cstheme="minorHAnsi"/>
        </w:rPr>
      </w:pPr>
      <w:r w:rsidRPr="00183477">
        <w:rPr>
          <w:rFonts w:asciiTheme="minorHAnsi" w:hAnsiTheme="minorHAnsi" w:cstheme="minorHAnsi"/>
        </w:rPr>
        <w:t>Compared with European/Other, Pacific and Asian were less likely to have gambled on any non-Lotto, Lotto, Instant Kiwi or other scratch tickets,</w:t>
      </w:r>
    </w:p>
    <w:p w14:paraId="66202E41" w14:textId="77777777" w:rsidR="00183477" w:rsidRPr="00183477" w:rsidRDefault="00183477" w:rsidP="004F129A">
      <w:pPr>
        <w:pStyle w:val="ListParagraph"/>
        <w:numPr>
          <w:ilvl w:val="1"/>
          <w:numId w:val="61"/>
        </w:numPr>
        <w:spacing w:after="200"/>
        <w:rPr>
          <w:rFonts w:asciiTheme="minorHAnsi" w:hAnsiTheme="minorHAnsi" w:cstheme="minorHAnsi"/>
        </w:rPr>
      </w:pPr>
      <w:r w:rsidRPr="00183477">
        <w:rPr>
          <w:rFonts w:asciiTheme="minorHAnsi" w:hAnsiTheme="minorHAnsi" w:cstheme="minorHAnsi"/>
        </w:rPr>
        <w:t xml:space="preserve">Compared with European/Other, Pacific and Asian were significantly less likely to have participated in track betting.  </w:t>
      </w:r>
    </w:p>
    <w:p w14:paraId="7B9B602E" w14:textId="77777777" w:rsidR="00183477" w:rsidRPr="00183477" w:rsidRDefault="00183477" w:rsidP="004F129A">
      <w:pPr>
        <w:pStyle w:val="ListParagraph"/>
        <w:numPr>
          <w:ilvl w:val="1"/>
          <w:numId w:val="61"/>
        </w:numPr>
        <w:spacing w:after="200"/>
        <w:rPr>
          <w:rFonts w:asciiTheme="minorHAnsi" w:hAnsiTheme="minorHAnsi" w:cstheme="minorHAnsi"/>
        </w:rPr>
      </w:pPr>
      <w:r w:rsidRPr="00183477">
        <w:rPr>
          <w:rFonts w:asciiTheme="minorHAnsi" w:hAnsiTheme="minorHAnsi" w:cstheme="minorHAnsi"/>
        </w:rPr>
        <w:t xml:space="preserve">Compared with European/Other, Māori and Pacific were significantly more likely to have gambled on Keno in the past 12 months. </w:t>
      </w:r>
    </w:p>
    <w:p w14:paraId="12C5CC7C" w14:textId="77777777" w:rsidR="00183477" w:rsidRPr="00183477" w:rsidRDefault="00183477" w:rsidP="004F129A">
      <w:pPr>
        <w:pStyle w:val="ListParagraph"/>
        <w:numPr>
          <w:ilvl w:val="1"/>
          <w:numId w:val="61"/>
        </w:numPr>
        <w:spacing w:after="200"/>
        <w:rPr>
          <w:rFonts w:asciiTheme="minorHAnsi" w:hAnsiTheme="minorHAnsi" w:cstheme="minorHAnsi"/>
        </w:rPr>
      </w:pPr>
      <w:r w:rsidRPr="00183477">
        <w:rPr>
          <w:rFonts w:asciiTheme="minorHAnsi" w:hAnsiTheme="minorHAnsi" w:cstheme="minorHAnsi"/>
        </w:rPr>
        <w:t xml:space="preserve">Compared with European/Other, Māori and Pacific were significantly more likely and Asian less likely to have gambled on housie in the past 12 months. </w:t>
      </w:r>
    </w:p>
    <w:p w14:paraId="4942699E" w14:textId="77777777" w:rsidR="00B828A8" w:rsidRPr="000743AE" w:rsidRDefault="00B828A8" w:rsidP="004F129A">
      <w:pPr>
        <w:pStyle w:val="ListParagraph"/>
        <w:numPr>
          <w:ilvl w:val="0"/>
          <w:numId w:val="61"/>
        </w:numPr>
        <w:spacing w:after="200"/>
        <w:rPr>
          <w:rFonts w:asciiTheme="minorHAnsi" w:hAnsiTheme="minorHAnsi" w:cstheme="minorHAnsi"/>
        </w:rPr>
      </w:pPr>
      <w:r>
        <w:rPr>
          <w:rFonts w:asciiTheme="minorHAnsi" w:hAnsiTheme="minorHAnsi"/>
        </w:rPr>
        <w:t xml:space="preserve">Gambling on </w:t>
      </w:r>
      <w:r w:rsidR="001E11CC">
        <w:rPr>
          <w:rFonts w:asciiTheme="minorHAnsi" w:hAnsiTheme="minorHAnsi"/>
        </w:rPr>
        <w:t>‘</w:t>
      </w:r>
      <w:r>
        <w:rPr>
          <w:rFonts w:asciiTheme="minorHAnsi" w:hAnsiTheme="minorHAnsi"/>
        </w:rPr>
        <w:t>Lotto only</w:t>
      </w:r>
      <w:r w:rsidR="001E11CC">
        <w:rPr>
          <w:rFonts w:asciiTheme="minorHAnsi" w:hAnsiTheme="minorHAnsi"/>
        </w:rPr>
        <w:t>’</w:t>
      </w:r>
      <w:r>
        <w:rPr>
          <w:rFonts w:asciiTheme="minorHAnsi" w:hAnsiTheme="minorHAnsi"/>
        </w:rPr>
        <w:t>, sports betting and ‘other’ was</w:t>
      </w:r>
      <w:r w:rsidRPr="0020526F">
        <w:rPr>
          <w:rFonts w:asciiTheme="minorHAnsi" w:hAnsiTheme="minorHAnsi"/>
        </w:rPr>
        <w:t xml:space="preserve"> </w:t>
      </w:r>
      <w:r>
        <w:rPr>
          <w:rFonts w:asciiTheme="minorHAnsi" w:hAnsiTheme="minorHAnsi"/>
        </w:rPr>
        <w:t>significantly more prevalent amongst adults living in neighbourhoods with lower levels of deprivation.  Gambling on housie was significantly more likely amongst adults living in neighbourhoods with higher levels of deprivation.</w:t>
      </w:r>
    </w:p>
    <w:p w14:paraId="13DAB18F" w14:textId="77777777" w:rsidR="00B828A8" w:rsidRDefault="00B828A8" w:rsidP="004F129A">
      <w:pPr>
        <w:pStyle w:val="ListParagraph"/>
        <w:numPr>
          <w:ilvl w:val="0"/>
          <w:numId w:val="61"/>
        </w:numPr>
        <w:spacing w:after="200"/>
        <w:rPr>
          <w:rFonts w:asciiTheme="minorHAnsi" w:hAnsiTheme="minorHAnsi"/>
        </w:rPr>
      </w:pPr>
      <w:r w:rsidRPr="00B306EE">
        <w:rPr>
          <w:rFonts w:asciiTheme="minorHAnsi" w:hAnsiTheme="minorHAnsi"/>
        </w:rPr>
        <w:t>Adults living in rural location</w:t>
      </w:r>
      <w:r w:rsidR="001E11CC">
        <w:rPr>
          <w:rFonts w:asciiTheme="minorHAnsi" w:hAnsiTheme="minorHAnsi"/>
        </w:rPr>
        <w:t>s</w:t>
      </w:r>
      <w:r w:rsidRPr="00B306EE">
        <w:rPr>
          <w:rFonts w:asciiTheme="minorHAnsi" w:hAnsiTheme="minorHAnsi"/>
        </w:rPr>
        <w:t xml:space="preserve"> were significantly less likely than their urban counterparts to gamble on any </w:t>
      </w:r>
      <w:r w:rsidR="001E11CC">
        <w:rPr>
          <w:rFonts w:asciiTheme="minorHAnsi" w:hAnsiTheme="minorHAnsi" w:cstheme="minorHAnsi"/>
        </w:rPr>
        <w:t>EGMs</w:t>
      </w:r>
      <w:r w:rsidRPr="00B306EE">
        <w:rPr>
          <w:rFonts w:asciiTheme="minorHAnsi" w:hAnsiTheme="minorHAnsi"/>
        </w:rPr>
        <w:t xml:space="preserve"> (casino or non-casino), any casino gambling (tables or gaming machines), casino </w:t>
      </w:r>
      <w:r w:rsidR="001E11CC">
        <w:rPr>
          <w:rFonts w:asciiTheme="minorHAnsi" w:hAnsiTheme="minorHAnsi" w:cstheme="minorHAnsi"/>
        </w:rPr>
        <w:t>EGMs</w:t>
      </w:r>
      <w:r w:rsidRPr="00B306EE">
        <w:rPr>
          <w:rFonts w:asciiTheme="minorHAnsi" w:hAnsiTheme="minorHAnsi"/>
        </w:rPr>
        <w:t>, casino tables, sports betting, and housie.</w:t>
      </w:r>
    </w:p>
    <w:p w14:paraId="47DA88A6" w14:textId="77777777" w:rsidR="00B828A8" w:rsidRDefault="00B828A8" w:rsidP="004F129A">
      <w:pPr>
        <w:pStyle w:val="ListParagraph"/>
        <w:numPr>
          <w:ilvl w:val="0"/>
          <w:numId w:val="61"/>
        </w:numPr>
        <w:spacing w:after="200"/>
        <w:rPr>
          <w:rFonts w:asciiTheme="minorHAnsi" w:hAnsiTheme="minorHAnsi"/>
        </w:rPr>
      </w:pPr>
      <w:r w:rsidRPr="00B828A8">
        <w:rPr>
          <w:rFonts w:asciiTheme="minorHAnsi" w:hAnsiTheme="minorHAnsi"/>
        </w:rPr>
        <w:t xml:space="preserve">Significant decreases in participation </w:t>
      </w:r>
      <w:r w:rsidR="001E11CC" w:rsidRPr="00B828A8">
        <w:rPr>
          <w:rFonts w:asciiTheme="minorHAnsi" w:hAnsiTheme="minorHAnsi"/>
        </w:rPr>
        <w:t xml:space="preserve">were observed </w:t>
      </w:r>
      <w:r w:rsidRPr="00B828A8">
        <w:rPr>
          <w:rFonts w:asciiTheme="minorHAnsi" w:hAnsiTheme="minorHAnsi"/>
        </w:rPr>
        <w:t xml:space="preserve">across the </w:t>
      </w:r>
      <w:r w:rsidR="000F4560">
        <w:rPr>
          <w:rFonts w:asciiTheme="minorHAnsi" w:hAnsiTheme="minorHAnsi"/>
        </w:rPr>
        <w:t>three NZHS</w:t>
      </w:r>
      <w:r w:rsidRPr="00B828A8">
        <w:rPr>
          <w:rFonts w:asciiTheme="minorHAnsi" w:hAnsiTheme="minorHAnsi"/>
        </w:rPr>
        <w:t xml:space="preserve"> waves </w:t>
      </w:r>
      <w:r>
        <w:rPr>
          <w:rFonts w:asciiTheme="minorHAnsi" w:hAnsiTheme="minorHAnsi"/>
        </w:rPr>
        <w:t>(2</w:t>
      </w:r>
      <w:r w:rsidRPr="0018360B">
        <w:rPr>
          <w:rFonts w:asciiTheme="minorHAnsi" w:hAnsiTheme="minorHAnsi"/>
        </w:rPr>
        <w:t>002/03, 2006/07</w:t>
      </w:r>
      <w:r>
        <w:rPr>
          <w:rFonts w:asciiTheme="minorHAnsi" w:hAnsiTheme="minorHAnsi"/>
        </w:rPr>
        <w:t xml:space="preserve">, 2011/12) </w:t>
      </w:r>
      <w:r w:rsidRPr="00B828A8">
        <w:rPr>
          <w:rFonts w:asciiTheme="minorHAnsi" w:hAnsiTheme="minorHAnsi"/>
        </w:rPr>
        <w:t xml:space="preserve">for: Lotto, Instant Kiwi, non-casino </w:t>
      </w:r>
      <w:r w:rsidR="001E11CC">
        <w:rPr>
          <w:rFonts w:asciiTheme="minorHAnsi" w:hAnsiTheme="minorHAnsi" w:cstheme="minorHAnsi"/>
        </w:rPr>
        <w:t>EGMs</w:t>
      </w:r>
      <w:r w:rsidRPr="00B828A8">
        <w:rPr>
          <w:rFonts w:asciiTheme="minorHAnsi" w:hAnsiTheme="minorHAnsi"/>
        </w:rPr>
        <w:t xml:space="preserve">, track betting, casino </w:t>
      </w:r>
      <w:r w:rsidR="001E11CC">
        <w:rPr>
          <w:rFonts w:asciiTheme="minorHAnsi" w:hAnsiTheme="minorHAnsi" w:cstheme="minorHAnsi"/>
        </w:rPr>
        <w:t>EGMs</w:t>
      </w:r>
      <w:r w:rsidR="00275AD3">
        <w:rPr>
          <w:rFonts w:asciiTheme="minorHAnsi" w:hAnsiTheme="minorHAnsi"/>
        </w:rPr>
        <w:t xml:space="preserve"> (NB: data </w:t>
      </w:r>
      <w:r w:rsidR="001E11CC">
        <w:rPr>
          <w:rFonts w:asciiTheme="minorHAnsi" w:hAnsiTheme="minorHAnsi"/>
        </w:rPr>
        <w:t xml:space="preserve">on casino EGMs was </w:t>
      </w:r>
      <w:r w:rsidR="00275AD3">
        <w:rPr>
          <w:rFonts w:asciiTheme="minorHAnsi" w:hAnsiTheme="minorHAnsi"/>
        </w:rPr>
        <w:t>only available for 2006/07 and 2011/12)</w:t>
      </w:r>
      <w:r w:rsidRPr="00B828A8">
        <w:rPr>
          <w:rFonts w:asciiTheme="minorHAnsi" w:hAnsiTheme="minorHAnsi"/>
        </w:rPr>
        <w:t>, sports betting</w:t>
      </w:r>
      <w:r>
        <w:rPr>
          <w:rFonts w:asciiTheme="minorHAnsi" w:hAnsiTheme="minorHAnsi"/>
        </w:rPr>
        <w:t>,</w:t>
      </w:r>
      <w:r w:rsidRPr="00B828A8">
        <w:rPr>
          <w:rFonts w:asciiTheme="minorHAnsi" w:hAnsiTheme="minorHAnsi"/>
        </w:rPr>
        <w:t xml:space="preserve"> Keno</w:t>
      </w:r>
      <w:r>
        <w:rPr>
          <w:rFonts w:asciiTheme="minorHAnsi" w:hAnsiTheme="minorHAnsi"/>
        </w:rPr>
        <w:t xml:space="preserve"> </w:t>
      </w:r>
      <w:r w:rsidRPr="00B828A8">
        <w:rPr>
          <w:rFonts w:asciiTheme="minorHAnsi" w:hAnsiTheme="minorHAnsi"/>
        </w:rPr>
        <w:t>and Housie</w:t>
      </w:r>
      <w:r>
        <w:rPr>
          <w:rFonts w:asciiTheme="minorHAnsi" w:hAnsiTheme="minorHAnsi"/>
        </w:rPr>
        <w:t xml:space="preserve">. </w:t>
      </w:r>
    </w:p>
    <w:p w14:paraId="5AA43EB7" w14:textId="77777777" w:rsidR="001B4A71" w:rsidRDefault="001B4A71">
      <w:pPr>
        <w:spacing w:before="0" w:after="200" w:line="276" w:lineRule="auto"/>
        <w:jc w:val="left"/>
        <w:rPr>
          <w:rFonts w:asciiTheme="minorHAnsi" w:hAnsiTheme="minorHAnsi" w:cstheme="minorHAnsi"/>
          <w:b/>
          <w:color w:val="1F497D"/>
        </w:rPr>
      </w:pPr>
      <w:r>
        <w:rPr>
          <w:rFonts w:asciiTheme="minorHAnsi" w:hAnsiTheme="minorHAnsi" w:cstheme="minorHAnsi"/>
          <w:b/>
          <w:color w:val="1F497D"/>
        </w:rPr>
        <w:br w:type="page"/>
      </w:r>
    </w:p>
    <w:p w14:paraId="4C737F30" w14:textId="7AE913A9" w:rsidR="00FC03F2" w:rsidRPr="004C0617" w:rsidRDefault="00FC03F2" w:rsidP="00266F7D">
      <w:pPr>
        <w:spacing w:line="360" w:lineRule="auto"/>
        <w:rPr>
          <w:rFonts w:asciiTheme="minorHAnsi" w:hAnsiTheme="minorHAnsi" w:cstheme="minorHAnsi"/>
          <w:b/>
          <w:color w:val="1F497D"/>
        </w:rPr>
      </w:pPr>
      <w:r w:rsidRPr="004C0617">
        <w:rPr>
          <w:rFonts w:asciiTheme="minorHAnsi" w:hAnsiTheme="minorHAnsi" w:cstheme="minorHAnsi"/>
          <w:b/>
          <w:color w:val="1F497D"/>
        </w:rPr>
        <w:lastRenderedPageBreak/>
        <w:t>Number of gambling activities:</w:t>
      </w:r>
    </w:p>
    <w:p w14:paraId="05E332B3" w14:textId="77777777" w:rsidR="007029D8" w:rsidRDefault="00FC03F2" w:rsidP="004F129A">
      <w:pPr>
        <w:pStyle w:val="ListParagraph"/>
        <w:numPr>
          <w:ilvl w:val="0"/>
          <w:numId w:val="61"/>
        </w:numPr>
        <w:spacing w:after="200"/>
        <w:rPr>
          <w:rFonts w:asciiTheme="minorHAnsi" w:hAnsiTheme="minorHAnsi" w:cstheme="minorHAnsi"/>
        </w:rPr>
      </w:pPr>
      <w:r w:rsidRPr="000F49A1">
        <w:rPr>
          <w:rFonts w:asciiTheme="minorHAnsi" w:hAnsiTheme="minorHAnsi" w:cstheme="minorHAnsi"/>
        </w:rPr>
        <w:t xml:space="preserve">Approximately </w:t>
      </w:r>
      <w:r>
        <w:rPr>
          <w:rFonts w:asciiTheme="minorHAnsi" w:hAnsiTheme="minorHAnsi" w:cstheme="minorHAnsi"/>
        </w:rPr>
        <w:t>one-third</w:t>
      </w:r>
      <w:r w:rsidRPr="000F49A1">
        <w:rPr>
          <w:rFonts w:asciiTheme="minorHAnsi" w:hAnsiTheme="minorHAnsi" w:cstheme="minorHAnsi"/>
        </w:rPr>
        <w:t xml:space="preserve"> (</w:t>
      </w:r>
      <w:r>
        <w:rPr>
          <w:rFonts w:asciiTheme="minorHAnsi" w:hAnsiTheme="minorHAnsi" w:cstheme="minorHAnsi"/>
        </w:rPr>
        <w:t>33</w:t>
      </w:r>
      <w:r w:rsidRPr="000F49A1">
        <w:rPr>
          <w:rFonts w:asciiTheme="minorHAnsi" w:hAnsiTheme="minorHAnsi" w:cstheme="minorHAnsi"/>
        </w:rPr>
        <w:t xml:space="preserve">%) of adults had gambled on </w:t>
      </w:r>
      <w:r w:rsidRPr="000661AD">
        <w:rPr>
          <w:rFonts w:asciiTheme="minorHAnsi" w:hAnsiTheme="minorHAnsi" w:cstheme="minorHAnsi"/>
          <w:i/>
        </w:rPr>
        <w:t>one</w:t>
      </w:r>
      <w:r w:rsidRPr="000F49A1">
        <w:rPr>
          <w:rFonts w:asciiTheme="minorHAnsi" w:hAnsiTheme="minorHAnsi" w:cstheme="minorHAnsi"/>
        </w:rPr>
        <w:t xml:space="preserve"> activity in the last 12 months. </w:t>
      </w:r>
      <w:r>
        <w:rPr>
          <w:rFonts w:asciiTheme="minorHAnsi" w:hAnsiTheme="minorHAnsi" w:cstheme="minorHAnsi"/>
        </w:rPr>
        <w:t xml:space="preserve"> </w:t>
      </w:r>
    </w:p>
    <w:p w14:paraId="781CC3D5" w14:textId="77777777" w:rsidR="00CA69FA" w:rsidRDefault="00FC03F2" w:rsidP="004F129A">
      <w:pPr>
        <w:pStyle w:val="ListParagraph"/>
        <w:numPr>
          <w:ilvl w:val="0"/>
          <w:numId w:val="61"/>
        </w:numPr>
        <w:spacing w:after="200"/>
        <w:rPr>
          <w:rFonts w:asciiTheme="minorHAnsi" w:hAnsiTheme="minorHAnsi" w:cstheme="minorHAnsi"/>
        </w:rPr>
      </w:pPr>
      <w:r w:rsidRPr="00CA69FA">
        <w:rPr>
          <w:rFonts w:asciiTheme="minorHAnsi" w:hAnsiTheme="minorHAnsi" w:cstheme="minorHAnsi"/>
        </w:rPr>
        <w:t xml:space="preserve">Three percent </w:t>
      </w:r>
      <w:r w:rsidR="007029D8" w:rsidRPr="00CA69FA">
        <w:rPr>
          <w:rFonts w:asciiTheme="minorHAnsi" w:hAnsiTheme="minorHAnsi" w:cstheme="minorHAnsi"/>
        </w:rPr>
        <w:t xml:space="preserve">of adults </w:t>
      </w:r>
      <w:r w:rsidRPr="00CA69FA">
        <w:rPr>
          <w:rFonts w:asciiTheme="minorHAnsi" w:hAnsiTheme="minorHAnsi" w:cstheme="minorHAnsi"/>
        </w:rPr>
        <w:t>had gambled on</w:t>
      </w:r>
      <w:r w:rsidRPr="000661AD">
        <w:rPr>
          <w:rFonts w:asciiTheme="minorHAnsi" w:hAnsiTheme="minorHAnsi" w:cstheme="minorHAnsi"/>
          <w:i/>
        </w:rPr>
        <w:t xml:space="preserve"> four or more</w:t>
      </w:r>
      <w:r w:rsidRPr="00CA69FA">
        <w:rPr>
          <w:rFonts w:asciiTheme="minorHAnsi" w:hAnsiTheme="minorHAnsi" w:cstheme="minorHAnsi"/>
        </w:rPr>
        <w:t xml:space="preserve"> activities</w:t>
      </w:r>
      <w:r w:rsidR="007029D8" w:rsidRPr="00CA69FA">
        <w:rPr>
          <w:rFonts w:asciiTheme="minorHAnsi" w:hAnsiTheme="minorHAnsi" w:cstheme="minorHAnsi"/>
        </w:rPr>
        <w:t xml:space="preserve"> in the last 12 months</w:t>
      </w:r>
      <w:r w:rsidRPr="00CA69FA">
        <w:rPr>
          <w:rFonts w:asciiTheme="minorHAnsi" w:hAnsiTheme="minorHAnsi" w:cstheme="minorHAnsi"/>
        </w:rPr>
        <w:t>.</w:t>
      </w:r>
      <w:r w:rsidR="007029D8" w:rsidRPr="00CA69FA">
        <w:rPr>
          <w:rFonts w:asciiTheme="minorHAnsi" w:hAnsiTheme="minorHAnsi" w:cstheme="minorHAnsi"/>
        </w:rPr>
        <w:t xml:space="preserve">  This was more prevalent amongst males, younger age groups, Māori and European/Other, those who lived in urban </w:t>
      </w:r>
      <w:r w:rsidR="00CA69FA" w:rsidRPr="00CA69FA">
        <w:rPr>
          <w:rFonts w:asciiTheme="minorHAnsi" w:hAnsiTheme="minorHAnsi" w:cstheme="minorHAnsi"/>
        </w:rPr>
        <w:t>locations</w:t>
      </w:r>
      <w:r w:rsidR="00CA69FA">
        <w:rPr>
          <w:rFonts w:asciiTheme="minorHAnsi" w:hAnsiTheme="minorHAnsi" w:cstheme="minorHAnsi"/>
        </w:rPr>
        <w:t>, and p</w:t>
      </w:r>
      <w:r w:rsidR="00CA69FA" w:rsidRPr="00CA69FA">
        <w:rPr>
          <w:rFonts w:asciiTheme="minorHAnsi" w:hAnsiTheme="minorHAnsi" w:cstheme="minorHAnsi"/>
        </w:rPr>
        <w:t>eople who had gambl</w:t>
      </w:r>
      <w:r w:rsidR="00C33A95">
        <w:rPr>
          <w:rFonts w:asciiTheme="minorHAnsi" w:hAnsiTheme="minorHAnsi" w:cstheme="minorHAnsi"/>
        </w:rPr>
        <w:t>ed on Keno, casino tables, and EGMs</w:t>
      </w:r>
      <w:r w:rsidR="00CA69FA" w:rsidRPr="00CA69FA">
        <w:rPr>
          <w:rFonts w:asciiTheme="minorHAnsi" w:hAnsiTheme="minorHAnsi" w:cstheme="minorHAnsi"/>
        </w:rPr>
        <w:t xml:space="preserve"> (casin</w:t>
      </w:r>
      <w:r w:rsidR="00CA69FA">
        <w:rPr>
          <w:rFonts w:asciiTheme="minorHAnsi" w:hAnsiTheme="minorHAnsi" w:cstheme="minorHAnsi"/>
        </w:rPr>
        <w:t xml:space="preserve">o and/or non-casino). </w:t>
      </w:r>
    </w:p>
    <w:p w14:paraId="0291B52C" w14:textId="77777777" w:rsidR="00F552F4" w:rsidRDefault="0024042B" w:rsidP="004F129A">
      <w:pPr>
        <w:pStyle w:val="ListParagraph"/>
        <w:numPr>
          <w:ilvl w:val="0"/>
          <w:numId w:val="61"/>
        </w:numPr>
        <w:spacing w:after="200"/>
        <w:rPr>
          <w:rFonts w:asciiTheme="minorHAnsi" w:hAnsiTheme="minorHAnsi"/>
        </w:rPr>
      </w:pPr>
      <w:r w:rsidRPr="0024042B">
        <w:rPr>
          <w:rFonts w:asciiTheme="minorHAnsi" w:hAnsiTheme="minorHAnsi"/>
        </w:rPr>
        <w:t>T</w:t>
      </w:r>
      <w:r w:rsidR="00F552F4" w:rsidRPr="0024042B">
        <w:rPr>
          <w:rFonts w:asciiTheme="minorHAnsi" w:hAnsiTheme="minorHAnsi"/>
        </w:rPr>
        <w:t>he number of gambling activities</w:t>
      </w:r>
      <w:r w:rsidRPr="0024042B">
        <w:rPr>
          <w:rFonts w:asciiTheme="minorHAnsi" w:hAnsiTheme="minorHAnsi"/>
        </w:rPr>
        <w:t xml:space="preserve"> </w:t>
      </w:r>
      <w:r w:rsidR="00C33A95">
        <w:rPr>
          <w:rFonts w:asciiTheme="minorHAnsi" w:hAnsiTheme="minorHAnsi"/>
        </w:rPr>
        <w:t xml:space="preserve">that adults engaged in </w:t>
      </w:r>
      <w:r w:rsidRPr="0024042B">
        <w:rPr>
          <w:rFonts w:asciiTheme="minorHAnsi" w:hAnsiTheme="minorHAnsi"/>
        </w:rPr>
        <w:t>significantly decreased over time</w:t>
      </w:r>
      <w:r w:rsidR="00105312">
        <w:rPr>
          <w:rFonts w:asciiTheme="minorHAnsi" w:hAnsiTheme="minorHAnsi"/>
        </w:rPr>
        <w:t xml:space="preserve"> -</w:t>
      </w:r>
      <w:r w:rsidRPr="0024042B">
        <w:rPr>
          <w:rFonts w:asciiTheme="minorHAnsi" w:hAnsiTheme="minorHAnsi"/>
        </w:rPr>
        <w:t xml:space="preserve"> </w:t>
      </w:r>
      <w:r w:rsidR="00105312">
        <w:rPr>
          <w:rFonts w:asciiTheme="minorHAnsi" w:hAnsiTheme="minorHAnsi"/>
        </w:rPr>
        <w:t>t</w:t>
      </w:r>
      <w:r w:rsidRPr="0024042B">
        <w:rPr>
          <w:rFonts w:asciiTheme="minorHAnsi" w:hAnsiTheme="minorHAnsi"/>
        </w:rPr>
        <w:t xml:space="preserve">here was an overall decreasing trend with </w:t>
      </w:r>
      <w:r w:rsidR="00F552F4" w:rsidRPr="0024042B">
        <w:rPr>
          <w:rFonts w:asciiTheme="minorHAnsi" w:hAnsiTheme="minorHAnsi"/>
        </w:rPr>
        <w:t>people participating in fewer activities with each survey wave</w:t>
      </w:r>
      <w:r>
        <w:rPr>
          <w:rFonts w:asciiTheme="minorHAnsi" w:hAnsiTheme="minorHAnsi"/>
        </w:rPr>
        <w:t xml:space="preserve"> </w:t>
      </w:r>
      <w:r w:rsidR="00105312" w:rsidRPr="0024042B">
        <w:rPr>
          <w:rFonts w:asciiTheme="minorHAnsi" w:hAnsiTheme="minorHAnsi"/>
        </w:rPr>
        <w:t>(NZHS waves 2002/03, 2006/07, 2011/12)</w:t>
      </w:r>
      <w:r w:rsidR="00105312">
        <w:rPr>
          <w:rFonts w:asciiTheme="minorHAnsi" w:hAnsiTheme="minorHAnsi"/>
        </w:rPr>
        <w:t xml:space="preserve">. </w:t>
      </w:r>
    </w:p>
    <w:p w14:paraId="2AE016F4" w14:textId="77777777" w:rsidR="00105312" w:rsidRPr="004C0617" w:rsidRDefault="00105312" w:rsidP="00266F7D">
      <w:pPr>
        <w:spacing w:line="360" w:lineRule="auto"/>
        <w:rPr>
          <w:rFonts w:asciiTheme="minorHAnsi" w:hAnsiTheme="minorHAnsi" w:cstheme="minorHAnsi"/>
          <w:b/>
          <w:color w:val="1F497D"/>
        </w:rPr>
      </w:pPr>
      <w:r w:rsidRPr="004C0617">
        <w:rPr>
          <w:rFonts w:asciiTheme="minorHAnsi" w:hAnsiTheme="minorHAnsi" w:cstheme="minorHAnsi"/>
          <w:b/>
          <w:color w:val="1F497D"/>
        </w:rPr>
        <w:t xml:space="preserve">Preferred gambling activity: </w:t>
      </w:r>
    </w:p>
    <w:p w14:paraId="71DD4A6F" w14:textId="77777777" w:rsidR="00105312" w:rsidRDefault="00105312" w:rsidP="004F129A">
      <w:pPr>
        <w:pStyle w:val="ListParagraph"/>
        <w:numPr>
          <w:ilvl w:val="0"/>
          <w:numId w:val="61"/>
        </w:numPr>
        <w:spacing w:after="200"/>
        <w:rPr>
          <w:rFonts w:asciiTheme="minorHAnsi" w:hAnsiTheme="minorHAnsi"/>
        </w:rPr>
      </w:pPr>
      <w:r>
        <w:rPr>
          <w:rFonts w:asciiTheme="minorHAnsi" w:hAnsiTheme="minorHAnsi"/>
        </w:rPr>
        <w:t>The three most popular activities were</w:t>
      </w:r>
      <w:r w:rsidRPr="00AF3A24">
        <w:rPr>
          <w:rFonts w:asciiTheme="minorHAnsi" w:hAnsiTheme="minorHAnsi"/>
        </w:rPr>
        <w:t xml:space="preserve"> Lotto </w:t>
      </w:r>
      <w:r>
        <w:rPr>
          <w:rFonts w:asciiTheme="minorHAnsi" w:hAnsiTheme="minorHAnsi"/>
        </w:rPr>
        <w:t>(44%</w:t>
      </w:r>
      <w:r w:rsidRPr="00AF3A24">
        <w:rPr>
          <w:rFonts w:asciiTheme="minorHAnsi" w:hAnsiTheme="minorHAnsi"/>
        </w:rPr>
        <w:t>), f</w:t>
      </w:r>
      <w:r>
        <w:rPr>
          <w:rFonts w:asciiTheme="minorHAnsi" w:hAnsiTheme="minorHAnsi"/>
        </w:rPr>
        <w:t>ollowed by Instant Kiwi or other scratch tickets (18%) and track betting (12%</w:t>
      </w:r>
      <w:r w:rsidRPr="00AF3A24">
        <w:rPr>
          <w:rFonts w:asciiTheme="minorHAnsi" w:hAnsiTheme="minorHAnsi"/>
        </w:rPr>
        <w:t xml:space="preserve">). </w:t>
      </w:r>
      <w:r>
        <w:rPr>
          <w:rFonts w:asciiTheme="minorHAnsi" w:hAnsiTheme="minorHAnsi"/>
        </w:rPr>
        <w:t xml:space="preserve"> The remaining activities were all specified by less than ten percent of past-year gamblers.</w:t>
      </w:r>
    </w:p>
    <w:p w14:paraId="517D7338" w14:textId="77777777" w:rsidR="007D6EBC" w:rsidRDefault="007D6EBC" w:rsidP="004F129A">
      <w:pPr>
        <w:pStyle w:val="ListParagraph"/>
        <w:numPr>
          <w:ilvl w:val="0"/>
          <w:numId w:val="61"/>
        </w:numPr>
        <w:spacing w:after="200"/>
        <w:rPr>
          <w:rFonts w:asciiTheme="minorHAnsi" w:hAnsiTheme="minorHAnsi" w:cstheme="minorHAnsi"/>
        </w:rPr>
      </w:pPr>
      <w:r>
        <w:rPr>
          <w:rFonts w:asciiTheme="minorHAnsi" w:hAnsiTheme="minorHAnsi" w:cstheme="minorHAnsi"/>
        </w:rPr>
        <w:t xml:space="preserve">Preferences differed by gender and age-group: </w:t>
      </w:r>
    </w:p>
    <w:p w14:paraId="54B9FE97" w14:textId="77777777" w:rsidR="007D6EBC" w:rsidRPr="007D6EBC" w:rsidRDefault="007D6EBC" w:rsidP="004F129A">
      <w:pPr>
        <w:pStyle w:val="ListParagraph"/>
        <w:numPr>
          <w:ilvl w:val="1"/>
          <w:numId w:val="61"/>
        </w:numPr>
        <w:spacing w:after="200"/>
        <w:rPr>
          <w:rFonts w:asciiTheme="minorHAnsi" w:hAnsiTheme="minorHAnsi" w:cstheme="minorHAnsi"/>
        </w:rPr>
      </w:pPr>
      <w:r w:rsidRPr="007D6EBC">
        <w:rPr>
          <w:rFonts w:asciiTheme="minorHAnsi" w:hAnsiTheme="minorHAnsi" w:cstheme="minorHAnsi"/>
        </w:rPr>
        <w:t>Instant Kiwi was preferred by greater proportions of females</w:t>
      </w:r>
      <w:r>
        <w:rPr>
          <w:rFonts w:asciiTheme="minorHAnsi" w:hAnsiTheme="minorHAnsi" w:cstheme="minorHAnsi"/>
        </w:rPr>
        <w:t xml:space="preserve"> </w:t>
      </w:r>
      <w:r w:rsidRPr="007D6EBC">
        <w:rPr>
          <w:rFonts w:asciiTheme="minorHAnsi" w:hAnsiTheme="minorHAnsi" w:cstheme="minorHAnsi"/>
        </w:rPr>
        <w:t>than males</w:t>
      </w:r>
      <w:r>
        <w:rPr>
          <w:rFonts w:asciiTheme="minorHAnsi" w:hAnsiTheme="minorHAnsi" w:cstheme="minorHAnsi"/>
        </w:rPr>
        <w:t>, and</w:t>
      </w:r>
      <w:r w:rsidRPr="007D6EBC">
        <w:rPr>
          <w:rFonts w:asciiTheme="minorHAnsi" w:hAnsiTheme="minorHAnsi" w:cstheme="minorHAnsi"/>
        </w:rPr>
        <w:t xml:space="preserve"> greater proportions of males preferred track</w:t>
      </w:r>
      <w:r>
        <w:rPr>
          <w:rFonts w:asciiTheme="minorHAnsi" w:hAnsiTheme="minorHAnsi" w:cstheme="minorHAnsi"/>
        </w:rPr>
        <w:t xml:space="preserve"> and</w:t>
      </w:r>
      <w:r w:rsidRPr="007D6EBC">
        <w:rPr>
          <w:rFonts w:asciiTheme="minorHAnsi" w:hAnsiTheme="minorHAnsi" w:cstheme="minorHAnsi"/>
        </w:rPr>
        <w:t xml:space="preserve"> sports betting</w:t>
      </w:r>
      <w:r>
        <w:rPr>
          <w:rFonts w:asciiTheme="minorHAnsi" w:hAnsiTheme="minorHAnsi" w:cstheme="minorHAnsi"/>
        </w:rPr>
        <w:t>.</w:t>
      </w:r>
      <w:r w:rsidRPr="007D6EBC">
        <w:rPr>
          <w:rFonts w:asciiTheme="minorHAnsi" w:hAnsiTheme="minorHAnsi" w:cstheme="minorHAnsi"/>
        </w:rPr>
        <w:t xml:space="preserve"> </w:t>
      </w:r>
    </w:p>
    <w:p w14:paraId="7E68B920" w14:textId="77777777" w:rsidR="007D6EBC" w:rsidRPr="0061656B" w:rsidRDefault="007D6EBC" w:rsidP="004F129A">
      <w:pPr>
        <w:pStyle w:val="ListParagraph"/>
        <w:numPr>
          <w:ilvl w:val="1"/>
          <w:numId w:val="61"/>
        </w:numPr>
        <w:spacing w:after="200"/>
        <w:rPr>
          <w:rFonts w:asciiTheme="minorHAnsi" w:hAnsiTheme="minorHAnsi" w:cstheme="minorHAnsi"/>
        </w:rPr>
      </w:pPr>
      <w:r w:rsidRPr="00AF3A24">
        <w:rPr>
          <w:rFonts w:asciiTheme="minorHAnsi" w:hAnsiTheme="minorHAnsi"/>
        </w:rPr>
        <w:t>Lotto and track betting were more popular amongst the older age-brackets while younger age-groups preferred Instant Kiwi.</w:t>
      </w:r>
    </w:p>
    <w:p w14:paraId="1292EB67" w14:textId="77777777" w:rsidR="0061656B" w:rsidRPr="0061656B" w:rsidRDefault="0061656B" w:rsidP="0061656B">
      <w:pPr>
        <w:spacing w:line="360" w:lineRule="auto"/>
        <w:rPr>
          <w:rFonts w:asciiTheme="minorHAnsi" w:hAnsiTheme="minorHAnsi" w:cstheme="minorHAnsi"/>
          <w:b/>
          <w:color w:val="1F497D"/>
        </w:rPr>
      </w:pPr>
      <w:r>
        <w:rPr>
          <w:rFonts w:asciiTheme="minorHAnsi" w:hAnsiTheme="minorHAnsi" w:cstheme="minorHAnsi"/>
          <w:b/>
          <w:color w:val="1F497D"/>
        </w:rPr>
        <w:t xml:space="preserve">Past year gambling participation: </w:t>
      </w:r>
      <w:r w:rsidRPr="0061656B">
        <w:rPr>
          <w:rFonts w:asciiTheme="minorHAnsi" w:hAnsiTheme="minorHAnsi" w:cstheme="minorHAnsi"/>
          <w:b/>
          <w:color w:val="1F497D"/>
        </w:rPr>
        <w:t>Comparison of 2011/12 NZHS and the 2012 National Gambling Study</w:t>
      </w:r>
    </w:p>
    <w:p w14:paraId="295D7BC0" w14:textId="77777777" w:rsidR="0061656B" w:rsidRPr="0061656B" w:rsidRDefault="0061656B" w:rsidP="0061656B">
      <w:pPr>
        <w:pStyle w:val="ListParagraph"/>
        <w:numPr>
          <w:ilvl w:val="0"/>
          <w:numId w:val="61"/>
        </w:numPr>
        <w:spacing w:after="200"/>
        <w:rPr>
          <w:rFonts w:asciiTheme="minorHAnsi" w:hAnsiTheme="minorHAnsi" w:cstheme="minorHAnsi"/>
        </w:rPr>
      </w:pPr>
      <w:r w:rsidRPr="0061656B">
        <w:rPr>
          <w:rFonts w:asciiTheme="minorHAnsi" w:hAnsiTheme="minorHAnsi" w:cstheme="minorHAnsi"/>
        </w:rPr>
        <w:t>The 2011/12 wave of the NZHS found that approximately one-half of adults had participated in some form of gambling in the last 12 months.  The National Gambling Study reported a past 12-month gambling participation rate of 80%.</w:t>
      </w:r>
    </w:p>
    <w:p w14:paraId="02614A79" w14:textId="77777777" w:rsidR="0061656B" w:rsidRPr="0061656B" w:rsidRDefault="0061656B" w:rsidP="0061656B">
      <w:pPr>
        <w:pStyle w:val="ListParagraph"/>
        <w:numPr>
          <w:ilvl w:val="0"/>
          <w:numId w:val="61"/>
        </w:numPr>
        <w:spacing w:after="200"/>
        <w:rPr>
          <w:rFonts w:asciiTheme="minorHAnsi" w:hAnsiTheme="minorHAnsi" w:cstheme="minorHAnsi"/>
        </w:rPr>
      </w:pPr>
      <w:r w:rsidRPr="0061656B">
        <w:rPr>
          <w:rFonts w:asciiTheme="minorHAnsi" w:hAnsiTheme="minorHAnsi" w:cstheme="minorHAnsi"/>
        </w:rPr>
        <w:t>This study found a significant and steady decline in the rates of past-year gambling: 66% in 2002/03, 60% in 2006/07 and 50% in 2011/12.   This trend is consistent with those observed by National prevalence studies</w:t>
      </w:r>
      <w:r w:rsidR="00C40539">
        <w:rPr>
          <w:rFonts w:asciiTheme="minorHAnsi" w:hAnsiTheme="minorHAnsi" w:cstheme="minorHAnsi"/>
        </w:rPr>
        <w:t xml:space="preserve"> in New Zealand</w:t>
      </w:r>
      <w:r w:rsidRPr="0061656B">
        <w:rPr>
          <w:rFonts w:asciiTheme="minorHAnsi" w:hAnsiTheme="minorHAnsi" w:cstheme="minorHAnsi"/>
        </w:rPr>
        <w:t xml:space="preserve">. </w:t>
      </w:r>
    </w:p>
    <w:p w14:paraId="6972AFA3" w14:textId="77777777" w:rsidR="0061656B" w:rsidRPr="0061656B" w:rsidRDefault="0061656B" w:rsidP="0061656B">
      <w:pPr>
        <w:pStyle w:val="ListParagraph"/>
        <w:numPr>
          <w:ilvl w:val="0"/>
          <w:numId w:val="61"/>
        </w:numPr>
        <w:spacing w:after="200"/>
        <w:rPr>
          <w:rFonts w:asciiTheme="minorHAnsi" w:hAnsiTheme="minorHAnsi" w:cstheme="minorHAnsi"/>
        </w:rPr>
      </w:pPr>
      <w:r w:rsidRPr="0061656B">
        <w:rPr>
          <w:rFonts w:asciiTheme="minorHAnsi" w:hAnsiTheme="minorHAnsi" w:cstheme="minorHAnsi"/>
        </w:rPr>
        <w:lastRenderedPageBreak/>
        <w:t xml:space="preserve">This study found that Lottery products were the most popular and preferred gambling activities, with almost one-half of adults having gambled on Lotto in the past year.  In contrast, less than ten percent of adults had gambled on EGMs (casino and/or non-casino), track or sports betting, casino gambling (EGMs and/or tables), Keno, housie and ‘other’ in the previous year.  While it is difficult to make direct comparisons (due to varying categorisation of gambling activities), these results seem largely consistent, although more conservative than those observed in both the National Gambling Study. </w:t>
      </w:r>
    </w:p>
    <w:p w14:paraId="6FC8FC72" w14:textId="77777777" w:rsidR="007E2FC5" w:rsidRPr="00F24D68" w:rsidRDefault="0061656B" w:rsidP="00F24D68">
      <w:pPr>
        <w:pStyle w:val="ListParagraph"/>
        <w:numPr>
          <w:ilvl w:val="0"/>
          <w:numId w:val="61"/>
        </w:numPr>
        <w:spacing w:after="200"/>
        <w:rPr>
          <w:rFonts w:asciiTheme="minorHAnsi" w:hAnsiTheme="minorHAnsi" w:cstheme="minorHAnsi"/>
        </w:rPr>
      </w:pPr>
      <w:r w:rsidRPr="0061656B">
        <w:rPr>
          <w:rFonts w:asciiTheme="minorHAnsi" w:hAnsiTheme="minorHAnsi" w:cstheme="minorHAnsi"/>
        </w:rPr>
        <w:t xml:space="preserve">This study found that approximately one-third of adults had gambled on only one activity in the last 12 months, and a small proportion (three percent) had gambled on ‘four or more’ activities.  Gambling on a greater number of activities was more prevalent amongst males, younger age groups, Māori and European/Other, those who lived in urban locations, and people who had gambled on Keno, casino tables, and EGMs (casino and/or non-casino).  These findings are inconsistent with the National Gambling Study which reported that one-fifth of adults had gambled on ‘four or more’ activities. </w:t>
      </w:r>
    </w:p>
    <w:p w14:paraId="0C899867" w14:textId="77777777" w:rsidR="00364382" w:rsidRPr="00AF3A24" w:rsidRDefault="006E6024" w:rsidP="00364382">
      <w:pPr>
        <w:pStyle w:val="Heading1"/>
        <w:rPr>
          <w:rFonts w:asciiTheme="minorHAnsi" w:hAnsiTheme="minorHAnsi" w:cstheme="minorHAnsi"/>
          <w:caps w:val="0"/>
        </w:rPr>
      </w:pPr>
      <w:bookmarkStart w:id="87" w:name="_Ref400549676"/>
      <w:bookmarkStart w:id="88" w:name="_Toc403833164"/>
      <w:r>
        <w:rPr>
          <w:rFonts w:asciiTheme="minorHAnsi" w:hAnsiTheme="minorHAnsi" w:cstheme="minorHAnsi"/>
          <w:caps w:val="0"/>
        </w:rPr>
        <w:lastRenderedPageBreak/>
        <w:t xml:space="preserve">RESULTS: </w:t>
      </w:r>
      <w:r w:rsidR="00010D7D" w:rsidRPr="00AF3A24">
        <w:rPr>
          <w:rFonts w:asciiTheme="minorHAnsi" w:hAnsiTheme="minorHAnsi" w:cstheme="minorHAnsi"/>
          <w:caps w:val="0"/>
        </w:rPr>
        <w:t>PROBLEM</w:t>
      </w:r>
      <w:r w:rsidR="00EB5023">
        <w:rPr>
          <w:rFonts w:asciiTheme="minorHAnsi" w:hAnsiTheme="minorHAnsi" w:cstheme="minorHAnsi"/>
          <w:caps w:val="0"/>
        </w:rPr>
        <w:t>ATIC</w:t>
      </w:r>
      <w:r w:rsidR="00010D7D" w:rsidRPr="00AF3A24">
        <w:rPr>
          <w:rFonts w:asciiTheme="minorHAnsi" w:hAnsiTheme="minorHAnsi" w:cstheme="minorHAnsi"/>
          <w:caps w:val="0"/>
        </w:rPr>
        <w:t xml:space="preserve"> GAMBLING</w:t>
      </w:r>
      <w:bookmarkEnd w:id="87"/>
      <w:bookmarkEnd w:id="88"/>
    </w:p>
    <w:p w14:paraId="15A86BFB" w14:textId="77777777" w:rsidR="005B6EB8" w:rsidRDefault="005B6EB8" w:rsidP="00285E69">
      <w:pPr>
        <w:rPr>
          <w:rFonts w:asciiTheme="minorHAnsi" w:hAnsiTheme="minorHAnsi"/>
        </w:rPr>
      </w:pPr>
      <w:r>
        <w:rPr>
          <w:rFonts w:asciiTheme="minorHAnsi" w:hAnsiTheme="minorHAnsi"/>
        </w:rPr>
        <w:t>Th</w:t>
      </w:r>
      <w:r w:rsidR="00814414">
        <w:rPr>
          <w:rFonts w:asciiTheme="minorHAnsi" w:hAnsiTheme="minorHAnsi"/>
        </w:rPr>
        <w:t xml:space="preserve">e following </w:t>
      </w:r>
      <w:r>
        <w:rPr>
          <w:rFonts w:asciiTheme="minorHAnsi" w:hAnsiTheme="minorHAnsi"/>
        </w:rPr>
        <w:t xml:space="preserve">section of the report </w:t>
      </w:r>
      <w:r w:rsidR="0096668C">
        <w:rPr>
          <w:rFonts w:asciiTheme="minorHAnsi" w:hAnsiTheme="minorHAnsi"/>
        </w:rPr>
        <w:t xml:space="preserve">outlines results </w:t>
      </w:r>
      <w:r>
        <w:rPr>
          <w:rFonts w:asciiTheme="minorHAnsi" w:hAnsiTheme="minorHAnsi"/>
        </w:rPr>
        <w:t>that relate to the prevalence of problem gambling (including changes over time), the profile of people experiencing problem gambling, the risks associated with different gambling activities, and how problem gambling relates to the number of activities that people</w:t>
      </w:r>
      <w:r w:rsidR="00071203">
        <w:rPr>
          <w:rFonts w:asciiTheme="minorHAnsi" w:hAnsiTheme="minorHAnsi"/>
        </w:rPr>
        <w:t xml:space="preserve"> had</w:t>
      </w:r>
      <w:r>
        <w:rPr>
          <w:rFonts w:asciiTheme="minorHAnsi" w:hAnsiTheme="minorHAnsi"/>
        </w:rPr>
        <w:t xml:space="preserve"> gamble</w:t>
      </w:r>
      <w:r w:rsidR="00071203">
        <w:rPr>
          <w:rFonts w:asciiTheme="minorHAnsi" w:hAnsiTheme="minorHAnsi"/>
        </w:rPr>
        <w:t>d</w:t>
      </w:r>
      <w:r>
        <w:rPr>
          <w:rFonts w:asciiTheme="minorHAnsi" w:hAnsiTheme="minorHAnsi"/>
        </w:rPr>
        <w:t xml:space="preserve"> on</w:t>
      </w:r>
      <w:r w:rsidR="00071203">
        <w:rPr>
          <w:rFonts w:asciiTheme="minorHAnsi" w:hAnsiTheme="minorHAnsi"/>
        </w:rPr>
        <w:t xml:space="preserve"> in the previous 12 months</w:t>
      </w:r>
      <w:r>
        <w:rPr>
          <w:rFonts w:asciiTheme="minorHAnsi" w:hAnsiTheme="minorHAnsi"/>
        </w:rPr>
        <w:t xml:space="preserve">. </w:t>
      </w:r>
    </w:p>
    <w:p w14:paraId="79433760" w14:textId="77777777" w:rsidR="00DF3687" w:rsidRDefault="00DF3687">
      <w:pPr>
        <w:spacing w:before="0" w:after="200" w:line="276" w:lineRule="auto"/>
        <w:jc w:val="left"/>
        <w:rPr>
          <w:rFonts w:asciiTheme="minorHAnsi" w:hAnsiTheme="minorHAnsi" w:cstheme="minorHAnsi"/>
          <w:b/>
          <w:bCs/>
          <w:iCs/>
          <w:color w:val="1F497D"/>
          <w:szCs w:val="22"/>
        </w:rPr>
      </w:pPr>
    </w:p>
    <w:p w14:paraId="22B04ABF" w14:textId="77777777" w:rsidR="00983E2E" w:rsidRPr="00AF3A24" w:rsidRDefault="008C3419" w:rsidP="006A0B0E">
      <w:pPr>
        <w:pStyle w:val="Heading2"/>
        <w:numPr>
          <w:ilvl w:val="1"/>
          <w:numId w:val="25"/>
        </w:numPr>
      </w:pPr>
      <w:bookmarkStart w:id="89" w:name="_Toc403833165"/>
      <w:r>
        <w:t>PGSI item endorsement and p</w:t>
      </w:r>
      <w:r w:rsidR="00AF3A24" w:rsidRPr="00AF3A24">
        <w:t>revalence of problem g</w:t>
      </w:r>
      <w:r w:rsidR="00364382" w:rsidRPr="00AF3A24">
        <w:t>ambling</w:t>
      </w:r>
      <w:bookmarkEnd w:id="89"/>
    </w:p>
    <w:p w14:paraId="60305860" w14:textId="77777777" w:rsidR="00082FD9" w:rsidRDefault="00310EB8" w:rsidP="007E2FC5">
      <w:pPr>
        <w:rPr>
          <w:rFonts w:asciiTheme="minorHAnsi" w:hAnsiTheme="minorHAnsi"/>
        </w:rPr>
      </w:pPr>
      <w:r>
        <w:rPr>
          <w:rFonts w:asciiTheme="minorHAnsi" w:hAnsiTheme="minorHAnsi"/>
        </w:rPr>
        <w:t xml:space="preserve">All participants </w:t>
      </w:r>
      <w:r w:rsidR="00E846B8">
        <w:rPr>
          <w:rFonts w:asciiTheme="minorHAnsi" w:hAnsiTheme="minorHAnsi"/>
        </w:rPr>
        <w:t>completed</w:t>
      </w:r>
      <w:r>
        <w:rPr>
          <w:rFonts w:asciiTheme="minorHAnsi" w:hAnsiTheme="minorHAnsi"/>
        </w:rPr>
        <w:t xml:space="preserve"> the nine-item PGSI. </w:t>
      </w:r>
      <w:r w:rsidR="00E846B8">
        <w:rPr>
          <w:rFonts w:asciiTheme="minorHAnsi" w:hAnsiTheme="minorHAnsi"/>
        </w:rPr>
        <w:t xml:space="preserve">Three of the nine domains/indicators </w:t>
      </w:r>
      <w:r w:rsidR="00082FD9">
        <w:rPr>
          <w:rFonts w:asciiTheme="minorHAnsi" w:hAnsiTheme="minorHAnsi"/>
        </w:rPr>
        <w:t xml:space="preserve">registered </w:t>
      </w:r>
      <w:r w:rsidR="007939CF">
        <w:rPr>
          <w:rFonts w:asciiTheme="minorHAnsi" w:hAnsiTheme="minorHAnsi"/>
        </w:rPr>
        <w:t>prevalence estimates</w:t>
      </w:r>
      <w:r w:rsidR="002251E2">
        <w:rPr>
          <w:rFonts w:asciiTheme="minorHAnsi" w:hAnsiTheme="minorHAnsi"/>
        </w:rPr>
        <w:t xml:space="preserve"> (for all adults)</w:t>
      </w:r>
      <w:r w:rsidR="00082FD9">
        <w:rPr>
          <w:rFonts w:asciiTheme="minorHAnsi" w:hAnsiTheme="minorHAnsi"/>
        </w:rPr>
        <w:t xml:space="preserve"> </w:t>
      </w:r>
      <w:r w:rsidR="007939CF">
        <w:rPr>
          <w:rFonts w:asciiTheme="minorHAnsi" w:hAnsiTheme="minorHAnsi"/>
        </w:rPr>
        <w:t xml:space="preserve">in excess of </w:t>
      </w:r>
      <w:r w:rsidR="00082FD9">
        <w:rPr>
          <w:rFonts w:asciiTheme="minorHAnsi" w:hAnsiTheme="minorHAnsi"/>
        </w:rPr>
        <w:t xml:space="preserve">one percent: </w:t>
      </w:r>
    </w:p>
    <w:p w14:paraId="39BB56A8" w14:textId="77777777" w:rsidR="00310EB8" w:rsidRDefault="00082FD9" w:rsidP="00183477">
      <w:pPr>
        <w:pStyle w:val="ListParagraph"/>
        <w:numPr>
          <w:ilvl w:val="0"/>
          <w:numId w:val="9"/>
        </w:numPr>
        <w:rPr>
          <w:rFonts w:asciiTheme="minorHAnsi" w:hAnsiTheme="minorHAnsi"/>
        </w:rPr>
      </w:pPr>
      <w:r w:rsidRPr="00082FD9">
        <w:rPr>
          <w:rFonts w:asciiTheme="minorHAnsi" w:hAnsiTheme="minorHAnsi"/>
        </w:rPr>
        <w:t xml:space="preserve">1.7% indicated </w:t>
      </w:r>
      <w:r>
        <w:rPr>
          <w:rFonts w:asciiTheme="minorHAnsi" w:hAnsiTheme="minorHAnsi"/>
        </w:rPr>
        <w:t xml:space="preserve">that they had experienced </w:t>
      </w:r>
      <w:r w:rsidRPr="00082FD9">
        <w:rPr>
          <w:rFonts w:asciiTheme="minorHAnsi" w:hAnsiTheme="minorHAnsi"/>
        </w:rPr>
        <w:t xml:space="preserve">issues around </w:t>
      </w:r>
      <w:r w:rsidRPr="00082FD9">
        <w:rPr>
          <w:rFonts w:asciiTheme="minorHAnsi" w:hAnsiTheme="minorHAnsi"/>
          <w:i/>
        </w:rPr>
        <w:t>loss of control</w:t>
      </w:r>
      <w:r w:rsidRPr="00082FD9">
        <w:rPr>
          <w:rFonts w:asciiTheme="minorHAnsi" w:hAnsiTheme="minorHAnsi"/>
        </w:rPr>
        <w:t xml:space="preserve">; </w:t>
      </w:r>
    </w:p>
    <w:p w14:paraId="62F84791" w14:textId="77777777" w:rsidR="00082FD9" w:rsidRDefault="00082FD9" w:rsidP="00183477">
      <w:pPr>
        <w:pStyle w:val="ListParagraph"/>
        <w:numPr>
          <w:ilvl w:val="0"/>
          <w:numId w:val="9"/>
        </w:numPr>
        <w:rPr>
          <w:rFonts w:asciiTheme="minorHAnsi" w:hAnsiTheme="minorHAnsi"/>
        </w:rPr>
      </w:pPr>
      <w:r>
        <w:rPr>
          <w:rFonts w:asciiTheme="minorHAnsi" w:hAnsiTheme="minorHAnsi"/>
        </w:rPr>
        <w:t xml:space="preserve">1.5% had experienced </w:t>
      </w:r>
      <w:r w:rsidRPr="00082FD9">
        <w:rPr>
          <w:rFonts w:asciiTheme="minorHAnsi" w:hAnsiTheme="minorHAnsi"/>
          <w:i/>
        </w:rPr>
        <w:t>feelings of guilt</w:t>
      </w:r>
      <w:r>
        <w:rPr>
          <w:rFonts w:asciiTheme="minorHAnsi" w:hAnsiTheme="minorHAnsi"/>
        </w:rPr>
        <w:t xml:space="preserve">; and, </w:t>
      </w:r>
    </w:p>
    <w:p w14:paraId="69DE6C07" w14:textId="77777777" w:rsidR="00082FD9" w:rsidRPr="007939CF" w:rsidRDefault="00082FD9" w:rsidP="00183477">
      <w:pPr>
        <w:pStyle w:val="ListParagraph"/>
        <w:numPr>
          <w:ilvl w:val="0"/>
          <w:numId w:val="9"/>
        </w:numPr>
        <w:rPr>
          <w:rFonts w:asciiTheme="minorHAnsi" w:hAnsiTheme="minorHAnsi"/>
        </w:rPr>
      </w:pPr>
      <w:r>
        <w:rPr>
          <w:rFonts w:asciiTheme="minorHAnsi" w:hAnsiTheme="minorHAnsi"/>
        </w:rPr>
        <w:t xml:space="preserve">1.2% reported </w:t>
      </w:r>
      <w:r>
        <w:rPr>
          <w:rFonts w:asciiTheme="minorHAnsi" w:hAnsiTheme="minorHAnsi"/>
          <w:i/>
        </w:rPr>
        <w:t xml:space="preserve">chasing losses. </w:t>
      </w:r>
    </w:p>
    <w:p w14:paraId="14E32708" w14:textId="77777777" w:rsidR="00310EB8" w:rsidRDefault="007939CF" w:rsidP="007E2FC5">
      <w:pPr>
        <w:rPr>
          <w:rFonts w:asciiTheme="minorHAnsi" w:hAnsiTheme="minorHAnsi"/>
        </w:rPr>
      </w:pPr>
      <w:r>
        <w:rPr>
          <w:rFonts w:asciiTheme="minorHAnsi" w:hAnsiTheme="minorHAnsi"/>
        </w:rPr>
        <w:t xml:space="preserve">Borrowing was the least endorsed item of the </w:t>
      </w:r>
      <w:r w:rsidR="00E846B8">
        <w:rPr>
          <w:rFonts w:asciiTheme="minorHAnsi" w:hAnsiTheme="minorHAnsi"/>
        </w:rPr>
        <w:t>PGSI</w:t>
      </w:r>
      <w:r>
        <w:rPr>
          <w:rFonts w:asciiTheme="minorHAnsi" w:hAnsiTheme="minorHAnsi"/>
        </w:rPr>
        <w:t>, w</w:t>
      </w:r>
      <w:r w:rsidR="00467C5C">
        <w:rPr>
          <w:rFonts w:asciiTheme="minorHAnsi" w:hAnsiTheme="minorHAnsi"/>
        </w:rPr>
        <w:t>ith only 40 participants (0.3%</w:t>
      </w:r>
      <w:r>
        <w:rPr>
          <w:rFonts w:asciiTheme="minorHAnsi" w:hAnsiTheme="minorHAnsi"/>
        </w:rPr>
        <w:t xml:space="preserve">) indicating that they had borrowed money or sold items in order to obtain money to gamble. </w:t>
      </w:r>
      <w:r w:rsidR="00C74DFD">
        <w:rPr>
          <w:rFonts w:asciiTheme="minorHAnsi" w:hAnsiTheme="minorHAnsi"/>
        </w:rPr>
        <w:t xml:space="preserve"> Table 11</w:t>
      </w:r>
      <w:r w:rsidRPr="002251E2">
        <w:rPr>
          <w:rFonts w:asciiTheme="minorHAnsi" w:hAnsiTheme="minorHAnsi"/>
        </w:rPr>
        <w:t xml:space="preserve"> </w:t>
      </w:r>
      <w:r>
        <w:rPr>
          <w:rFonts w:asciiTheme="minorHAnsi" w:hAnsiTheme="minorHAnsi"/>
        </w:rPr>
        <w:t xml:space="preserve">provides an overview of participant responses to the </w:t>
      </w:r>
      <w:r w:rsidR="00E846B8">
        <w:rPr>
          <w:rFonts w:asciiTheme="minorHAnsi" w:hAnsiTheme="minorHAnsi"/>
        </w:rPr>
        <w:t>PGSI</w:t>
      </w:r>
      <w:r>
        <w:rPr>
          <w:rFonts w:asciiTheme="minorHAnsi" w:hAnsiTheme="minorHAnsi"/>
        </w:rPr>
        <w:t xml:space="preserve"> items</w:t>
      </w:r>
      <w:r w:rsidR="00E846B8">
        <w:rPr>
          <w:rFonts w:asciiTheme="minorHAnsi" w:hAnsiTheme="minorHAnsi"/>
        </w:rPr>
        <w:t>.</w:t>
      </w:r>
    </w:p>
    <w:p w14:paraId="695D1341" w14:textId="77777777" w:rsidR="008731A1" w:rsidRDefault="008731A1">
      <w:pPr>
        <w:spacing w:before="0" w:after="200" w:line="276" w:lineRule="auto"/>
        <w:jc w:val="left"/>
        <w:rPr>
          <w:rFonts w:asciiTheme="minorHAnsi" w:hAnsiTheme="minorHAnsi"/>
          <w:b/>
          <w:bCs/>
          <w:i/>
          <w:sz w:val="20"/>
          <w:szCs w:val="20"/>
        </w:rPr>
      </w:pPr>
      <w:bookmarkStart w:id="90" w:name="_Ref400966630"/>
      <w:r>
        <w:rPr>
          <w:rFonts w:asciiTheme="minorHAnsi" w:hAnsiTheme="minorHAnsi"/>
          <w:i/>
        </w:rPr>
        <w:br w:type="page"/>
      </w:r>
    </w:p>
    <w:p w14:paraId="32B88B0B" w14:textId="625B7F49" w:rsidR="00310EB8" w:rsidRPr="00AF3A24" w:rsidRDefault="00310EB8" w:rsidP="00310EB8">
      <w:pPr>
        <w:pStyle w:val="Caption"/>
        <w:keepNext/>
        <w:spacing w:line="276" w:lineRule="auto"/>
        <w:ind w:left="993" w:hanging="993"/>
        <w:rPr>
          <w:rFonts w:asciiTheme="minorHAnsi" w:hAnsiTheme="minorHAnsi" w:cstheme="minorHAnsi"/>
          <w:i/>
        </w:rPr>
      </w:pPr>
      <w:bookmarkStart w:id="91" w:name="_Toc425426878"/>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11</w:t>
      </w:r>
      <w:r w:rsidRPr="00AF3A24">
        <w:rPr>
          <w:rFonts w:asciiTheme="minorHAnsi" w:hAnsiTheme="minorHAnsi"/>
          <w:i/>
        </w:rPr>
        <w:fldChar w:fldCharType="end"/>
      </w:r>
      <w:bookmarkEnd w:id="90"/>
      <w:r w:rsidRPr="00AF3A24">
        <w:rPr>
          <w:rFonts w:asciiTheme="minorHAnsi" w:hAnsiTheme="minorHAnsi"/>
          <w:i/>
        </w:rPr>
        <w:t>:</w:t>
      </w:r>
      <w:r w:rsidRPr="00AF3A24">
        <w:rPr>
          <w:rFonts w:asciiTheme="minorHAnsi" w:hAnsiTheme="minorHAnsi" w:cstheme="minorHAnsi"/>
          <w:i/>
        </w:rPr>
        <w:tab/>
        <w:t>Responses to individual PGSI items – prevalence of experiencing problematic gambling behaviours in the past 12 months</w:t>
      </w:r>
      <w:r w:rsidR="006965C6">
        <w:rPr>
          <w:rFonts w:asciiTheme="minorHAnsi" w:hAnsiTheme="minorHAnsi" w:cstheme="minorHAnsi"/>
          <w:i/>
        </w:rPr>
        <w:t xml:space="preserve">, </w:t>
      </w:r>
      <w:r w:rsidR="006965C6" w:rsidRPr="00AF3A24">
        <w:rPr>
          <w:rFonts w:asciiTheme="minorHAnsi" w:hAnsiTheme="minorHAnsi" w:cstheme="minorHAnsi"/>
          <w:i/>
        </w:rPr>
        <w:t>total population aged 15 years and over</w:t>
      </w:r>
      <w:r w:rsidRPr="00AF3A24">
        <w:rPr>
          <w:rFonts w:asciiTheme="minorHAnsi" w:hAnsiTheme="minorHAnsi" w:cstheme="minorHAnsi"/>
          <w:i/>
        </w:rPr>
        <w:t xml:space="preserve"> (unadjusted prevalence) </w:t>
      </w:r>
      <w:r w:rsidRPr="00AF3A24">
        <w:rPr>
          <w:rFonts w:asciiTheme="minorHAnsi" w:hAnsiTheme="minorHAnsi" w:cstheme="minorHAnsi"/>
          <w:i/>
          <w:vertAlign w:val="superscript"/>
        </w:rPr>
        <w:t>1</w:t>
      </w:r>
      <w:bookmarkEnd w:id="91"/>
    </w:p>
    <w:tbl>
      <w:tblPr>
        <w:tblStyle w:val="TableGrid"/>
        <w:tblW w:w="0" w:type="auto"/>
        <w:jc w:val="center"/>
        <w:tblLook w:val="04A0" w:firstRow="1" w:lastRow="0" w:firstColumn="1" w:lastColumn="0" w:noHBand="0" w:noVBand="1"/>
      </w:tblPr>
      <w:tblGrid>
        <w:gridCol w:w="1835"/>
        <w:gridCol w:w="3016"/>
        <w:gridCol w:w="851"/>
        <w:gridCol w:w="1275"/>
        <w:gridCol w:w="1276"/>
        <w:gridCol w:w="1701"/>
      </w:tblGrid>
      <w:tr w:rsidR="00310EB8" w:rsidRPr="00AF3A24" w14:paraId="3E3FC443" w14:textId="77777777" w:rsidTr="0018575D">
        <w:trPr>
          <w:trHeight w:val="491"/>
          <w:jc w:val="center"/>
        </w:trPr>
        <w:tc>
          <w:tcPr>
            <w:tcW w:w="1835" w:type="dxa"/>
            <w:vMerge w:val="restart"/>
            <w:shd w:val="clear" w:color="auto" w:fill="92CDDC" w:themeFill="accent5" w:themeFillTint="99"/>
            <w:vAlign w:val="center"/>
          </w:tcPr>
          <w:p w14:paraId="6CBAE415"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DOMAIN</w:t>
            </w:r>
          </w:p>
        </w:tc>
        <w:tc>
          <w:tcPr>
            <w:tcW w:w="3016" w:type="dxa"/>
            <w:vMerge w:val="restart"/>
            <w:shd w:val="clear" w:color="auto" w:fill="92CDDC" w:themeFill="accent5" w:themeFillTint="99"/>
            <w:vAlign w:val="center"/>
          </w:tcPr>
          <w:p w14:paraId="58CCF795"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INDICATOR</w:t>
            </w:r>
          </w:p>
        </w:tc>
        <w:tc>
          <w:tcPr>
            <w:tcW w:w="851" w:type="dxa"/>
            <w:vMerge w:val="restart"/>
            <w:shd w:val="clear" w:color="auto" w:fill="92CDDC" w:themeFill="accent5" w:themeFillTint="99"/>
            <w:vAlign w:val="center"/>
          </w:tcPr>
          <w:p w14:paraId="4A42F601"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275" w:type="dxa"/>
            <w:shd w:val="clear" w:color="auto" w:fill="92CDDC" w:themeFill="accent5" w:themeFillTint="99"/>
            <w:vAlign w:val="center"/>
          </w:tcPr>
          <w:p w14:paraId="05E46D44"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total adults</w:t>
            </w:r>
          </w:p>
          <w:p w14:paraId="27408892"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(N=12,596)</w:t>
            </w:r>
          </w:p>
        </w:tc>
        <w:tc>
          <w:tcPr>
            <w:tcW w:w="1276" w:type="dxa"/>
            <w:tcBorders>
              <w:bottom w:val="single" w:sz="4" w:space="0" w:color="auto"/>
            </w:tcBorders>
            <w:shd w:val="clear" w:color="auto" w:fill="92CDDC" w:themeFill="accent5" w:themeFillTint="99"/>
            <w:vAlign w:val="center"/>
          </w:tcPr>
          <w:p w14:paraId="71C40BB9"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past-year gamblers (N=6,549)</w:t>
            </w:r>
          </w:p>
        </w:tc>
        <w:tc>
          <w:tcPr>
            <w:tcW w:w="1701" w:type="dxa"/>
            <w:vMerge w:val="restart"/>
            <w:shd w:val="clear" w:color="auto" w:fill="92CDDC" w:themeFill="accent5" w:themeFillTint="99"/>
            <w:vAlign w:val="center"/>
          </w:tcPr>
          <w:p w14:paraId="0902AB60"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Estimated number </w:t>
            </w:r>
          </w:p>
          <w:p w14:paraId="46753C65"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of people</w:t>
            </w:r>
          </w:p>
          <w:p w14:paraId="1A9AC337"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 (95% CI)</w:t>
            </w:r>
            <w:r w:rsidR="005E272D">
              <w:rPr>
                <w:rFonts w:asciiTheme="minorHAnsi" w:hAnsiTheme="minorHAnsi" w:cstheme="minorHAnsi"/>
                <w:b/>
                <w:sz w:val="18"/>
                <w:szCs w:val="18"/>
              </w:rPr>
              <w:t xml:space="preserve"> </w:t>
            </w:r>
            <w:r w:rsidR="005E272D" w:rsidRPr="005E272D">
              <w:rPr>
                <w:rFonts w:asciiTheme="minorHAnsi" w:hAnsiTheme="minorHAnsi" w:cstheme="minorHAnsi"/>
                <w:b/>
                <w:sz w:val="18"/>
                <w:szCs w:val="18"/>
                <w:vertAlign w:val="superscript"/>
              </w:rPr>
              <w:t>2</w:t>
            </w:r>
          </w:p>
        </w:tc>
      </w:tr>
      <w:tr w:rsidR="00310EB8" w:rsidRPr="00AF3A24" w14:paraId="0A415D13" w14:textId="77777777" w:rsidTr="0018575D">
        <w:trPr>
          <w:trHeight w:val="275"/>
          <w:jc w:val="center"/>
        </w:trPr>
        <w:tc>
          <w:tcPr>
            <w:tcW w:w="1835" w:type="dxa"/>
            <w:vMerge/>
            <w:tcBorders>
              <w:bottom w:val="single" w:sz="4" w:space="0" w:color="auto"/>
            </w:tcBorders>
            <w:shd w:val="clear" w:color="auto" w:fill="92CDDC" w:themeFill="accent5" w:themeFillTint="99"/>
            <w:vAlign w:val="center"/>
          </w:tcPr>
          <w:p w14:paraId="2F59096B" w14:textId="77777777" w:rsidR="00310EB8" w:rsidRPr="00AF3A24" w:rsidRDefault="00310EB8" w:rsidP="00385C90">
            <w:pPr>
              <w:spacing w:before="0" w:line="240" w:lineRule="auto"/>
              <w:jc w:val="left"/>
              <w:rPr>
                <w:rFonts w:asciiTheme="minorHAnsi" w:hAnsiTheme="minorHAnsi" w:cstheme="minorHAnsi"/>
                <w:b/>
                <w:sz w:val="18"/>
                <w:szCs w:val="18"/>
              </w:rPr>
            </w:pPr>
          </w:p>
        </w:tc>
        <w:tc>
          <w:tcPr>
            <w:tcW w:w="3016" w:type="dxa"/>
            <w:vMerge/>
            <w:tcBorders>
              <w:bottom w:val="single" w:sz="4" w:space="0" w:color="auto"/>
            </w:tcBorders>
            <w:shd w:val="clear" w:color="auto" w:fill="92CDDC" w:themeFill="accent5" w:themeFillTint="99"/>
          </w:tcPr>
          <w:p w14:paraId="05CB27DD" w14:textId="77777777" w:rsidR="00310EB8" w:rsidRPr="00AF3A24" w:rsidRDefault="00310EB8" w:rsidP="00385C90">
            <w:pPr>
              <w:spacing w:before="0" w:line="240" w:lineRule="auto"/>
              <w:jc w:val="center"/>
              <w:rPr>
                <w:rFonts w:asciiTheme="minorHAnsi" w:hAnsiTheme="minorHAnsi" w:cstheme="minorHAnsi"/>
                <w:b/>
                <w:sz w:val="18"/>
                <w:szCs w:val="18"/>
              </w:rPr>
            </w:pPr>
          </w:p>
        </w:tc>
        <w:tc>
          <w:tcPr>
            <w:tcW w:w="851" w:type="dxa"/>
            <w:vMerge/>
            <w:tcBorders>
              <w:bottom w:val="single" w:sz="4" w:space="0" w:color="auto"/>
            </w:tcBorders>
            <w:shd w:val="clear" w:color="auto" w:fill="92CDDC" w:themeFill="accent5" w:themeFillTint="99"/>
            <w:vAlign w:val="center"/>
          </w:tcPr>
          <w:p w14:paraId="5DC50287" w14:textId="77777777" w:rsidR="00310EB8" w:rsidRPr="00AF3A24" w:rsidRDefault="00310EB8" w:rsidP="00385C90">
            <w:pPr>
              <w:spacing w:before="0" w:line="240" w:lineRule="auto"/>
              <w:jc w:val="center"/>
              <w:rPr>
                <w:rFonts w:asciiTheme="minorHAnsi" w:hAnsiTheme="minorHAnsi" w:cstheme="minorHAnsi"/>
                <w:b/>
                <w:sz w:val="18"/>
                <w:szCs w:val="18"/>
              </w:rPr>
            </w:pPr>
          </w:p>
        </w:tc>
        <w:tc>
          <w:tcPr>
            <w:tcW w:w="1275" w:type="dxa"/>
            <w:tcBorders>
              <w:bottom w:val="single" w:sz="4" w:space="0" w:color="auto"/>
            </w:tcBorders>
            <w:shd w:val="clear" w:color="auto" w:fill="92CDDC" w:themeFill="accent5" w:themeFillTint="99"/>
            <w:vAlign w:val="center"/>
          </w:tcPr>
          <w:p w14:paraId="69FEEC8D"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3C5D28F"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276" w:type="dxa"/>
            <w:tcBorders>
              <w:bottom w:val="single" w:sz="4" w:space="0" w:color="auto"/>
            </w:tcBorders>
            <w:shd w:val="clear" w:color="auto" w:fill="92CDDC" w:themeFill="accent5" w:themeFillTint="99"/>
            <w:vAlign w:val="center"/>
          </w:tcPr>
          <w:p w14:paraId="072BA307"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3019E663" w14:textId="77777777" w:rsidR="00310EB8" w:rsidRPr="00AF3A24" w:rsidRDefault="00310EB8"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701" w:type="dxa"/>
            <w:vMerge/>
            <w:tcBorders>
              <w:bottom w:val="single" w:sz="4" w:space="0" w:color="auto"/>
            </w:tcBorders>
            <w:shd w:val="clear" w:color="auto" w:fill="92CDDC" w:themeFill="accent5" w:themeFillTint="99"/>
          </w:tcPr>
          <w:p w14:paraId="6CA82932" w14:textId="77777777" w:rsidR="00310EB8" w:rsidRPr="00AF3A24" w:rsidRDefault="00310EB8" w:rsidP="00385C90">
            <w:pPr>
              <w:spacing w:before="0" w:line="240" w:lineRule="auto"/>
              <w:jc w:val="center"/>
              <w:rPr>
                <w:rFonts w:asciiTheme="minorHAnsi" w:hAnsiTheme="minorHAnsi" w:cstheme="minorHAnsi"/>
                <w:b/>
                <w:sz w:val="18"/>
                <w:szCs w:val="18"/>
              </w:rPr>
            </w:pPr>
          </w:p>
        </w:tc>
      </w:tr>
      <w:tr w:rsidR="00310EB8" w:rsidRPr="00AF3A24" w14:paraId="7933A8EE" w14:textId="77777777" w:rsidTr="0018575D">
        <w:trPr>
          <w:jc w:val="center"/>
        </w:trPr>
        <w:tc>
          <w:tcPr>
            <w:tcW w:w="1835" w:type="dxa"/>
            <w:tcBorders>
              <w:top w:val="single" w:sz="4" w:space="0" w:color="auto"/>
              <w:bottom w:val="nil"/>
            </w:tcBorders>
            <w:shd w:val="clear" w:color="auto" w:fill="DAEEF3" w:themeFill="accent5" w:themeFillTint="33"/>
            <w:vAlign w:val="center"/>
          </w:tcPr>
          <w:p w14:paraId="089C69C3"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Loss of control</w:t>
            </w:r>
          </w:p>
        </w:tc>
        <w:tc>
          <w:tcPr>
            <w:tcW w:w="3016" w:type="dxa"/>
            <w:tcBorders>
              <w:bottom w:val="nil"/>
            </w:tcBorders>
            <w:shd w:val="clear" w:color="auto" w:fill="DAEEF3" w:themeFill="accent5" w:themeFillTint="33"/>
            <w:vAlign w:val="center"/>
          </w:tcPr>
          <w:p w14:paraId="739218BB"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Betting more than could afford</w:t>
            </w:r>
          </w:p>
        </w:tc>
        <w:tc>
          <w:tcPr>
            <w:tcW w:w="851" w:type="dxa"/>
            <w:tcBorders>
              <w:bottom w:val="nil"/>
            </w:tcBorders>
            <w:shd w:val="clear" w:color="auto" w:fill="DAEEF3" w:themeFill="accent5" w:themeFillTint="33"/>
            <w:vAlign w:val="center"/>
          </w:tcPr>
          <w:p w14:paraId="46CBB54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271</w:t>
            </w:r>
          </w:p>
        </w:tc>
        <w:tc>
          <w:tcPr>
            <w:tcW w:w="1275" w:type="dxa"/>
            <w:tcBorders>
              <w:bottom w:val="nil"/>
            </w:tcBorders>
            <w:shd w:val="clear" w:color="auto" w:fill="DAEEF3" w:themeFill="accent5" w:themeFillTint="33"/>
            <w:vAlign w:val="center"/>
          </w:tcPr>
          <w:p w14:paraId="0FF6E5BA"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w:t>
            </w:r>
            <w:r w:rsidRPr="00AF3A24">
              <w:rPr>
                <w:rFonts w:asciiTheme="minorHAnsi" w:hAnsiTheme="minorHAnsi"/>
                <w:bCs/>
                <w:color w:val="000000"/>
                <w:sz w:val="16"/>
                <w:szCs w:val="18"/>
              </w:rPr>
              <w:br/>
              <w:t>(1.4 - 1.9)</w:t>
            </w:r>
          </w:p>
        </w:tc>
        <w:tc>
          <w:tcPr>
            <w:tcW w:w="1276" w:type="dxa"/>
            <w:tcBorders>
              <w:left w:val="single" w:sz="4" w:space="0" w:color="auto"/>
              <w:bottom w:val="nil"/>
            </w:tcBorders>
            <w:shd w:val="clear" w:color="auto" w:fill="DAEEF3" w:themeFill="accent5" w:themeFillTint="33"/>
            <w:vAlign w:val="center"/>
          </w:tcPr>
          <w:p w14:paraId="0DD7BE21"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w:t>
            </w:r>
            <w:r w:rsidRPr="00AF3A24">
              <w:rPr>
                <w:rFonts w:asciiTheme="minorHAnsi" w:hAnsiTheme="minorHAnsi"/>
                <w:bCs/>
                <w:color w:val="000000"/>
                <w:sz w:val="16"/>
                <w:szCs w:val="18"/>
              </w:rPr>
              <w:br/>
              <w:t>(2.6 - 3.7)</w:t>
            </w:r>
          </w:p>
        </w:tc>
        <w:tc>
          <w:tcPr>
            <w:tcW w:w="1701" w:type="dxa"/>
            <w:tcBorders>
              <w:left w:val="nil"/>
              <w:bottom w:val="nil"/>
            </w:tcBorders>
            <w:shd w:val="clear" w:color="auto" w:fill="DAEEF3" w:themeFill="accent5" w:themeFillTint="33"/>
            <w:vAlign w:val="center"/>
          </w:tcPr>
          <w:p w14:paraId="28A5BC40"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58,700</w:t>
            </w:r>
            <w:r w:rsidRPr="00AF3A24">
              <w:rPr>
                <w:rFonts w:asciiTheme="minorHAnsi" w:hAnsiTheme="minorHAnsi"/>
                <w:bCs/>
                <w:color w:val="000000"/>
                <w:sz w:val="16"/>
                <w:szCs w:val="18"/>
              </w:rPr>
              <w:br/>
              <w:t>(48,900 - 68,600)</w:t>
            </w:r>
          </w:p>
        </w:tc>
      </w:tr>
      <w:tr w:rsidR="00310EB8" w:rsidRPr="00AF3A24" w14:paraId="65F657E2" w14:textId="77777777" w:rsidTr="0018575D">
        <w:trPr>
          <w:jc w:val="center"/>
        </w:trPr>
        <w:tc>
          <w:tcPr>
            <w:tcW w:w="1835" w:type="dxa"/>
            <w:tcBorders>
              <w:top w:val="nil"/>
              <w:bottom w:val="nil"/>
            </w:tcBorders>
            <w:shd w:val="clear" w:color="auto" w:fill="DAEEF3" w:themeFill="accent5" w:themeFillTint="33"/>
            <w:vAlign w:val="center"/>
          </w:tcPr>
          <w:p w14:paraId="4DE4AFD1"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Feelings of guilt</w:t>
            </w:r>
          </w:p>
        </w:tc>
        <w:tc>
          <w:tcPr>
            <w:tcW w:w="3016" w:type="dxa"/>
            <w:tcBorders>
              <w:top w:val="nil"/>
              <w:bottom w:val="nil"/>
            </w:tcBorders>
            <w:shd w:val="clear" w:color="auto" w:fill="DAEEF3" w:themeFill="accent5" w:themeFillTint="33"/>
            <w:vAlign w:val="center"/>
          </w:tcPr>
          <w:p w14:paraId="5939BA6B"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Feeling guilty about gambling</w:t>
            </w:r>
          </w:p>
        </w:tc>
        <w:tc>
          <w:tcPr>
            <w:tcW w:w="851" w:type="dxa"/>
            <w:tcBorders>
              <w:top w:val="nil"/>
              <w:bottom w:val="nil"/>
            </w:tcBorders>
            <w:shd w:val="clear" w:color="auto" w:fill="DAEEF3" w:themeFill="accent5" w:themeFillTint="33"/>
            <w:vAlign w:val="center"/>
          </w:tcPr>
          <w:p w14:paraId="16B17E61"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203</w:t>
            </w:r>
          </w:p>
        </w:tc>
        <w:tc>
          <w:tcPr>
            <w:tcW w:w="1275" w:type="dxa"/>
            <w:tcBorders>
              <w:top w:val="nil"/>
              <w:bottom w:val="nil"/>
            </w:tcBorders>
            <w:shd w:val="clear" w:color="auto" w:fill="DAEEF3" w:themeFill="accent5" w:themeFillTint="33"/>
            <w:vAlign w:val="center"/>
          </w:tcPr>
          <w:p w14:paraId="324A0B1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1.5</w:t>
            </w:r>
            <w:r w:rsidRPr="00AF3A24">
              <w:rPr>
                <w:rFonts w:asciiTheme="minorHAnsi" w:hAnsiTheme="minorHAnsi"/>
                <w:bCs/>
                <w:color w:val="000000"/>
                <w:sz w:val="16"/>
                <w:szCs w:val="18"/>
              </w:rPr>
              <w:br/>
              <w:t>(1.2 - 1.8)</w:t>
            </w:r>
          </w:p>
        </w:tc>
        <w:tc>
          <w:tcPr>
            <w:tcW w:w="1276" w:type="dxa"/>
            <w:tcBorders>
              <w:top w:val="nil"/>
              <w:left w:val="single" w:sz="4" w:space="0" w:color="auto"/>
              <w:bottom w:val="nil"/>
            </w:tcBorders>
            <w:shd w:val="clear" w:color="auto" w:fill="DAEEF3" w:themeFill="accent5" w:themeFillTint="33"/>
            <w:vAlign w:val="center"/>
          </w:tcPr>
          <w:p w14:paraId="5D98E9A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2.9</w:t>
            </w:r>
            <w:r w:rsidRPr="00AF3A24">
              <w:rPr>
                <w:rFonts w:asciiTheme="minorHAnsi" w:hAnsiTheme="minorHAnsi"/>
                <w:bCs/>
                <w:color w:val="000000"/>
                <w:sz w:val="16"/>
                <w:szCs w:val="18"/>
              </w:rPr>
              <w:br/>
              <w:t>(2.3 - 3.4)</w:t>
            </w:r>
          </w:p>
        </w:tc>
        <w:tc>
          <w:tcPr>
            <w:tcW w:w="1701" w:type="dxa"/>
            <w:tcBorders>
              <w:top w:val="nil"/>
              <w:left w:val="nil"/>
              <w:bottom w:val="nil"/>
            </w:tcBorders>
            <w:shd w:val="clear" w:color="auto" w:fill="DAEEF3" w:themeFill="accent5" w:themeFillTint="33"/>
            <w:vAlign w:val="center"/>
          </w:tcPr>
          <w:p w14:paraId="4E491D50"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52,900</w:t>
            </w:r>
            <w:r w:rsidRPr="00AF3A24">
              <w:rPr>
                <w:rFonts w:asciiTheme="minorHAnsi" w:hAnsiTheme="minorHAnsi"/>
                <w:bCs/>
                <w:color w:val="000000"/>
                <w:sz w:val="16"/>
                <w:szCs w:val="18"/>
              </w:rPr>
              <w:br/>
              <w:t>(42,800 - 63,100)</w:t>
            </w:r>
          </w:p>
        </w:tc>
      </w:tr>
      <w:tr w:rsidR="00310EB8" w:rsidRPr="00AF3A24" w14:paraId="51B10D95" w14:textId="77777777" w:rsidTr="0018575D">
        <w:trPr>
          <w:jc w:val="center"/>
        </w:trPr>
        <w:tc>
          <w:tcPr>
            <w:tcW w:w="1835" w:type="dxa"/>
            <w:tcBorders>
              <w:top w:val="nil"/>
              <w:bottom w:val="nil"/>
            </w:tcBorders>
            <w:shd w:val="clear" w:color="auto" w:fill="DAEEF3" w:themeFill="accent5" w:themeFillTint="33"/>
            <w:vAlign w:val="center"/>
          </w:tcPr>
          <w:p w14:paraId="3696606E"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Chasing</w:t>
            </w:r>
            <w:r w:rsidR="00082FD9">
              <w:rPr>
                <w:rFonts w:asciiTheme="minorHAnsi" w:hAnsiTheme="minorHAnsi" w:cstheme="minorHAnsi"/>
                <w:b/>
                <w:sz w:val="16"/>
                <w:szCs w:val="18"/>
              </w:rPr>
              <w:t xml:space="preserve"> losses</w:t>
            </w:r>
          </w:p>
        </w:tc>
        <w:tc>
          <w:tcPr>
            <w:tcW w:w="3016" w:type="dxa"/>
            <w:tcBorders>
              <w:top w:val="nil"/>
              <w:bottom w:val="nil"/>
            </w:tcBorders>
            <w:shd w:val="clear" w:color="auto" w:fill="DAEEF3" w:themeFill="accent5" w:themeFillTint="33"/>
            <w:vAlign w:val="center"/>
          </w:tcPr>
          <w:p w14:paraId="41FE21F2"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Returning later to win back losses</w:t>
            </w:r>
          </w:p>
        </w:tc>
        <w:tc>
          <w:tcPr>
            <w:tcW w:w="851" w:type="dxa"/>
            <w:tcBorders>
              <w:top w:val="nil"/>
              <w:bottom w:val="nil"/>
            </w:tcBorders>
            <w:shd w:val="clear" w:color="auto" w:fill="DAEEF3" w:themeFill="accent5" w:themeFillTint="33"/>
            <w:vAlign w:val="center"/>
          </w:tcPr>
          <w:p w14:paraId="4D690D6A"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147</w:t>
            </w:r>
          </w:p>
        </w:tc>
        <w:tc>
          <w:tcPr>
            <w:tcW w:w="1275" w:type="dxa"/>
            <w:tcBorders>
              <w:top w:val="nil"/>
              <w:bottom w:val="nil"/>
            </w:tcBorders>
            <w:shd w:val="clear" w:color="auto" w:fill="DAEEF3" w:themeFill="accent5" w:themeFillTint="33"/>
            <w:vAlign w:val="center"/>
          </w:tcPr>
          <w:p w14:paraId="523486CE"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w:t>
            </w:r>
            <w:r w:rsidRPr="00AF3A24">
              <w:rPr>
                <w:rFonts w:asciiTheme="minorHAnsi" w:hAnsiTheme="minorHAnsi"/>
                <w:bCs/>
                <w:color w:val="000000"/>
                <w:sz w:val="16"/>
                <w:szCs w:val="18"/>
              </w:rPr>
              <w:br/>
              <w:t>(0.9 - 1.4)</w:t>
            </w:r>
          </w:p>
        </w:tc>
        <w:tc>
          <w:tcPr>
            <w:tcW w:w="1276" w:type="dxa"/>
            <w:tcBorders>
              <w:top w:val="nil"/>
              <w:left w:val="single" w:sz="4" w:space="0" w:color="auto"/>
              <w:bottom w:val="nil"/>
            </w:tcBorders>
            <w:shd w:val="clear" w:color="auto" w:fill="DAEEF3" w:themeFill="accent5" w:themeFillTint="33"/>
            <w:vAlign w:val="center"/>
          </w:tcPr>
          <w:p w14:paraId="44246ADF"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2.2</w:t>
            </w:r>
            <w:r w:rsidRPr="00AF3A24">
              <w:rPr>
                <w:rFonts w:asciiTheme="minorHAnsi" w:hAnsiTheme="minorHAnsi"/>
                <w:bCs/>
                <w:color w:val="000000"/>
                <w:sz w:val="16"/>
                <w:szCs w:val="18"/>
              </w:rPr>
              <w:br/>
              <w:t>(1.7 - 2.7)</w:t>
            </w:r>
          </w:p>
        </w:tc>
        <w:tc>
          <w:tcPr>
            <w:tcW w:w="1701" w:type="dxa"/>
            <w:tcBorders>
              <w:top w:val="nil"/>
              <w:left w:val="nil"/>
              <w:bottom w:val="nil"/>
            </w:tcBorders>
            <w:shd w:val="clear" w:color="auto" w:fill="DAEEF3" w:themeFill="accent5" w:themeFillTint="33"/>
            <w:vAlign w:val="center"/>
          </w:tcPr>
          <w:p w14:paraId="4424C547"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40,600</w:t>
            </w:r>
            <w:r w:rsidRPr="00AF3A24">
              <w:rPr>
                <w:rFonts w:asciiTheme="minorHAnsi" w:hAnsiTheme="minorHAnsi"/>
                <w:bCs/>
                <w:color w:val="000000"/>
                <w:sz w:val="16"/>
                <w:szCs w:val="18"/>
              </w:rPr>
              <w:br/>
              <w:t>(31,800 - 49,400)</w:t>
            </w:r>
          </w:p>
        </w:tc>
      </w:tr>
      <w:tr w:rsidR="00310EB8" w:rsidRPr="00AF3A24" w14:paraId="591EE9C5" w14:textId="77777777" w:rsidTr="0018575D">
        <w:trPr>
          <w:jc w:val="center"/>
        </w:trPr>
        <w:tc>
          <w:tcPr>
            <w:tcW w:w="1835" w:type="dxa"/>
            <w:tcBorders>
              <w:top w:val="nil"/>
              <w:bottom w:val="nil"/>
            </w:tcBorders>
            <w:shd w:val="clear" w:color="auto" w:fill="DAEEF3" w:themeFill="accent5" w:themeFillTint="33"/>
            <w:vAlign w:val="center"/>
          </w:tcPr>
          <w:p w14:paraId="1062F056"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 xml:space="preserve">Problem recognition </w:t>
            </w:r>
          </w:p>
        </w:tc>
        <w:tc>
          <w:tcPr>
            <w:tcW w:w="3016" w:type="dxa"/>
            <w:tcBorders>
              <w:top w:val="nil"/>
              <w:bottom w:val="nil"/>
            </w:tcBorders>
            <w:shd w:val="clear" w:color="auto" w:fill="DAEEF3" w:themeFill="accent5" w:themeFillTint="33"/>
            <w:vAlign w:val="center"/>
          </w:tcPr>
          <w:p w14:paraId="3EAAD99A" w14:textId="77777777" w:rsidR="00310EB8" w:rsidRPr="00AF3A24" w:rsidRDefault="0018575D" w:rsidP="0018575D">
            <w:pPr>
              <w:spacing w:before="0" w:line="240" w:lineRule="auto"/>
              <w:ind w:left="176" w:hanging="176"/>
              <w:jc w:val="left"/>
              <w:rPr>
                <w:rFonts w:asciiTheme="minorHAnsi" w:hAnsiTheme="minorHAnsi"/>
                <w:bCs/>
                <w:color w:val="000000"/>
                <w:sz w:val="16"/>
                <w:szCs w:val="18"/>
              </w:rPr>
            </w:pPr>
            <w:r>
              <w:rPr>
                <w:rFonts w:asciiTheme="minorHAnsi" w:hAnsiTheme="minorHAnsi"/>
                <w:bCs/>
                <w:color w:val="000000"/>
                <w:sz w:val="16"/>
                <w:szCs w:val="18"/>
              </w:rPr>
              <w:t xml:space="preserve">Feel they </w:t>
            </w:r>
            <w:r w:rsidR="00310EB8" w:rsidRPr="00AF3A24">
              <w:rPr>
                <w:rFonts w:asciiTheme="minorHAnsi" w:hAnsiTheme="minorHAnsi"/>
                <w:bCs/>
                <w:color w:val="000000"/>
                <w:sz w:val="16"/>
                <w:szCs w:val="18"/>
              </w:rPr>
              <w:t>might have a problem with gambling</w:t>
            </w:r>
          </w:p>
        </w:tc>
        <w:tc>
          <w:tcPr>
            <w:tcW w:w="851" w:type="dxa"/>
            <w:tcBorders>
              <w:top w:val="nil"/>
              <w:bottom w:val="nil"/>
            </w:tcBorders>
            <w:shd w:val="clear" w:color="auto" w:fill="DAEEF3" w:themeFill="accent5" w:themeFillTint="33"/>
            <w:vAlign w:val="center"/>
          </w:tcPr>
          <w:p w14:paraId="3B6AB1ED"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122</w:t>
            </w:r>
          </w:p>
        </w:tc>
        <w:tc>
          <w:tcPr>
            <w:tcW w:w="1275" w:type="dxa"/>
            <w:tcBorders>
              <w:top w:val="nil"/>
              <w:bottom w:val="nil"/>
            </w:tcBorders>
            <w:shd w:val="clear" w:color="auto" w:fill="DAEEF3" w:themeFill="accent5" w:themeFillTint="33"/>
            <w:vAlign w:val="center"/>
          </w:tcPr>
          <w:p w14:paraId="0738A7C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0.9</w:t>
            </w:r>
            <w:r w:rsidRPr="00AF3A24">
              <w:rPr>
                <w:rFonts w:asciiTheme="minorHAnsi" w:hAnsiTheme="minorHAnsi"/>
                <w:bCs/>
                <w:color w:val="000000"/>
                <w:sz w:val="16"/>
                <w:szCs w:val="18"/>
              </w:rPr>
              <w:br/>
              <w:t>(0.7 - 1.1)</w:t>
            </w:r>
          </w:p>
        </w:tc>
        <w:tc>
          <w:tcPr>
            <w:tcW w:w="1276" w:type="dxa"/>
            <w:tcBorders>
              <w:top w:val="nil"/>
              <w:left w:val="single" w:sz="4" w:space="0" w:color="auto"/>
              <w:bottom w:val="nil"/>
            </w:tcBorders>
            <w:shd w:val="clear" w:color="auto" w:fill="DAEEF3" w:themeFill="accent5" w:themeFillTint="33"/>
            <w:vAlign w:val="center"/>
          </w:tcPr>
          <w:p w14:paraId="2389D04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1.6</w:t>
            </w:r>
            <w:r w:rsidRPr="00AF3A24">
              <w:rPr>
                <w:rFonts w:asciiTheme="minorHAnsi" w:hAnsiTheme="minorHAnsi"/>
                <w:bCs/>
                <w:color w:val="000000"/>
                <w:sz w:val="16"/>
                <w:szCs w:val="18"/>
              </w:rPr>
              <w:br/>
              <w:t>(1.3 - 2.0)</w:t>
            </w:r>
          </w:p>
        </w:tc>
        <w:tc>
          <w:tcPr>
            <w:tcW w:w="1701" w:type="dxa"/>
            <w:tcBorders>
              <w:top w:val="nil"/>
              <w:left w:val="nil"/>
              <w:bottom w:val="nil"/>
            </w:tcBorders>
            <w:shd w:val="clear" w:color="auto" w:fill="DAEEF3" w:themeFill="accent5" w:themeFillTint="33"/>
            <w:vAlign w:val="center"/>
          </w:tcPr>
          <w:p w14:paraId="790893E6"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30,400</w:t>
            </w:r>
            <w:r w:rsidRPr="00AF3A24">
              <w:rPr>
                <w:rFonts w:asciiTheme="minorHAnsi" w:hAnsiTheme="minorHAnsi"/>
                <w:bCs/>
                <w:color w:val="000000"/>
                <w:sz w:val="16"/>
                <w:szCs w:val="18"/>
              </w:rPr>
              <w:br/>
              <w:t>(23,400 - 37,500)</w:t>
            </w:r>
          </w:p>
        </w:tc>
      </w:tr>
      <w:tr w:rsidR="00310EB8" w:rsidRPr="00AF3A24" w14:paraId="33601D53" w14:textId="77777777" w:rsidTr="0018575D">
        <w:trPr>
          <w:jc w:val="center"/>
        </w:trPr>
        <w:tc>
          <w:tcPr>
            <w:tcW w:w="1835" w:type="dxa"/>
            <w:tcBorders>
              <w:top w:val="nil"/>
              <w:bottom w:val="nil"/>
            </w:tcBorders>
            <w:shd w:val="clear" w:color="auto" w:fill="DAEEF3" w:themeFill="accent5" w:themeFillTint="33"/>
            <w:vAlign w:val="center"/>
          </w:tcPr>
          <w:p w14:paraId="11FB174A"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Criticism</w:t>
            </w:r>
          </w:p>
        </w:tc>
        <w:tc>
          <w:tcPr>
            <w:tcW w:w="3016" w:type="dxa"/>
            <w:tcBorders>
              <w:top w:val="nil"/>
              <w:bottom w:val="nil"/>
            </w:tcBorders>
            <w:shd w:val="clear" w:color="auto" w:fill="DAEEF3" w:themeFill="accent5" w:themeFillTint="33"/>
            <w:vAlign w:val="center"/>
          </w:tcPr>
          <w:p w14:paraId="68B93ADC"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Other people criticising gambling</w:t>
            </w:r>
          </w:p>
        </w:tc>
        <w:tc>
          <w:tcPr>
            <w:tcW w:w="851" w:type="dxa"/>
            <w:tcBorders>
              <w:top w:val="nil"/>
              <w:bottom w:val="nil"/>
            </w:tcBorders>
            <w:shd w:val="clear" w:color="auto" w:fill="DAEEF3" w:themeFill="accent5" w:themeFillTint="33"/>
            <w:vAlign w:val="center"/>
          </w:tcPr>
          <w:p w14:paraId="251406F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114</w:t>
            </w:r>
          </w:p>
        </w:tc>
        <w:tc>
          <w:tcPr>
            <w:tcW w:w="1275" w:type="dxa"/>
            <w:tcBorders>
              <w:top w:val="nil"/>
              <w:bottom w:val="nil"/>
            </w:tcBorders>
            <w:shd w:val="clear" w:color="auto" w:fill="DAEEF3" w:themeFill="accent5" w:themeFillTint="33"/>
            <w:vAlign w:val="center"/>
          </w:tcPr>
          <w:p w14:paraId="0C5C84B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0.9</w:t>
            </w:r>
            <w:r w:rsidRPr="00AF3A24">
              <w:rPr>
                <w:rFonts w:asciiTheme="minorHAnsi" w:hAnsiTheme="minorHAnsi"/>
                <w:bCs/>
                <w:color w:val="000000"/>
                <w:sz w:val="16"/>
                <w:szCs w:val="18"/>
              </w:rPr>
              <w:br/>
              <w:t>(0.7 - 1.1)</w:t>
            </w:r>
          </w:p>
        </w:tc>
        <w:tc>
          <w:tcPr>
            <w:tcW w:w="1276" w:type="dxa"/>
            <w:tcBorders>
              <w:top w:val="nil"/>
              <w:left w:val="single" w:sz="4" w:space="0" w:color="auto"/>
              <w:bottom w:val="nil"/>
            </w:tcBorders>
            <w:shd w:val="clear" w:color="auto" w:fill="DAEEF3" w:themeFill="accent5" w:themeFillTint="33"/>
            <w:vAlign w:val="center"/>
          </w:tcPr>
          <w:p w14:paraId="545CC097"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1.8</w:t>
            </w:r>
            <w:r w:rsidRPr="00AF3A24">
              <w:rPr>
                <w:rFonts w:asciiTheme="minorHAnsi" w:hAnsiTheme="minorHAnsi"/>
                <w:bCs/>
                <w:color w:val="000000"/>
                <w:sz w:val="16"/>
                <w:szCs w:val="18"/>
              </w:rPr>
              <w:br/>
              <w:t>(1.4 - 2.2)</w:t>
            </w:r>
          </w:p>
        </w:tc>
        <w:tc>
          <w:tcPr>
            <w:tcW w:w="1701" w:type="dxa"/>
            <w:tcBorders>
              <w:top w:val="nil"/>
              <w:left w:val="nil"/>
              <w:bottom w:val="nil"/>
            </w:tcBorders>
            <w:shd w:val="clear" w:color="auto" w:fill="DAEEF3" w:themeFill="accent5" w:themeFillTint="33"/>
            <w:vAlign w:val="center"/>
          </w:tcPr>
          <w:p w14:paraId="055545B6"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32,900</w:t>
            </w:r>
            <w:r w:rsidRPr="00AF3A24">
              <w:rPr>
                <w:rFonts w:asciiTheme="minorHAnsi" w:hAnsiTheme="minorHAnsi"/>
                <w:bCs/>
                <w:color w:val="000000"/>
                <w:sz w:val="16"/>
                <w:szCs w:val="18"/>
              </w:rPr>
              <w:br/>
              <w:t>(25,500 - 40,300)</w:t>
            </w:r>
          </w:p>
        </w:tc>
      </w:tr>
      <w:tr w:rsidR="00310EB8" w:rsidRPr="00AF3A24" w14:paraId="13AB3C8B" w14:textId="77777777" w:rsidTr="0018575D">
        <w:trPr>
          <w:jc w:val="center"/>
        </w:trPr>
        <w:tc>
          <w:tcPr>
            <w:tcW w:w="1835" w:type="dxa"/>
            <w:tcBorders>
              <w:top w:val="nil"/>
              <w:bottom w:val="nil"/>
            </w:tcBorders>
            <w:shd w:val="clear" w:color="auto" w:fill="DAEEF3" w:themeFill="accent5" w:themeFillTint="33"/>
            <w:vAlign w:val="center"/>
          </w:tcPr>
          <w:p w14:paraId="0951DA90" w14:textId="77777777" w:rsidR="00310EB8" w:rsidRPr="00AF3A24" w:rsidRDefault="00310EB8" w:rsidP="0018575D">
            <w:pPr>
              <w:spacing w:before="0" w:line="240" w:lineRule="auto"/>
              <w:ind w:left="168" w:hanging="90"/>
              <w:jc w:val="left"/>
              <w:rPr>
                <w:rFonts w:asciiTheme="minorHAnsi" w:hAnsiTheme="minorHAnsi" w:cstheme="minorHAnsi"/>
                <w:b/>
                <w:sz w:val="16"/>
                <w:szCs w:val="18"/>
              </w:rPr>
            </w:pPr>
            <w:r w:rsidRPr="00AF3A24">
              <w:rPr>
                <w:rFonts w:asciiTheme="minorHAnsi" w:hAnsiTheme="minorHAnsi" w:cstheme="minorHAnsi"/>
                <w:b/>
                <w:sz w:val="16"/>
                <w:szCs w:val="18"/>
              </w:rPr>
              <w:t>Negative effects on health</w:t>
            </w:r>
          </w:p>
        </w:tc>
        <w:tc>
          <w:tcPr>
            <w:tcW w:w="3016" w:type="dxa"/>
            <w:tcBorders>
              <w:top w:val="nil"/>
              <w:bottom w:val="nil"/>
            </w:tcBorders>
            <w:shd w:val="clear" w:color="auto" w:fill="DAEEF3" w:themeFill="accent5" w:themeFillTint="33"/>
            <w:vAlign w:val="center"/>
          </w:tcPr>
          <w:p w14:paraId="243A7EE3"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Gambling causing health problems including stress or anxiety</w:t>
            </w:r>
          </w:p>
        </w:tc>
        <w:tc>
          <w:tcPr>
            <w:tcW w:w="851" w:type="dxa"/>
            <w:tcBorders>
              <w:top w:val="nil"/>
              <w:bottom w:val="nil"/>
            </w:tcBorders>
            <w:shd w:val="clear" w:color="auto" w:fill="DAEEF3" w:themeFill="accent5" w:themeFillTint="33"/>
            <w:vAlign w:val="center"/>
          </w:tcPr>
          <w:p w14:paraId="73228342"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83</w:t>
            </w:r>
          </w:p>
        </w:tc>
        <w:tc>
          <w:tcPr>
            <w:tcW w:w="1275" w:type="dxa"/>
            <w:tcBorders>
              <w:top w:val="nil"/>
              <w:bottom w:val="nil"/>
            </w:tcBorders>
            <w:shd w:val="clear" w:color="auto" w:fill="DAEEF3" w:themeFill="accent5" w:themeFillTint="33"/>
            <w:vAlign w:val="center"/>
          </w:tcPr>
          <w:p w14:paraId="0E126F0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0.5</w:t>
            </w:r>
            <w:r w:rsidRPr="00AF3A24">
              <w:rPr>
                <w:rFonts w:asciiTheme="minorHAnsi" w:hAnsiTheme="minorHAnsi"/>
                <w:bCs/>
                <w:color w:val="000000"/>
                <w:sz w:val="16"/>
                <w:szCs w:val="18"/>
              </w:rPr>
              <w:br/>
              <w:t>(0.4 - 0.7)</w:t>
            </w:r>
          </w:p>
        </w:tc>
        <w:tc>
          <w:tcPr>
            <w:tcW w:w="1276" w:type="dxa"/>
            <w:tcBorders>
              <w:top w:val="nil"/>
              <w:left w:val="single" w:sz="4" w:space="0" w:color="auto"/>
              <w:bottom w:val="nil"/>
            </w:tcBorders>
            <w:shd w:val="clear" w:color="auto" w:fill="DAEEF3" w:themeFill="accent5" w:themeFillTint="33"/>
            <w:vAlign w:val="center"/>
          </w:tcPr>
          <w:p w14:paraId="743ABA68"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w:t>
            </w:r>
            <w:r w:rsidRPr="00AF3A24">
              <w:rPr>
                <w:rFonts w:asciiTheme="minorHAnsi" w:hAnsiTheme="minorHAnsi"/>
                <w:bCs/>
                <w:color w:val="000000"/>
                <w:sz w:val="16"/>
                <w:szCs w:val="18"/>
              </w:rPr>
              <w:br/>
              <w:t>(0.7 - 1.3)</w:t>
            </w:r>
          </w:p>
        </w:tc>
        <w:tc>
          <w:tcPr>
            <w:tcW w:w="1701" w:type="dxa"/>
            <w:tcBorders>
              <w:top w:val="nil"/>
              <w:left w:val="nil"/>
              <w:bottom w:val="nil"/>
            </w:tcBorders>
            <w:shd w:val="clear" w:color="auto" w:fill="DAEEF3" w:themeFill="accent5" w:themeFillTint="33"/>
            <w:vAlign w:val="center"/>
          </w:tcPr>
          <w:p w14:paraId="0C0E1794"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18,700</w:t>
            </w:r>
            <w:r w:rsidRPr="00AF3A24">
              <w:rPr>
                <w:rFonts w:asciiTheme="minorHAnsi" w:hAnsiTheme="minorHAnsi"/>
                <w:bCs/>
                <w:color w:val="000000"/>
                <w:sz w:val="16"/>
                <w:szCs w:val="18"/>
              </w:rPr>
              <w:br/>
              <w:t>(13,500 - 24,000)</w:t>
            </w:r>
          </w:p>
        </w:tc>
      </w:tr>
      <w:tr w:rsidR="00310EB8" w:rsidRPr="00AF3A24" w14:paraId="07D1F430" w14:textId="77777777" w:rsidTr="0018575D">
        <w:trPr>
          <w:jc w:val="center"/>
        </w:trPr>
        <w:tc>
          <w:tcPr>
            <w:tcW w:w="1835" w:type="dxa"/>
            <w:tcBorders>
              <w:top w:val="nil"/>
              <w:bottom w:val="nil"/>
            </w:tcBorders>
            <w:shd w:val="clear" w:color="auto" w:fill="DAEEF3" w:themeFill="accent5" w:themeFillTint="33"/>
            <w:vAlign w:val="center"/>
          </w:tcPr>
          <w:p w14:paraId="2B3E67AE" w14:textId="77777777" w:rsidR="00310EB8" w:rsidRPr="00AF3A24" w:rsidRDefault="001E4885" w:rsidP="00385C90">
            <w:pPr>
              <w:spacing w:before="0" w:line="240" w:lineRule="auto"/>
              <w:ind w:left="78"/>
              <w:jc w:val="left"/>
              <w:rPr>
                <w:rFonts w:asciiTheme="minorHAnsi" w:hAnsiTheme="minorHAnsi" w:cstheme="minorHAnsi"/>
                <w:b/>
                <w:sz w:val="16"/>
                <w:szCs w:val="18"/>
              </w:rPr>
            </w:pPr>
            <w:r>
              <w:rPr>
                <w:rFonts w:asciiTheme="minorHAnsi" w:hAnsiTheme="minorHAnsi" w:cstheme="minorHAnsi"/>
                <w:b/>
                <w:sz w:val="16"/>
                <w:szCs w:val="18"/>
              </w:rPr>
              <w:t>Tolerance</w:t>
            </w:r>
          </w:p>
        </w:tc>
        <w:tc>
          <w:tcPr>
            <w:tcW w:w="3016" w:type="dxa"/>
            <w:tcBorders>
              <w:top w:val="nil"/>
              <w:bottom w:val="nil"/>
            </w:tcBorders>
            <w:shd w:val="clear" w:color="auto" w:fill="DAEEF3" w:themeFill="accent5" w:themeFillTint="33"/>
            <w:vAlign w:val="center"/>
          </w:tcPr>
          <w:p w14:paraId="141C471F"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Needing to gamble with more money to get the same feeling of excitement</w:t>
            </w:r>
          </w:p>
        </w:tc>
        <w:tc>
          <w:tcPr>
            <w:tcW w:w="851" w:type="dxa"/>
            <w:tcBorders>
              <w:top w:val="nil"/>
              <w:bottom w:val="nil"/>
            </w:tcBorders>
            <w:shd w:val="clear" w:color="auto" w:fill="DAEEF3" w:themeFill="accent5" w:themeFillTint="33"/>
            <w:vAlign w:val="center"/>
          </w:tcPr>
          <w:p w14:paraId="1BE119A0"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80</w:t>
            </w:r>
          </w:p>
        </w:tc>
        <w:tc>
          <w:tcPr>
            <w:tcW w:w="1275" w:type="dxa"/>
            <w:tcBorders>
              <w:top w:val="nil"/>
              <w:bottom w:val="nil"/>
            </w:tcBorders>
            <w:shd w:val="clear" w:color="auto" w:fill="DAEEF3" w:themeFill="accent5" w:themeFillTint="33"/>
            <w:vAlign w:val="center"/>
          </w:tcPr>
          <w:p w14:paraId="25A0CCC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0.5</w:t>
            </w:r>
            <w:r w:rsidRPr="00AF3A24">
              <w:rPr>
                <w:rFonts w:asciiTheme="minorHAnsi" w:hAnsiTheme="minorHAnsi"/>
                <w:bCs/>
                <w:color w:val="000000"/>
                <w:sz w:val="16"/>
                <w:szCs w:val="18"/>
              </w:rPr>
              <w:br/>
              <w:t>(0.4 - 0.6)</w:t>
            </w:r>
          </w:p>
        </w:tc>
        <w:tc>
          <w:tcPr>
            <w:tcW w:w="1276" w:type="dxa"/>
            <w:tcBorders>
              <w:top w:val="nil"/>
              <w:left w:val="single" w:sz="4" w:space="0" w:color="auto"/>
              <w:bottom w:val="nil"/>
            </w:tcBorders>
            <w:shd w:val="clear" w:color="auto" w:fill="DAEEF3" w:themeFill="accent5" w:themeFillTint="33"/>
            <w:vAlign w:val="center"/>
          </w:tcPr>
          <w:p w14:paraId="24DD4E08"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w:t>
            </w:r>
            <w:r w:rsidRPr="00AF3A24">
              <w:rPr>
                <w:rFonts w:asciiTheme="minorHAnsi" w:hAnsiTheme="minorHAnsi"/>
                <w:bCs/>
                <w:color w:val="000000"/>
                <w:sz w:val="16"/>
                <w:szCs w:val="18"/>
              </w:rPr>
              <w:br/>
              <w:t>(0.7 - 1.2)</w:t>
            </w:r>
          </w:p>
        </w:tc>
        <w:tc>
          <w:tcPr>
            <w:tcW w:w="1701" w:type="dxa"/>
            <w:tcBorders>
              <w:top w:val="nil"/>
              <w:left w:val="nil"/>
              <w:bottom w:val="nil"/>
            </w:tcBorders>
            <w:shd w:val="clear" w:color="auto" w:fill="DAEEF3" w:themeFill="accent5" w:themeFillTint="33"/>
            <w:vAlign w:val="center"/>
          </w:tcPr>
          <w:p w14:paraId="59074AE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17,900</w:t>
            </w:r>
            <w:r w:rsidRPr="00AF3A24">
              <w:rPr>
                <w:rFonts w:asciiTheme="minorHAnsi" w:hAnsiTheme="minorHAnsi"/>
                <w:bCs/>
                <w:color w:val="000000"/>
                <w:sz w:val="16"/>
                <w:szCs w:val="18"/>
              </w:rPr>
              <w:br/>
              <w:t>(12,900 - 22,900)</w:t>
            </w:r>
          </w:p>
        </w:tc>
      </w:tr>
      <w:tr w:rsidR="00310EB8" w:rsidRPr="00AF3A24" w14:paraId="590292FC" w14:textId="77777777" w:rsidTr="0018575D">
        <w:trPr>
          <w:jc w:val="center"/>
        </w:trPr>
        <w:tc>
          <w:tcPr>
            <w:tcW w:w="1835" w:type="dxa"/>
            <w:tcBorders>
              <w:top w:val="nil"/>
              <w:bottom w:val="nil"/>
            </w:tcBorders>
            <w:shd w:val="clear" w:color="auto" w:fill="DAEEF3" w:themeFill="accent5" w:themeFillTint="33"/>
            <w:vAlign w:val="center"/>
          </w:tcPr>
          <w:p w14:paraId="1C918E9C"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Financial problems</w:t>
            </w:r>
          </w:p>
        </w:tc>
        <w:tc>
          <w:tcPr>
            <w:tcW w:w="3016" w:type="dxa"/>
            <w:tcBorders>
              <w:top w:val="nil"/>
              <w:bottom w:val="nil"/>
            </w:tcBorders>
            <w:shd w:val="clear" w:color="auto" w:fill="DAEEF3" w:themeFill="accent5" w:themeFillTint="33"/>
            <w:vAlign w:val="center"/>
          </w:tcPr>
          <w:p w14:paraId="1718C0DB"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Gambling causing financial problems for oneself or household</w:t>
            </w:r>
          </w:p>
        </w:tc>
        <w:tc>
          <w:tcPr>
            <w:tcW w:w="851" w:type="dxa"/>
            <w:tcBorders>
              <w:top w:val="nil"/>
              <w:bottom w:val="nil"/>
            </w:tcBorders>
            <w:shd w:val="clear" w:color="auto" w:fill="DAEEF3" w:themeFill="accent5" w:themeFillTint="33"/>
            <w:vAlign w:val="center"/>
          </w:tcPr>
          <w:p w14:paraId="2BAB3E4B"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79</w:t>
            </w:r>
          </w:p>
        </w:tc>
        <w:tc>
          <w:tcPr>
            <w:tcW w:w="1275" w:type="dxa"/>
            <w:tcBorders>
              <w:top w:val="nil"/>
              <w:bottom w:val="nil"/>
            </w:tcBorders>
            <w:shd w:val="clear" w:color="auto" w:fill="DAEEF3" w:themeFill="accent5" w:themeFillTint="33"/>
            <w:vAlign w:val="center"/>
          </w:tcPr>
          <w:p w14:paraId="63818794"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0.5</w:t>
            </w:r>
            <w:r w:rsidRPr="00AF3A24">
              <w:rPr>
                <w:rFonts w:asciiTheme="minorHAnsi" w:hAnsiTheme="minorHAnsi"/>
                <w:bCs/>
                <w:color w:val="000000"/>
                <w:sz w:val="16"/>
                <w:szCs w:val="18"/>
              </w:rPr>
              <w:br/>
              <w:t>(0.3 - 0.6)</w:t>
            </w:r>
          </w:p>
        </w:tc>
        <w:tc>
          <w:tcPr>
            <w:tcW w:w="1276" w:type="dxa"/>
            <w:tcBorders>
              <w:top w:val="nil"/>
              <w:left w:val="single" w:sz="4" w:space="0" w:color="auto"/>
              <w:bottom w:val="nil"/>
            </w:tcBorders>
            <w:shd w:val="clear" w:color="auto" w:fill="DAEEF3" w:themeFill="accent5" w:themeFillTint="33"/>
            <w:vAlign w:val="center"/>
          </w:tcPr>
          <w:p w14:paraId="7B3B2BC7"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0.9</w:t>
            </w:r>
            <w:r w:rsidRPr="00AF3A24">
              <w:rPr>
                <w:rFonts w:asciiTheme="minorHAnsi" w:hAnsiTheme="minorHAnsi"/>
                <w:bCs/>
                <w:color w:val="000000"/>
                <w:sz w:val="16"/>
                <w:szCs w:val="18"/>
              </w:rPr>
              <w:br/>
              <w:t>(0.7 - 1.2)</w:t>
            </w:r>
          </w:p>
        </w:tc>
        <w:tc>
          <w:tcPr>
            <w:tcW w:w="1701" w:type="dxa"/>
            <w:tcBorders>
              <w:top w:val="nil"/>
              <w:left w:val="nil"/>
              <w:bottom w:val="nil"/>
            </w:tcBorders>
            <w:shd w:val="clear" w:color="auto" w:fill="DAEEF3" w:themeFill="accent5" w:themeFillTint="33"/>
            <w:vAlign w:val="center"/>
          </w:tcPr>
          <w:p w14:paraId="280B6A87"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16,900</w:t>
            </w:r>
            <w:r w:rsidRPr="00AF3A24">
              <w:rPr>
                <w:rFonts w:asciiTheme="minorHAnsi" w:hAnsiTheme="minorHAnsi"/>
                <w:bCs/>
                <w:color w:val="000000"/>
                <w:sz w:val="16"/>
                <w:szCs w:val="18"/>
              </w:rPr>
              <w:br/>
              <w:t>(12,200 - 21,600)</w:t>
            </w:r>
          </w:p>
        </w:tc>
      </w:tr>
      <w:tr w:rsidR="00310EB8" w:rsidRPr="00AF3A24" w14:paraId="578CEBAF" w14:textId="77777777" w:rsidTr="0018575D">
        <w:trPr>
          <w:jc w:val="center"/>
        </w:trPr>
        <w:tc>
          <w:tcPr>
            <w:tcW w:w="1835" w:type="dxa"/>
            <w:tcBorders>
              <w:top w:val="nil"/>
              <w:bottom w:val="single" w:sz="8" w:space="0" w:color="auto"/>
            </w:tcBorders>
            <w:shd w:val="clear" w:color="auto" w:fill="DAEEF3" w:themeFill="accent5" w:themeFillTint="33"/>
            <w:vAlign w:val="center"/>
          </w:tcPr>
          <w:p w14:paraId="52CDB47F" w14:textId="77777777" w:rsidR="00310EB8" w:rsidRPr="00AF3A24" w:rsidRDefault="00310EB8" w:rsidP="00385C90">
            <w:pPr>
              <w:spacing w:before="0" w:line="240" w:lineRule="auto"/>
              <w:ind w:left="78"/>
              <w:jc w:val="left"/>
              <w:rPr>
                <w:rFonts w:asciiTheme="minorHAnsi" w:hAnsiTheme="minorHAnsi" w:cstheme="minorHAnsi"/>
                <w:b/>
                <w:sz w:val="16"/>
                <w:szCs w:val="18"/>
              </w:rPr>
            </w:pPr>
            <w:r w:rsidRPr="00AF3A24">
              <w:rPr>
                <w:rFonts w:asciiTheme="minorHAnsi" w:hAnsiTheme="minorHAnsi" w:cstheme="minorHAnsi"/>
                <w:b/>
                <w:sz w:val="16"/>
                <w:szCs w:val="18"/>
              </w:rPr>
              <w:t>Borrowing</w:t>
            </w:r>
          </w:p>
        </w:tc>
        <w:tc>
          <w:tcPr>
            <w:tcW w:w="3016" w:type="dxa"/>
            <w:tcBorders>
              <w:top w:val="nil"/>
              <w:bottom w:val="single" w:sz="8" w:space="0" w:color="auto"/>
            </w:tcBorders>
            <w:shd w:val="clear" w:color="auto" w:fill="DAEEF3" w:themeFill="accent5" w:themeFillTint="33"/>
            <w:vAlign w:val="center"/>
          </w:tcPr>
          <w:p w14:paraId="38925C01" w14:textId="77777777" w:rsidR="00310EB8" w:rsidRPr="00AF3A24" w:rsidRDefault="00310EB8" w:rsidP="0018575D">
            <w:pPr>
              <w:spacing w:before="0" w:line="240" w:lineRule="auto"/>
              <w:ind w:left="176" w:hanging="176"/>
              <w:jc w:val="left"/>
              <w:rPr>
                <w:rFonts w:asciiTheme="minorHAnsi" w:hAnsiTheme="minorHAnsi"/>
                <w:bCs/>
                <w:color w:val="000000"/>
                <w:sz w:val="16"/>
                <w:szCs w:val="18"/>
              </w:rPr>
            </w:pPr>
            <w:r w:rsidRPr="00AF3A24">
              <w:rPr>
                <w:rFonts w:asciiTheme="minorHAnsi" w:hAnsiTheme="minorHAnsi"/>
                <w:bCs/>
                <w:color w:val="000000"/>
                <w:sz w:val="16"/>
                <w:szCs w:val="18"/>
              </w:rPr>
              <w:t>Borrowing money or selling items to get money to gamble</w:t>
            </w:r>
          </w:p>
        </w:tc>
        <w:tc>
          <w:tcPr>
            <w:tcW w:w="851" w:type="dxa"/>
            <w:tcBorders>
              <w:top w:val="nil"/>
              <w:bottom w:val="single" w:sz="8" w:space="0" w:color="auto"/>
            </w:tcBorders>
            <w:shd w:val="clear" w:color="auto" w:fill="DAEEF3" w:themeFill="accent5" w:themeFillTint="33"/>
            <w:vAlign w:val="center"/>
          </w:tcPr>
          <w:p w14:paraId="61E07378"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40</w:t>
            </w:r>
          </w:p>
        </w:tc>
        <w:tc>
          <w:tcPr>
            <w:tcW w:w="1275" w:type="dxa"/>
            <w:tcBorders>
              <w:top w:val="nil"/>
              <w:bottom w:val="single" w:sz="8" w:space="0" w:color="auto"/>
            </w:tcBorders>
            <w:shd w:val="clear" w:color="auto" w:fill="DAEEF3" w:themeFill="accent5" w:themeFillTint="33"/>
            <w:vAlign w:val="center"/>
          </w:tcPr>
          <w:p w14:paraId="7ABAAC04"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0.3</w:t>
            </w:r>
            <w:r w:rsidRPr="00AF3A24">
              <w:rPr>
                <w:rFonts w:asciiTheme="minorHAnsi" w:hAnsiTheme="minorHAnsi"/>
                <w:bCs/>
                <w:color w:val="000000"/>
                <w:sz w:val="16"/>
                <w:szCs w:val="18"/>
              </w:rPr>
              <w:br/>
              <w:t>(0.2 - 0.4)</w:t>
            </w:r>
          </w:p>
        </w:tc>
        <w:tc>
          <w:tcPr>
            <w:tcW w:w="1276" w:type="dxa"/>
            <w:tcBorders>
              <w:top w:val="nil"/>
              <w:left w:val="single" w:sz="4" w:space="0" w:color="auto"/>
              <w:bottom w:val="single" w:sz="8" w:space="0" w:color="auto"/>
            </w:tcBorders>
            <w:shd w:val="clear" w:color="auto" w:fill="DAEEF3" w:themeFill="accent5" w:themeFillTint="33"/>
            <w:vAlign w:val="center"/>
          </w:tcPr>
          <w:p w14:paraId="66660518"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0.6</w:t>
            </w:r>
            <w:r w:rsidRPr="00AF3A24">
              <w:rPr>
                <w:rFonts w:asciiTheme="minorHAnsi" w:hAnsiTheme="minorHAnsi"/>
                <w:bCs/>
                <w:color w:val="000000"/>
                <w:sz w:val="16"/>
                <w:szCs w:val="18"/>
              </w:rPr>
              <w:br/>
              <w:t>(0.4 - 0.8)</w:t>
            </w:r>
          </w:p>
        </w:tc>
        <w:tc>
          <w:tcPr>
            <w:tcW w:w="1701" w:type="dxa"/>
            <w:tcBorders>
              <w:top w:val="nil"/>
              <w:left w:val="nil"/>
              <w:bottom w:val="single" w:sz="8" w:space="0" w:color="auto"/>
            </w:tcBorders>
            <w:shd w:val="clear" w:color="auto" w:fill="DAEEF3" w:themeFill="accent5" w:themeFillTint="33"/>
            <w:vAlign w:val="center"/>
          </w:tcPr>
          <w:p w14:paraId="72DE5C6E" w14:textId="77777777" w:rsidR="00310EB8" w:rsidRPr="00AF3A24" w:rsidRDefault="00310EB8" w:rsidP="00385C90">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10,900</w:t>
            </w:r>
            <w:r w:rsidRPr="00AF3A24">
              <w:rPr>
                <w:rFonts w:asciiTheme="minorHAnsi" w:hAnsiTheme="minorHAnsi"/>
                <w:bCs/>
                <w:color w:val="000000"/>
                <w:sz w:val="16"/>
                <w:szCs w:val="18"/>
              </w:rPr>
              <w:br/>
              <w:t>(6,500 - 15,300)</w:t>
            </w:r>
          </w:p>
        </w:tc>
      </w:tr>
    </w:tbl>
    <w:p w14:paraId="543A7F00" w14:textId="77777777" w:rsidR="00310EB8" w:rsidRPr="00AF3A24" w:rsidRDefault="00310EB8" w:rsidP="00310EB8">
      <w:pPr>
        <w:spacing w:before="0" w:line="240" w:lineRule="auto"/>
        <w:ind w:left="993"/>
        <w:rPr>
          <w:rFonts w:asciiTheme="minorHAnsi" w:hAnsiTheme="minorHAnsi" w:cstheme="minorHAnsi"/>
          <w:sz w:val="16"/>
        </w:rPr>
      </w:pPr>
      <w:r w:rsidRPr="00AF3A24">
        <w:rPr>
          <w:rFonts w:asciiTheme="minorHAnsi" w:hAnsiTheme="minorHAnsi" w:cstheme="minorHAnsi"/>
          <w:sz w:val="16"/>
        </w:rPr>
        <w:t>Notes:</w:t>
      </w:r>
    </w:p>
    <w:p w14:paraId="63270873" w14:textId="77777777" w:rsidR="00310EB8" w:rsidRDefault="00310EB8" w:rsidP="00D75319">
      <w:pPr>
        <w:pStyle w:val="ListParagraph"/>
        <w:numPr>
          <w:ilvl w:val="0"/>
          <w:numId w:val="19"/>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6B7C21BB" w14:textId="77777777" w:rsidR="005E272D" w:rsidRPr="005E272D" w:rsidRDefault="005E272D" w:rsidP="00D75319">
      <w:pPr>
        <w:pStyle w:val="ListParagraph"/>
        <w:numPr>
          <w:ilvl w:val="0"/>
          <w:numId w:val="19"/>
        </w:numPr>
        <w:spacing w:line="240" w:lineRule="auto"/>
        <w:rPr>
          <w:rFonts w:asciiTheme="minorHAnsi" w:hAnsiTheme="minorHAnsi" w:cstheme="minorHAnsi"/>
          <w:sz w:val="16"/>
        </w:rPr>
      </w:pPr>
      <w:r>
        <w:rPr>
          <w:rFonts w:asciiTheme="minorHAnsi" w:hAnsiTheme="minorHAnsi" w:cstheme="minorHAnsi"/>
          <w:sz w:val="16"/>
        </w:rPr>
        <w:t>Estimated number of people has been calculated using New Zealand 2006 Census data.</w:t>
      </w:r>
    </w:p>
    <w:p w14:paraId="1426E9BD" w14:textId="77777777" w:rsidR="00892A15" w:rsidRDefault="00892A15" w:rsidP="007E2FC5">
      <w:pPr>
        <w:rPr>
          <w:rFonts w:asciiTheme="minorHAnsi" w:hAnsiTheme="minorHAnsi"/>
        </w:rPr>
      </w:pPr>
    </w:p>
    <w:p w14:paraId="33E1B33B" w14:textId="77777777" w:rsidR="000E767E" w:rsidRDefault="00C74DFD" w:rsidP="007E2FC5">
      <w:pPr>
        <w:rPr>
          <w:rFonts w:asciiTheme="minorHAnsi" w:hAnsiTheme="minorHAnsi"/>
        </w:rPr>
      </w:pPr>
      <w:r>
        <w:rPr>
          <w:rFonts w:asciiTheme="minorHAnsi" w:hAnsiTheme="minorHAnsi"/>
        </w:rPr>
        <w:t>Table 12</w:t>
      </w:r>
      <w:r w:rsidR="00D02748">
        <w:rPr>
          <w:rFonts w:asciiTheme="minorHAnsi" w:hAnsiTheme="minorHAnsi"/>
        </w:rPr>
        <w:t xml:space="preserve"> provides prevalence rates of the PGSI categorisation for total adults, past-year gamblers, and the estimated number of people.  It </w:t>
      </w:r>
      <w:r w:rsidR="008750BD">
        <w:rPr>
          <w:rFonts w:asciiTheme="minorHAnsi" w:hAnsiTheme="minorHAnsi"/>
        </w:rPr>
        <w:t>show</w:t>
      </w:r>
      <w:r w:rsidR="00D02748">
        <w:rPr>
          <w:rFonts w:asciiTheme="minorHAnsi" w:hAnsiTheme="minorHAnsi"/>
        </w:rPr>
        <w:t>s that</w:t>
      </w:r>
      <w:r w:rsidR="008750BD">
        <w:rPr>
          <w:rFonts w:asciiTheme="minorHAnsi" w:hAnsiTheme="minorHAnsi"/>
        </w:rPr>
        <w:t xml:space="preserve"> </w:t>
      </w:r>
      <w:r w:rsidR="00AF3A24" w:rsidRPr="00AF3A24">
        <w:rPr>
          <w:rFonts w:asciiTheme="minorHAnsi" w:hAnsiTheme="minorHAnsi"/>
        </w:rPr>
        <w:t>0.2%</w:t>
      </w:r>
      <w:r w:rsidR="00AF3A24">
        <w:rPr>
          <w:rFonts w:asciiTheme="minorHAnsi" w:hAnsiTheme="minorHAnsi"/>
        </w:rPr>
        <w:t xml:space="preserve"> </w:t>
      </w:r>
      <w:r w:rsidR="00AF3A24" w:rsidRPr="00AF3A24">
        <w:rPr>
          <w:rFonts w:asciiTheme="minorHAnsi" w:hAnsiTheme="minorHAnsi"/>
        </w:rPr>
        <w:t xml:space="preserve">of participants </w:t>
      </w:r>
      <w:r w:rsidR="00AF3A24">
        <w:rPr>
          <w:rFonts w:asciiTheme="minorHAnsi" w:hAnsiTheme="minorHAnsi"/>
        </w:rPr>
        <w:t>satisfied the</w:t>
      </w:r>
      <w:r w:rsidR="008750BD">
        <w:rPr>
          <w:rFonts w:asciiTheme="minorHAnsi" w:hAnsiTheme="minorHAnsi"/>
        </w:rPr>
        <w:t xml:space="preserve"> PGSI</w:t>
      </w:r>
      <w:r w:rsidR="00AF3A24" w:rsidRPr="00AF3A24">
        <w:rPr>
          <w:rFonts w:asciiTheme="minorHAnsi" w:hAnsiTheme="minorHAnsi"/>
        </w:rPr>
        <w:t xml:space="preserve"> </w:t>
      </w:r>
      <w:r w:rsidR="00AF3A24">
        <w:rPr>
          <w:rFonts w:asciiTheme="minorHAnsi" w:hAnsiTheme="minorHAnsi"/>
        </w:rPr>
        <w:t xml:space="preserve">criteria for problem gambling. </w:t>
      </w:r>
      <w:r w:rsidR="008750BD">
        <w:rPr>
          <w:rFonts w:asciiTheme="minorHAnsi" w:hAnsiTheme="minorHAnsi"/>
        </w:rPr>
        <w:t xml:space="preserve"> </w:t>
      </w:r>
      <w:r w:rsidR="00AF3A24">
        <w:rPr>
          <w:rFonts w:asciiTheme="minorHAnsi" w:hAnsiTheme="minorHAnsi"/>
        </w:rPr>
        <w:t>This equates to an estimate</w:t>
      </w:r>
      <w:r w:rsidR="008750BD">
        <w:rPr>
          <w:rFonts w:asciiTheme="minorHAnsi" w:hAnsiTheme="minorHAnsi"/>
        </w:rPr>
        <w:t>d</w:t>
      </w:r>
      <w:r w:rsidR="00AF3A24">
        <w:rPr>
          <w:rFonts w:asciiTheme="minorHAnsi" w:hAnsiTheme="minorHAnsi"/>
        </w:rPr>
        <w:t xml:space="preserve"> 8,100 </w:t>
      </w:r>
      <w:r w:rsidR="008750BD">
        <w:rPr>
          <w:rFonts w:asciiTheme="minorHAnsi" w:hAnsiTheme="minorHAnsi"/>
        </w:rPr>
        <w:t>adults (a</w:t>
      </w:r>
      <w:r w:rsidR="003E070B">
        <w:rPr>
          <w:rFonts w:asciiTheme="minorHAnsi" w:hAnsiTheme="minorHAnsi"/>
        </w:rPr>
        <w:t>ged 15 years and over</w:t>
      </w:r>
      <w:r w:rsidR="008750BD">
        <w:rPr>
          <w:rFonts w:asciiTheme="minorHAnsi" w:hAnsiTheme="minorHAnsi"/>
        </w:rPr>
        <w:t>)</w:t>
      </w:r>
      <w:r w:rsidR="003E070B">
        <w:rPr>
          <w:rFonts w:asciiTheme="minorHAnsi" w:hAnsiTheme="minorHAnsi"/>
        </w:rPr>
        <w:t>.</w:t>
      </w:r>
      <w:r w:rsidR="008750BD">
        <w:rPr>
          <w:rFonts w:asciiTheme="minorHAnsi" w:hAnsiTheme="minorHAnsi"/>
        </w:rPr>
        <w:t xml:space="preserve"> </w:t>
      </w:r>
      <w:r w:rsidR="003E070B">
        <w:rPr>
          <w:rFonts w:asciiTheme="minorHAnsi" w:hAnsiTheme="minorHAnsi"/>
        </w:rPr>
        <w:t xml:space="preserve"> </w:t>
      </w:r>
      <w:r w:rsidR="000E767E">
        <w:rPr>
          <w:rFonts w:asciiTheme="minorHAnsi" w:hAnsiTheme="minorHAnsi"/>
        </w:rPr>
        <w:t xml:space="preserve">A further </w:t>
      </w:r>
      <w:r w:rsidR="005748EB">
        <w:rPr>
          <w:rFonts w:asciiTheme="minorHAnsi" w:hAnsiTheme="minorHAnsi"/>
        </w:rPr>
        <w:t>one percent</w:t>
      </w:r>
      <w:r w:rsidR="000E767E">
        <w:rPr>
          <w:rFonts w:asciiTheme="minorHAnsi" w:hAnsiTheme="minorHAnsi"/>
        </w:rPr>
        <w:t xml:space="preserve">, or 35,300 people, were </w:t>
      </w:r>
      <w:r w:rsidR="008750BD">
        <w:rPr>
          <w:rFonts w:asciiTheme="minorHAnsi" w:hAnsiTheme="minorHAnsi"/>
        </w:rPr>
        <w:t>categorised</w:t>
      </w:r>
      <w:r w:rsidR="000E767E">
        <w:rPr>
          <w:rFonts w:asciiTheme="minorHAnsi" w:hAnsiTheme="minorHAnsi"/>
        </w:rPr>
        <w:t xml:space="preserve"> as moderate-risk gamblers. This means that a total of 1.2% satisfied the criteria for </w:t>
      </w:r>
      <w:r w:rsidR="008750BD">
        <w:rPr>
          <w:rFonts w:asciiTheme="minorHAnsi" w:hAnsiTheme="minorHAnsi"/>
        </w:rPr>
        <w:t>moderate-risk/</w:t>
      </w:r>
      <w:r w:rsidR="000E767E">
        <w:rPr>
          <w:rFonts w:asciiTheme="minorHAnsi" w:hAnsiTheme="minorHAnsi"/>
        </w:rPr>
        <w:t xml:space="preserve">problem gambling in New Zealand; approximately 43,400 New Zealand adults are experiencing negative </w:t>
      </w:r>
      <w:r w:rsidR="00663918">
        <w:rPr>
          <w:rFonts w:asciiTheme="minorHAnsi" w:hAnsiTheme="minorHAnsi"/>
        </w:rPr>
        <w:t>consequences</w:t>
      </w:r>
      <w:r w:rsidR="000E767E">
        <w:rPr>
          <w:rFonts w:asciiTheme="minorHAnsi" w:hAnsiTheme="minorHAnsi"/>
        </w:rPr>
        <w:t xml:space="preserve"> as a result of their own gambling.  </w:t>
      </w:r>
    </w:p>
    <w:p w14:paraId="74A5A16B" w14:textId="77777777" w:rsidR="00AF3A24" w:rsidRPr="00AF3A24" w:rsidRDefault="00A77F09" w:rsidP="007E2FC5">
      <w:pPr>
        <w:rPr>
          <w:rFonts w:asciiTheme="minorHAnsi" w:hAnsiTheme="minorHAnsi"/>
        </w:rPr>
      </w:pPr>
      <w:r>
        <w:rPr>
          <w:rFonts w:asciiTheme="minorHAnsi" w:hAnsiTheme="minorHAnsi"/>
        </w:rPr>
        <w:t xml:space="preserve">An additional </w:t>
      </w:r>
      <w:r w:rsidR="00385C90">
        <w:rPr>
          <w:rFonts w:asciiTheme="minorHAnsi" w:hAnsiTheme="minorHAnsi"/>
        </w:rPr>
        <w:t>2</w:t>
      </w:r>
      <w:r w:rsidR="00131EDF">
        <w:rPr>
          <w:rFonts w:asciiTheme="minorHAnsi" w:hAnsiTheme="minorHAnsi"/>
        </w:rPr>
        <w:t>.0</w:t>
      </w:r>
      <w:r w:rsidR="00385C90">
        <w:rPr>
          <w:rFonts w:asciiTheme="minorHAnsi" w:hAnsiTheme="minorHAnsi"/>
        </w:rPr>
        <w:t xml:space="preserve">% </w:t>
      </w:r>
      <w:r w:rsidR="00D02748">
        <w:rPr>
          <w:rFonts w:asciiTheme="minorHAnsi" w:hAnsiTheme="minorHAnsi"/>
        </w:rPr>
        <w:t xml:space="preserve">of adults </w:t>
      </w:r>
      <w:r>
        <w:rPr>
          <w:rFonts w:asciiTheme="minorHAnsi" w:hAnsiTheme="minorHAnsi"/>
        </w:rPr>
        <w:t xml:space="preserve">were categorised as low-risk gamblers - meaning that a further 69,400 </w:t>
      </w:r>
      <w:r w:rsidR="008750BD">
        <w:rPr>
          <w:rFonts w:asciiTheme="minorHAnsi" w:hAnsiTheme="minorHAnsi"/>
        </w:rPr>
        <w:t>adults</w:t>
      </w:r>
      <w:r>
        <w:rPr>
          <w:rFonts w:asciiTheme="minorHAnsi" w:hAnsiTheme="minorHAnsi"/>
        </w:rPr>
        <w:t xml:space="preserve"> are experiencing low levels of problems </w:t>
      </w:r>
      <w:r w:rsidR="008750BD">
        <w:rPr>
          <w:rFonts w:asciiTheme="minorHAnsi" w:hAnsiTheme="minorHAnsi"/>
        </w:rPr>
        <w:t xml:space="preserve">associated </w:t>
      </w:r>
      <w:r>
        <w:rPr>
          <w:rFonts w:asciiTheme="minorHAnsi" w:hAnsiTheme="minorHAnsi"/>
        </w:rPr>
        <w:t xml:space="preserve">with </w:t>
      </w:r>
      <w:r w:rsidR="008750BD">
        <w:rPr>
          <w:rFonts w:asciiTheme="minorHAnsi" w:hAnsiTheme="minorHAnsi"/>
        </w:rPr>
        <w:t xml:space="preserve">their gambling. </w:t>
      </w:r>
      <w:r>
        <w:rPr>
          <w:rFonts w:asciiTheme="minorHAnsi" w:hAnsiTheme="minorHAnsi"/>
        </w:rPr>
        <w:t xml:space="preserve"> </w:t>
      </w:r>
      <w:r w:rsidR="00E216F5">
        <w:rPr>
          <w:rFonts w:asciiTheme="minorHAnsi" w:hAnsiTheme="minorHAnsi"/>
        </w:rPr>
        <w:t>This group are</w:t>
      </w:r>
      <w:r w:rsidR="00D02748">
        <w:rPr>
          <w:rFonts w:asciiTheme="minorHAnsi" w:hAnsiTheme="minorHAnsi"/>
        </w:rPr>
        <w:t xml:space="preserve"> potentially at-</w:t>
      </w:r>
      <w:r w:rsidR="00E216F5">
        <w:rPr>
          <w:rFonts w:asciiTheme="minorHAnsi" w:hAnsiTheme="minorHAnsi"/>
        </w:rPr>
        <w:t xml:space="preserve">risk of experiencing gambling related problems in the future. </w:t>
      </w:r>
    </w:p>
    <w:p w14:paraId="112E6E8D" w14:textId="77777777" w:rsidR="008731A1" w:rsidRDefault="008731A1">
      <w:pPr>
        <w:spacing w:before="0" w:after="200" w:line="276" w:lineRule="auto"/>
        <w:jc w:val="left"/>
        <w:rPr>
          <w:rFonts w:asciiTheme="minorHAnsi" w:hAnsiTheme="minorHAnsi"/>
          <w:b/>
          <w:bCs/>
          <w:i/>
          <w:sz w:val="20"/>
          <w:szCs w:val="20"/>
        </w:rPr>
      </w:pPr>
      <w:bookmarkStart w:id="92" w:name="_Ref396208143"/>
      <w:r>
        <w:rPr>
          <w:rFonts w:asciiTheme="minorHAnsi" w:hAnsiTheme="minorHAnsi"/>
          <w:i/>
        </w:rPr>
        <w:br w:type="page"/>
      </w:r>
    </w:p>
    <w:p w14:paraId="3D53C142" w14:textId="77777777" w:rsidR="00010D7D" w:rsidRPr="00AF3A24" w:rsidRDefault="00010D7D" w:rsidP="00010D7D">
      <w:pPr>
        <w:pStyle w:val="Caption"/>
        <w:keepNext/>
        <w:spacing w:line="276" w:lineRule="auto"/>
        <w:ind w:left="993" w:hanging="993"/>
        <w:rPr>
          <w:rFonts w:asciiTheme="minorHAnsi" w:hAnsiTheme="minorHAnsi" w:cstheme="minorHAnsi"/>
          <w:i/>
          <w:vertAlign w:val="superscript"/>
        </w:rPr>
      </w:pPr>
      <w:bookmarkStart w:id="93" w:name="_Toc425426879"/>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12</w:t>
      </w:r>
      <w:r w:rsidRPr="00AF3A24">
        <w:rPr>
          <w:rFonts w:asciiTheme="minorHAnsi" w:hAnsiTheme="minorHAnsi"/>
          <w:i/>
        </w:rPr>
        <w:fldChar w:fldCharType="end"/>
      </w:r>
      <w:bookmarkEnd w:id="92"/>
      <w:r w:rsidRPr="00AF3A24">
        <w:rPr>
          <w:rFonts w:asciiTheme="minorHAnsi" w:hAnsiTheme="minorHAnsi"/>
          <w:i/>
        </w:rPr>
        <w:t>:</w:t>
      </w:r>
      <w:r w:rsidR="00993864">
        <w:rPr>
          <w:rFonts w:asciiTheme="minorHAnsi" w:hAnsiTheme="minorHAnsi"/>
          <w:i/>
        </w:rPr>
        <w:t xml:space="preserve"> </w:t>
      </w:r>
      <w:r w:rsidR="00FB0414">
        <w:rPr>
          <w:rFonts w:asciiTheme="minorHAnsi" w:hAnsiTheme="minorHAnsi"/>
          <w:i/>
        </w:rPr>
        <w:tab/>
      </w:r>
      <w:r w:rsidRPr="00AF3A24">
        <w:rPr>
          <w:rFonts w:asciiTheme="minorHAnsi" w:hAnsiTheme="minorHAnsi" w:cstheme="minorHAnsi"/>
          <w:i/>
        </w:rPr>
        <w:t>Gambling Status</w:t>
      </w:r>
      <w:r w:rsidR="009B5BDF" w:rsidRPr="00AF3A24">
        <w:rPr>
          <w:rFonts w:asciiTheme="minorHAnsi" w:hAnsiTheme="minorHAnsi" w:cstheme="minorHAnsi"/>
          <w:i/>
        </w:rPr>
        <w:t xml:space="preserve"> (P</w:t>
      </w:r>
      <w:r w:rsidR="00431013" w:rsidRPr="00AF3A24">
        <w:rPr>
          <w:rFonts w:asciiTheme="minorHAnsi" w:hAnsiTheme="minorHAnsi" w:cstheme="minorHAnsi"/>
          <w:i/>
        </w:rPr>
        <w:t>GSI</w:t>
      </w:r>
      <w:r w:rsidR="009B5BDF" w:rsidRPr="00AF3A24">
        <w:rPr>
          <w:rFonts w:asciiTheme="minorHAnsi" w:hAnsiTheme="minorHAnsi" w:cstheme="minorHAnsi"/>
          <w:i/>
        </w:rPr>
        <w:t xml:space="preserve"> categorisation)</w:t>
      </w:r>
      <w:r w:rsidRPr="00AF3A24">
        <w:rPr>
          <w:rFonts w:asciiTheme="minorHAnsi" w:hAnsiTheme="minorHAnsi" w:cstheme="minorHAnsi"/>
          <w:i/>
        </w:rPr>
        <w:t xml:space="preserve">, total population aged 15 years and over (unadjusted prevalence) </w:t>
      </w:r>
      <w:r w:rsidRPr="00AF3A24">
        <w:rPr>
          <w:rFonts w:asciiTheme="minorHAnsi" w:hAnsiTheme="minorHAnsi" w:cstheme="minorHAnsi"/>
          <w:i/>
          <w:vertAlign w:val="superscript"/>
        </w:rPr>
        <w:t>1</w:t>
      </w:r>
      <w:bookmarkEnd w:id="93"/>
    </w:p>
    <w:tbl>
      <w:tblPr>
        <w:tblStyle w:val="TableGrid"/>
        <w:tblW w:w="0" w:type="auto"/>
        <w:jc w:val="center"/>
        <w:tblLook w:val="04A0" w:firstRow="1" w:lastRow="0" w:firstColumn="1" w:lastColumn="0" w:noHBand="0" w:noVBand="1"/>
      </w:tblPr>
      <w:tblGrid>
        <w:gridCol w:w="2826"/>
        <w:gridCol w:w="851"/>
        <w:gridCol w:w="1771"/>
        <w:gridCol w:w="1772"/>
        <w:gridCol w:w="2259"/>
      </w:tblGrid>
      <w:tr w:rsidR="000E767E" w:rsidRPr="00AF3A24" w14:paraId="5124F22D" w14:textId="77777777" w:rsidTr="000E767E">
        <w:trPr>
          <w:trHeight w:val="491"/>
          <w:jc w:val="center"/>
        </w:trPr>
        <w:tc>
          <w:tcPr>
            <w:tcW w:w="2826" w:type="dxa"/>
            <w:vMerge w:val="restart"/>
            <w:shd w:val="clear" w:color="auto" w:fill="92CDDC" w:themeFill="accent5" w:themeFillTint="99"/>
            <w:vAlign w:val="center"/>
          </w:tcPr>
          <w:p w14:paraId="5129D6FE" w14:textId="77777777" w:rsidR="000E767E" w:rsidRPr="00AF3A24" w:rsidRDefault="000E767E" w:rsidP="00947071">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PGSI CATEGORISATION</w:t>
            </w:r>
          </w:p>
        </w:tc>
        <w:tc>
          <w:tcPr>
            <w:tcW w:w="851" w:type="dxa"/>
            <w:vMerge w:val="restart"/>
            <w:shd w:val="clear" w:color="auto" w:fill="92CDDC" w:themeFill="accent5" w:themeFillTint="99"/>
            <w:vAlign w:val="center"/>
          </w:tcPr>
          <w:p w14:paraId="4D29BC31" w14:textId="77777777" w:rsidR="000E767E" w:rsidRPr="00AF3A24" w:rsidRDefault="000E767E" w:rsidP="000E767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771" w:type="dxa"/>
            <w:shd w:val="clear" w:color="auto" w:fill="92CDDC" w:themeFill="accent5" w:themeFillTint="99"/>
          </w:tcPr>
          <w:p w14:paraId="55258F8C" w14:textId="77777777" w:rsidR="000E767E" w:rsidRPr="00AF3A24" w:rsidRDefault="000E767E" w:rsidP="000E767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Prevalence for total adults </w:t>
            </w:r>
          </w:p>
          <w:p w14:paraId="1D00CF58" w14:textId="77777777" w:rsidR="000E767E" w:rsidRPr="00AF3A24" w:rsidRDefault="000E767E" w:rsidP="000E767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(N=12,594)</w:t>
            </w:r>
          </w:p>
        </w:tc>
        <w:tc>
          <w:tcPr>
            <w:tcW w:w="1772" w:type="dxa"/>
            <w:tcBorders>
              <w:bottom w:val="single" w:sz="4" w:space="0" w:color="auto"/>
            </w:tcBorders>
            <w:shd w:val="clear" w:color="auto" w:fill="92CDDC" w:themeFill="accent5" w:themeFillTint="99"/>
            <w:vAlign w:val="center"/>
          </w:tcPr>
          <w:p w14:paraId="431F2282" w14:textId="77777777" w:rsidR="000E767E" w:rsidRPr="00AF3A24" w:rsidRDefault="000E767E" w:rsidP="00E71F8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past-year gamblers (N=6,547)</w:t>
            </w:r>
          </w:p>
        </w:tc>
        <w:tc>
          <w:tcPr>
            <w:tcW w:w="2259" w:type="dxa"/>
            <w:vMerge w:val="restart"/>
            <w:shd w:val="clear" w:color="auto" w:fill="92CDDC" w:themeFill="accent5" w:themeFillTint="99"/>
            <w:vAlign w:val="center"/>
          </w:tcPr>
          <w:p w14:paraId="1C7BB044" w14:textId="77777777" w:rsidR="000E767E" w:rsidRPr="00AF3A24" w:rsidRDefault="000E767E" w:rsidP="00804C57">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Estimated number </w:t>
            </w:r>
          </w:p>
          <w:p w14:paraId="5025EEC7" w14:textId="77777777" w:rsidR="000E767E" w:rsidRPr="00AF3A24" w:rsidRDefault="000E767E" w:rsidP="00034C9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of people</w:t>
            </w:r>
            <w:r w:rsidR="00F504FC">
              <w:rPr>
                <w:rFonts w:asciiTheme="minorHAnsi" w:hAnsiTheme="minorHAnsi" w:cstheme="minorHAnsi"/>
                <w:b/>
                <w:sz w:val="18"/>
                <w:szCs w:val="18"/>
              </w:rPr>
              <w:t xml:space="preserve"> </w:t>
            </w:r>
            <w:r w:rsidR="00F504FC" w:rsidRPr="00F504FC">
              <w:rPr>
                <w:rFonts w:asciiTheme="minorHAnsi" w:hAnsiTheme="minorHAnsi" w:cstheme="minorHAnsi"/>
                <w:b/>
                <w:sz w:val="18"/>
                <w:szCs w:val="18"/>
                <w:vertAlign w:val="superscript"/>
              </w:rPr>
              <w:t>2</w:t>
            </w:r>
          </w:p>
          <w:p w14:paraId="5A462C79" w14:textId="77777777" w:rsidR="000E767E" w:rsidRPr="00AF3A24" w:rsidRDefault="000E767E" w:rsidP="00034C9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 (95% CI)</w:t>
            </w:r>
          </w:p>
        </w:tc>
      </w:tr>
      <w:tr w:rsidR="000E767E" w:rsidRPr="00AF3A24" w14:paraId="5E1368E2" w14:textId="77777777" w:rsidTr="000E767E">
        <w:trPr>
          <w:trHeight w:val="275"/>
          <w:jc w:val="center"/>
        </w:trPr>
        <w:tc>
          <w:tcPr>
            <w:tcW w:w="2826" w:type="dxa"/>
            <w:vMerge/>
            <w:tcBorders>
              <w:bottom w:val="single" w:sz="4" w:space="0" w:color="auto"/>
            </w:tcBorders>
            <w:shd w:val="clear" w:color="auto" w:fill="92CDDC" w:themeFill="accent5" w:themeFillTint="99"/>
            <w:vAlign w:val="center"/>
          </w:tcPr>
          <w:p w14:paraId="116B887C" w14:textId="77777777" w:rsidR="000E767E" w:rsidRPr="00AF3A24" w:rsidRDefault="000E767E" w:rsidP="00947071">
            <w:pPr>
              <w:spacing w:before="0" w:line="240" w:lineRule="auto"/>
              <w:jc w:val="left"/>
              <w:rPr>
                <w:rFonts w:asciiTheme="minorHAnsi" w:hAnsiTheme="minorHAnsi" w:cstheme="minorHAnsi"/>
                <w:b/>
                <w:sz w:val="18"/>
                <w:szCs w:val="18"/>
              </w:rPr>
            </w:pPr>
          </w:p>
        </w:tc>
        <w:tc>
          <w:tcPr>
            <w:tcW w:w="851" w:type="dxa"/>
            <w:vMerge/>
            <w:tcBorders>
              <w:bottom w:val="single" w:sz="4" w:space="0" w:color="auto"/>
            </w:tcBorders>
            <w:shd w:val="clear" w:color="auto" w:fill="92CDDC" w:themeFill="accent5" w:themeFillTint="99"/>
            <w:vAlign w:val="center"/>
          </w:tcPr>
          <w:p w14:paraId="655FB23E" w14:textId="77777777" w:rsidR="000E767E" w:rsidRPr="00AF3A24" w:rsidRDefault="000E767E" w:rsidP="00385C90">
            <w:pPr>
              <w:spacing w:before="0" w:line="240" w:lineRule="auto"/>
              <w:jc w:val="center"/>
              <w:rPr>
                <w:rFonts w:asciiTheme="minorHAnsi" w:hAnsiTheme="minorHAnsi" w:cstheme="minorHAnsi"/>
                <w:b/>
                <w:sz w:val="18"/>
                <w:szCs w:val="18"/>
              </w:rPr>
            </w:pPr>
          </w:p>
        </w:tc>
        <w:tc>
          <w:tcPr>
            <w:tcW w:w="1771" w:type="dxa"/>
            <w:tcBorders>
              <w:bottom w:val="single" w:sz="4" w:space="0" w:color="auto"/>
            </w:tcBorders>
            <w:shd w:val="clear" w:color="auto" w:fill="92CDDC" w:themeFill="accent5" w:themeFillTint="99"/>
            <w:vAlign w:val="center"/>
          </w:tcPr>
          <w:p w14:paraId="2345F361" w14:textId="77777777" w:rsidR="000E767E" w:rsidRPr="00AF3A24" w:rsidRDefault="000E767E"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D969792" w14:textId="77777777" w:rsidR="000E767E" w:rsidRPr="00AF3A24" w:rsidRDefault="000E767E" w:rsidP="00385C9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772" w:type="dxa"/>
            <w:tcBorders>
              <w:bottom w:val="single" w:sz="4" w:space="0" w:color="auto"/>
            </w:tcBorders>
            <w:shd w:val="clear" w:color="auto" w:fill="92CDDC" w:themeFill="accent5" w:themeFillTint="99"/>
            <w:vAlign w:val="center"/>
          </w:tcPr>
          <w:p w14:paraId="254192E2" w14:textId="77777777" w:rsidR="000E767E" w:rsidRPr="00AF3A24" w:rsidRDefault="000E767E" w:rsidP="00947071">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FACAF95" w14:textId="77777777" w:rsidR="000E767E" w:rsidRPr="00AF3A24" w:rsidRDefault="000E767E" w:rsidP="00947071">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259" w:type="dxa"/>
            <w:vMerge/>
            <w:tcBorders>
              <w:bottom w:val="single" w:sz="4" w:space="0" w:color="auto"/>
            </w:tcBorders>
            <w:shd w:val="clear" w:color="auto" w:fill="92CDDC" w:themeFill="accent5" w:themeFillTint="99"/>
          </w:tcPr>
          <w:p w14:paraId="7ED8CBE7" w14:textId="77777777" w:rsidR="000E767E" w:rsidRPr="00AF3A24" w:rsidRDefault="000E767E" w:rsidP="00034C9E">
            <w:pPr>
              <w:spacing w:before="0" w:line="240" w:lineRule="auto"/>
              <w:jc w:val="center"/>
              <w:rPr>
                <w:rFonts w:asciiTheme="minorHAnsi" w:hAnsiTheme="minorHAnsi" w:cstheme="minorHAnsi"/>
                <w:b/>
                <w:sz w:val="18"/>
                <w:szCs w:val="18"/>
              </w:rPr>
            </w:pPr>
          </w:p>
        </w:tc>
      </w:tr>
      <w:tr w:rsidR="000E767E" w:rsidRPr="00AF3A24" w14:paraId="28352886" w14:textId="77777777" w:rsidTr="000E767E">
        <w:trPr>
          <w:jc w:val="center"/>
        </w:trPr>
        <w:tc>
          <w:tcPr>
            <w:tcW w:w="2826" w:type="dxa"/>
            <w:tcBorders>
              <w:top w:val="single" w:sz="4" w:space="0" w:color="auto"/>
              <w:bottom w:val="nil"/>
            </w:tcBorders>
            <w:shd w:val="clear" w:color="auto" w:fill="DAEEF3" w:themeFill="accent5" w:themeFillTint="33"/>
            <w:vAlign w:val="center"/>
          </w:tcPr>
          <w:p w14:paraId="29AB8BA2" w14:textId="77777777" w:rsidR="000E767E" w:rsidRPr="00AF3A24" w:rsidRDefault="000E767E" w:rsidP="00034C9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Non-gambler</w:t>
            </w:r>
          </w:p>
        </w:tc>
        <w:tc>
          <w:tcPr>
            <w:tcW w:w="851" w:type="dxa"/>
            <w:tcBorders>
              <w:bottom w:val="nil"/>
            </w:tcBorders>
            <w:shd w:val="clear" w:color="auto" w:fill="DAEEF3" w:themeFill="accent5" w:themeFillTint="33"/>
            <w:vAlign w:val="center"/>
          </w:tcPr>
          <w:p w14:paraId="35187E0C"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6,047</w:t>
            </w:r>
          </w:p>
        </w:tc>
        <w:tc>
          <w:tcPr>
            <w:tcW w:w="1771" w:type="dxa"/>
            <w:tcBorders>
              <w:bottom w:val="nil"/>
            </w:tcBorders>
            <w:shd w:val="clear" w:color="auto" w:fill="DAEEF3" w:themeFill="accent5" w:themeFillTint="33"/>
            <w:vAlign w:val="center"/>
          </w:tcPr>
          <w:p w14:paraId="07A8750B"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w:t>
            </w:r>
            <w:r w:rsidRPr="00AF3A24">
              <w:rPr>
                <w:rFonts w:asciiTheme="minorHAnsi" w:hAnsiTheme="minorHAnsi"/>
                <w:bCs/>
                <w:color w:val="000000"/>
                <w:sz w:val="16"/>
                <w:szCs w:val="16"/>
              </w:rPr>
              <w:br/>
              <w:t>(46.4 - 49.1)</w:t>
            </w:r>
          </w:p>
        </w:tc>
        <w:tc>
          <w:tcPr>
            <w:tcW w:w="1772" w:type="dxa"/>
            <w:tcBorders>
              <w:left w:val="single" w:sz="4" w:space="0" w:color="auto"/>
              <w:bottom w:val="nil"/>
            </w:tcBorders>
            <w:shd w:val="clear" w:color="auto" w:fill="DAEEF3" w:themeFill="accent5" w:themeFillTint="33"/>
            <w:vAlign w:val="center"/>
          </w:tcPr>
          <w:p w14:paraId="649EE2F0" w14:textId="77777777" w:rsidR="000E767E" w:rsidRPr="00AF3A24" w:rsidRDefault="000E767E" w:rsidP="00E71F8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w:t>
            </w:r>
          </w:p>
        </w:tc>
        <w:tc>
          <w:tcPr>
            <w:tcW w:w="2259" w:type="dxa"/>
            <w:tcBorders>
              <w:left w:val="nil"/>
              <w:bottom w:val="nil"/>
            </w:tcBorders>
            <w:shd w:val="clear" w:color="auto" w:fill="DAEEF3" w:themeFill="accent5" w:themeFillTint="33"/>
            <w:vAlign w:val="center"/>
          </w:tcPr>
          <w:p w14:paraId="3E74F704" w14:textId="77777777" w:rsidR="000E767E" w:rsidRPr="00AF3A24" w:rsidRDefault="000E767E" w:rsidP="00947071">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1,685,900</w:t>
            </w:r>
            <w:r w:rsidRPr="00AF3A24">
              <w:rPr>
                <w:rFonts w:asciiTheme="minorHAnsi" w:hAnsiTheme="minorHAnsi"/>
                <w:bCs/>
                <w:color w:val="000000"/>
                <w:sz w:val="16"/>
                <w:szCs w:val="16"/>
              </w:rPr>
              <w:br/>
              <w:t>(1,637,200 - 1,734,600)</w:t>
            </w:r>
          </w:p>
        </w:tc>
      </w:tr>
      <w:tr w:rsidR="000E767E" w:rsidRPr="00AF3A24" w14:paraId="1C127DE4" w14:textId="77777777" w:rsidTr="000E767E">
        <w:trPr>
          <w:jc w:val="center"/>
        </w:trPr>
        <w:tc>
          <w:tcPr>
            <w:tcW w:w="2826" w:type="dxa"/>
            <w:tcBorders>
              <w:top w:val="nil"/>
              <w:bottom w:val="nil"/>
            </w:tcBorders>
            <w:shd w:val="clear" w:color="auto" w:fill="DAEEF3" w:themeFill="accent5" w:themeFillTint="33"/>
            <w:vAlign w:val="center"/>
          </w:tcPr>
          <w:p w14:paraId="1A606EE1" w14:textId="77777777" w:rsidR="000E767E" w:rsidRPr="00AF3A24" w:rsidRDefault="000E767E" w:rsidP="00034C9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Non-problem / Recreational</w:t>
            </w:r>
          </w:p>
        </w:tc>
        <w:tc>
          <w:tcPr>
            <w:tcW w:w="851" w:type="dxa"/>
            <w:tcBorders>
              <w:top w:val="nil"/>
              <w:bottom w:val="nil"/>
            </w:tcBorders>
            <w:shd w:val="clear" w:color="auto" w:fill="DAEEF3" w:themeFill="accent5" w:themeFillTint="33"/>
            <w:vAlign w:val="center"/>
          </w:tcPr>
          <w:p w14:paraId="008A6B2F"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6,092</w:t>
            </w:r>
          </w:p>
        </w:tc>
        <w:tc>
          <w:tcPr>
            <w:tcW w:w="1771" w:type="dxa"/>
            <w:tcBorders>
              <w:top w:val="nil"/>
              <w:bottom w:val="nil"/>
            </w:tcBorders>
            <w:shd w:val="clear" w:color="auto" w:fill="DAEEF3" w:themeFill="accent5" w:themeFillTint="33"/>
            <w:vAlign w:val="center"/>
          </w:tcPr>
          <w:p w14:paraId="593E9B73"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49.1</w:t>
            </w:r>
            <w:r w:rsidRPr="00AF3A24">
              <w:rPr>
                <w:rFonts w:asciiTheme="minorHAnsi" w:hAnsiTheme="minorHAnsi"/>
                <w:bCs/>
                <w:color w:val="000000"/>
                <w:sz w:val="16"/>
                <w:szCs w:val="16"/>
              </w:rPr>
              <w:br/>
              <w:t>(47.7 - 50.5)</w:t>
            </w:r>
          </w:p>
        </w:tc>
        <w:tc>
          <w:tcPr>
            <w:tcW w:w="1772" w:type="dxa"/>
            <w:tcBorders>
              <w:top w:val="nil"/>
              <w:left w:val="single" w:sz="4" w:space="0" w:color="auto"/>
              <w:bottom w:val="nil"/>
            </w:tcBorders>
            <w:shd w:val="clear" w:color="auto" w:fill="DAEEF3" w:themeFill="accent5" w:themeFillTint="33"/>
            <w:vAlign w:val="center"/>
          </w:tcPr>
          <w:p w14:paraId="51DE7F84" w14:textId="77777777" w:rsidR="000E767E" w:rsidRPr="00AF3A24" w:rsidRDefault="000E767E" w:rsidP="00E71F8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93.9</w:t>
            </w:r>
            <w:r w:rsidRPr="00AF3A24">
              <w:rPr>
                <w:rFonts w:asciiTheme="minorHAnsi" w:hAnsiTheme="minorHAnsi"/>
                <w:bCs/>
                <w:color w:val="000000"/>
                <w:sz w:val="16"/>
                <w:szCs w:val="16"/>
              </w:rPr>
              <w:br/>
              <w:t>(93.1 - 94.7)</w:t>
            </w:r>
          </w:p>
        </w:tc>
        <w:tc>
          <w:tcPr>
            <w:tcW w:w="2259" w:type="dxa"/>
            <w:tcBorders>
              <w:top w:val="nil"/>
              <w:left w:val="nil"/>
              <w:bottom w:val="nil"/>
            </w:tcBorders>
            <w:shd w:val="clear" w:color="auto" w:fill="DAEEF3" w:themeFill="accent5" w:themeFillTint="33"/>
            <w:vAlign w:val="center"/>
          </w:tcPr>
          <w:p w14:paraId="5FCED01B" w14:textId="77777777" w:rsidR="000E767E" w:rsidRPr="00AF3A24" w:rsidRDefault="000E767E" w:rsidP="00947071">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1,733,300</w:t>
            </w:r>
            <w:r w:rsidRPr="00AF3A24">
              <w:rPr>
                <w:rFonts w:asciiTheme="minorHAnsi" w:hAnsiTheme="minorHAnsi"/>
                <w:bCs/>
                <w:color w:val="000000"/>
                <w:sz w:val="16"/>
                <w:szCs w:val="16"/>
              </w:rPr>
              <w:br/>
              <w:t>(1,684,100 - 1,782,500)</w:t>
            </w:r>
          </w:p>
        </w:tc>
      </w:tr>
      <w:tr w:rsidR="000E767E" w:rsidRPr="00AF3A24" w14:paraId="3362D652" w14:textId="77777777" w:rsidTr="000E767E">
        <w:trPr>
          <w:jc w:val="center"/>
        </w:trPr>
        <w:tc>
          <w:tcPr>
            <w:tcW w:w="2826" w:type="dxa"/>
            <w:tcBorders>
              <w:top w:val="nil"/>
              <w:bottom w:val="nil"/>
            </w:tcBorders>
            <w:shd w:val="clear" w:color="auto" w:fill="DAEEF3" w:themeFill="accent5" w:themeFillTint="33"/>
            <w:vAlign w:val="center"/>
          </w:tcPr>
          <w:p w14:paraId="0C7464C1" w14:textId="77777777" w:rsidR="000E767E" w:rsidRPr="00AF3A24" w:rsidRDefault="000E767E" w:rsidP="00034C9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Low-risk</w:t>
            </w:r>
          </w:p>
        </w:tc>
        <w:tc>
          <w:tcPr>
            <w:tcW w:w="851" w:type="dxa"/>
            <w:tcBorders>
              <w:top w:val="nil"/>
              <w:bottom w:val="nil"/>
            </w:tcBorders>
            <w:shd w:val="clear" w:color="auto" w:fill="DAEEF3" w:themeFill="accent5" w:themeFillTint="33"/>
            <w:vAlign w:val="center"/>
          </w:tcPr>
          <w:p w14:paraId="6849FA2E"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w:t>
            </w:r>
          </w:p>
        </w:tc>
        <w:tc>
          <w:tcPr>
            <w:tcW w:w="1771" w:type="dxa"/>
            <w:tcBorders>
              <w:top w:val="nil"/>
              <w:bottom w:val="nil"/>
            </w:tcBorders>
            <w:shd w:val="clear" w:color="auto" w:fill="DAEEF3" w:themeFill="accent5" w:themeFillTint="33"/>
            <w:vAlign w:val="center"/>
          </w:tcPr>
          <w:p w14:paraId="790FAE25"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r w:rsidRPr="00AF3A24">
              <w:rPr>
                <w:rFonts w:asciiTheme="minorHAnsi" w:hAnsiTheme="minorHAnsi"/>
                <w:bCs/>
                <w:color w:val="000000"/>
                <w:sz w:val="16"/>
                <w:szCs w:val="16"/>
              </w:rPr>
              <w:br/>
              <w:t>(1.6 - 2.3)</w:t>
            </w:r>
          </w:p>
        </w:tc>
        <w:tc>
          <w:tcPr>
            <w:tcW w:w="1772" w:type="dxa"/>
            <w:tcBorders>
              <w:top w:val="nil"/>
              <w:left w:val="single" w:sz="4" w:space="0" w:color="auto"/>
              <w:bottom w:val="nil"/>
            </w:tcBorders>
            <w:shd w:val="clear" w:color="auto" w:fill="DAEEF3" w:themeFill="accent5" w:themeFillTint="33"/>
            <w:vAlign w:val="center"/>
          </w:tcPr>
          <w:p w14:paraId="6998AFCF" w14:textId="77777777" w:rsidR="000E767E" w:rsidRPr="00AF3A24" w:rsidRDefault="000E767E" w:rsidP="00E71F8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r w:rsidRPr="00AF3A24">
              <w:rPr>
                <w:rFonts w:asciiTheme="minorHAnsi" w:hAnsiTheme="minorHAnsi"/>
                <w:bCs/>
                <w:color w:val="000000"/>
                <w:sz w:val="16"/>
                <w:szCs w:val="16"/>
              </w:rPr>
              <w:br/>
              <w:t>(3.1 - 4.4)</w:t>
            </w:r>
          </w:p>
        </w:tc>
        <w:tc>
          <w:tcPr>
            <w:tcW w:w="2259" w:type="dxa"/>
            <w:tcBorders>
              <w:top w:val="nil"/>
              <w:left w:val="nil"/>
              <w:bottom w:val="nil"/>
            </w:tcBorders>
            <w:shd w:val="clear" w:color="auto" w:fill="DAEEF3" w:themeFill="accent5" w:themeFillTint="33"/>
            <w:vAlign w:val="center"/>
          </w:tcPr>
          <w:p w14:paraId="219D8778" w14:textId="77777777" w:rsidR="000E767E" w:rsidRPr="00AF3A24" w:rsidRDefault="000E767E" w:rsidP="00947071">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69,400</w:t>
            </w:r>
            <w:r w:rsidRPr="00AF3A24">
              <w:rPr>
                <w:rFonts w:asciiTheme="minorHAnsi" w:hAnsiTheme="minorHAnsi"/>
                <w:bCs/>
                <w:color w:val="000000"/>
                <w:sz w:val="16"/>
                <w:szCs w:val="16"/>
              </w:rPr>
              <w:br/>
              <w:t>(58,000 - 80,700)</w:t>
            </w:r>
          </w:p>
        </w:tc>
      </w:tr>
      <w:tr w:rsidR="000E767E" w:rsidRPr="00AF3A24" w14:paraId="33276EA4" w14:textId="77777777" w:rsidTr="000E767E">
        <w:trPr>
          <w:jc w:val="center"/>
        </w:trPr>
        <w:tc>
          <w:tcPr>
            <w:tcW w:w="2826" w:type="dxa"/>
            <w:tcBorders>
              <w:top w:val="nil"/>
              <w:bottom w:val="nil"/>
            </w:tcBorders>
            <w:shd w:val="clear" w:color="auto" w:fill="DAEEF3" w:themeFill="accent5" w:themeFillTint="33"/>
            <w:vAlign w:val="center"/>
          </w:tcPr>
          <w:p w14:paraId="71C4C574" w14:textId="77777777" w:rsidR="000E767E" w:rsidRPr="00AF3A24" w:rsidRDefault="000E767E" w:rsidP="00034C9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Moderate-risk</w:t>
            </w:r>
          </w:p>
        </w:tc>
        <w:tc>
          <w:tcPr>
            <w:tcW w:w="851" w:type="dxa"/>
            <w:tcBorders>
              <w:top w:val="nil"/>
              <w:bottom w:val="nil"/>
            </w:tcBorders>
            <w:shd w:val="clear" w:color="auto" w:fill="DAEEF3" w:themeFill="accent5" w:themeFillTint="33"/>
            <w:vAlign w:val="center"/>
          </w:tcPr>
          <w:p w14:paraId="24D7DFCA"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144</w:t>
            </w:r>
          </w:p>
        </w:tc>
        <w:tc>
          <w:tcPr>
            <w:tcW w:w="1771" w:type="dxa"/>
            <w:tcBorders>
              <w:top w:val="nil"/>
              <w:bottom w:val="nil"/>
            </w:tcBorders>
            <w:shd w:val="clear" w:color="auto" w:fill="DAEEF3" w:themeFill="accent5" w:themeFillTint="33"/>
            <w:vAlign w:val="center"/>
          </w:tcPr>
          <w:p w14:paraId="08B10A8C"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r w:rsidRPr="00AF3A24">
              <w:rPr>
                <w:rFonts w:asciiTheme="minorHAnsi" w:hAnsiTheme="minorHAnsi"/>
                <w:bCs/>
                <w:color w:val="000000"/>
                <w:sz w:val="16"/>
                <w:szCs w:val="16"/>
              </w:rPr>
              <w:br/>
              <w:t>(0.8 - 1.2)</w:t>
            </w:r>
          </w:p>
        </w:tc>
        <w:tc>
          <w:tcPr>
            <w:tcW w:w="1772" w:type="dxa"/>
            <w:tcBorders>
              <w:top w:val="nil"/>
              <w:left w:val="single" w:sz="4" w:space="0" w:color="auto"/>
              <w:bottom w:val="nil"/>
            </w:tcBorders>
            <w:shd w:val="clear" w:color="auto" w:fill="DAEEF3" w:themeFill="accent5" w:themeFillTint="33"/>
            <w:vAlign w:val="center"/>
          </w:tcPr>
          <w:p w14:paraId="0AEE5F40" w14:textId="77777777" w:rsidR="000E767E" w:rsidRPr="00AF3A24" w:rsidRDefault="000E767E" w:rsidP="00E71F8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r w:rsidRPr="00AF3A24">
              <w:rPr>
                <w:rFonts w:asciiTheme="minorHAnsi" w:hAnsiTheme="minorHAnsi"/>
                <w:bCs/>
                <w:color w:val="000000"/>
                <w:sz w:val="16"/>
                <w:szCs w:val="16"/>
              </w:rPr>
              <w:br/>
              <w:t>(1.5 - 2.3)</w:t>
            </w:r>
          </w:p>
        </w:tc>
        <w:tc>
          <w:tcPr>
            <w:tcW w:w="2259" w:type="dxa"/>
            <w:tcBorders>
              <w:top w:val="nil"/>
              <w:left w:val="nil"/>
              <w:bottom w:val="nil"/>
            </w:tcBorders>
            <w:shd w:val="clear" w:color="auto" w:fill="DAEEF3" w:themeFill="accent5" w:themeFillTint="33"/>
            <w:vAlign w:val="center"/>
          </w:tcPr>
          <w:p w14:paraId="75C8CB2D" w14:textId="77777777" w:rsidR="000E767E" w:rsidRPr="00AF3A24" w:rsidRDefault="000E767E" w:rsidP="00947071">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35,300</w:t>
            </w:r>
            <w:r w:rsidRPr="00AF3A24">
              <w:rPr>
                <w:rFonts w:asciiTheme="minorHAnsi" w:hAnsiTheme="minorHAnsi"/>
                <w:bCs/>
                <w:color w:val="000000"/>
                <w:sz w:val="16"/>
                <w:szCs w:val="16"/>
              </w:rPr>
              <w:br/>
              <w:t>(27,500 - 43,100)</w:t>
            </w:r>
          </w:p>
        </w:tc>
      </w:tr>
      <w:tr w:rsidR="000E767E" w:rsidRPr="00AF3A24" w14:paraId="29D07C48" w14:textId="77777777" w:rsidTr="000E767E">
        <w:trPr>
          <w:jc w:val="center"/>
        </w:trPr>
        <w:tc>
          <w:tcPr>
            <w:tcW w:w="2826" w:type="dxa"/>
            <w:tcBorders>
              <w:top w:val="nil"/>
              <w:bottom w:val="dashed" w:sz="8" w:space="0" w:color="auto"/>
            </w:tcBorders>
            <w:shd w:val="clear" w:color="auto" w:fill="DAEEF3" w:themeFill="accent5" w:themeFillTint="33"/>
            <w:vAlign w:val="center"/>
          </w:tcPr>
          <w:p w14:paraId="0ACC55A2" w14:textId="77777777" w:rsidR="000E767E" w:rsidRPr="00AF3A24" w:rsidRDefault="000E767E" w:rsidP="00034C9E">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Problem</w:t>
            </w:r>
          </w:p>
        </w:tc>
        <w:tc>
          <w:tcPr>
            <w:tcW w:w="851" w:type="dxa"/>
            <w:tcBorders>
              <w:top w:val="nil"/>
              <w:bottom w:val="dashed" w:sz="8" w:space="0" w:color="auto"/>
            </w:tcBorders>
            <w:shd w:val="clear" w:color="auto" w:fill="DAEEF3" w:themeFill="accent5" w:themeFillTint="33"/>
            <w:vAlign w:val="center"/>
          </w:tcPr>
          <w:p w14:paraId="5BFDE956"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771" w:type="dxa"/>
            <w:tcBorders>
              <w:top w:val="nil"/>
              <w:bottom w:val="dashed" w:sz="8" w:space="0" w:color="auto"/>
            </w:tcBorders>
            <w:shd w:val="clear" w:color="auto" w:fill="DAEEF3" w:themeFill="accent5" w:themeFillTint="33"/>
            <w:vAlign w:val="center"/>
          </w:tcPr>
          <w:p w14:paraId="36ED7F01"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0.2</w:t>
            </w:r>
            <w:r w:rsidRPr="00AF3A24">
              <w:rPr>
                <w:rFonts w:asciiTheme="minorHAnsi" w:hAnsiTheme="minorHAnsi"/>
                <w:bCs/>
                <w:color w:val="000000"/>
                <w:sz w:val="16"/>
                <w:szCs w:val="16"/>
              </w:rPr>
              <w:br/>
              <w:t>(0.1 - 0.3)</w:t>
            </w:r>
          </w:p>
        </w:tc>
        <w:tc>
          <w:tcPr>
            <w:tcW w:w="1772" w:type="dxa"/>
            <w:tcBorders>
              <w:top w:val="nil"/>
              <w:left w:val="single" w:sz="4" w:space="0" w:color="auto"/>
              <w:bottom w:val="dashed" w:sz="8" w:space="0" w:color="auto"/>
            </w:tcBorders>
            <w:shd w:val="clear" w:color="auto" w:fill="DAEEF3" w:themeFill="accent5" w:themeFillTint="33"/>
            <w:vAlign w:val="center"/>
          </w:tcPr>
          <w:p w14:paraId="502E1F61" w14:textId="77777777" w:rsidR="000E767E" w:rsidRPr="00AF3A24" w:rsidRDefault="000E767E" w:rsidP="00E71F85">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0.4</w:t>
            </w:r>
            <w:r w:rsidRPr="00AF3A24">
              <w:rPr>
                <w:rFonts w:asciiTheme="minorHAnsi" w:hAnsiTheme="minorHAnsi"/>
                <w:bCs/>
                <w:color w:val="000000"/>
                <w:sz w:val="16"/>
                <w:szCs w:val="16"/>
              </w:rPr>
              <w:br/>
              <w:t>(0.3 - 0.6)</w:t>
            </w:r>
          </w:p>
        </w:tc>
        <w:tc>
          <w:tcPr>
            <w:tcW w:w="2259" w:type="dxa"/>
            <w:tcBorders>
              <w:top w:val="nil"/>
              <w:left w:val="nil"/>
              <w:bottom w:val="dashed" w:sz="8" w:space="0" w:color="auto"/>
            </w:tcBorders>
            <w:shd w:val="clear" w:color="auto" w:fill="DAEEF3" w:themeFill="accent5" w:themeFillTint="33"/>
            <w:vAlign w:val="center"/>
          </w:tcPr>
          <w:p w14:paraId="1476BA29" w14:textId="77777777" w:rsidR="000E767E" w:rsidRPr="00AF3A24" w:rsidRDefault="000E767E" w:rsidP="00947071">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8,100</w:t>
            </w:r>
            <w:r w:rsidRPr="00AF3A24">
              <w:rPr>
                <w:rFonts w:asciiTheme="minorHAnsi" w:hAnsiTheme="minorHAnsi"/>
                <w:bCs/>
                <w:color w:val="000000"/>
                <w:sz w:val="16"/>
                <w:szCs w:val="16"/>
              </w:rPr>
              <w:br/>
              <w:t>(4,700 - 11,500)</w:t>
            </w:r>
          </w:p>
        </w:tc>
      </w:tr>
      <w:tr w:rsidR="000E767E" w:rsidRPr="00AF3A24" w14:paraId="7755006F" w14:textId="77777777" w:rsidTr="000E767E">
        <w:trPr>
          <w:jc w:val="center"/>
        </w:trPr>
        <w:tc>
          <w:tcPr>
            <w:tcW w:w="2826" w:type="dxa"/>
            <w:tcBorders>
              <w:top w:val="dashed" w:sz="8" w:space="0" w:color="auto"/>
              <w:bottom w:val="single" w:sz="4" w:space="0" w:color="auto"/>
            </w:tcBorders>
            <w:shd w:val="clear" w:color="auto" w:fill="DAEEF3" w:themeFill="accent5" w:themeFillTint="33"/>
            <w:vAlign w:val="center"/>
          </w:tcPr>
          <w:p w14:paraId="3E3C9146" w14:textId="77777777" w:rsidR="000E767E" w:rsidRPr="00AF3A24" w:rsidRDefault="000E767E" w:rsidP="00017182">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Combined </w:t>
            </w:r>
            <w:r w:rsidR="00017182">
              <w:rPr>
                <w:rFonts w:asciiTheme="minorHAnsi" w:hAnsiTheme="minorHAnsi" w:cstheme="minorHAnsi"/>
                <w:sz w:val="16"/>
                <w:szCs w:val="16"/>
              </w:rPr>
              <w:t>m</w:t>
            </w:r>
            <w:r w:rsidR="00017182" w:rsidRPr="00AF3A24">
              <w:rPr>
                <w:rFonts w:asciiTheme="minorHAnsi" w:hAnsiTheme="minorHAnsi" w:cstheme="minorHAnsi"/>
                <w:sz w:val="16"/>
                <w:szCs w:val="16"/>
              </w:rPr>
              <w:t xml:space="preserve">oderate-risk </w:t>
            </w:r>
            <w:r w:rsidR="00017182">
              <w:rPr>
                <w:rFonts w:asciiTheme="minorHAnsi" w:hAnsiTheme="minorHAnsi" w:cstheme="minorHAnsi"/>
                <w:sz w:val="16"/>
                <w:szCs w:val="16"/>
              </w:rPr>
              <w:t xml:space="preserve">and problem </w:t>
            </w:r>
          </w:p>
        </w:tc>
        <w:tc>
          <w:tcPr>
            <w:tcW w:w="851" w:type="dxa"/>
            <w:tcBorders>
              <w:top w:val="dashed" w:sz="8" w:space="0" w:color="auto"/>
              <w:bottom w:val="single" w:sz="4" w:space="0" w:color="auto"/>
            </w:tcBorders>
            <w:shd w:val="clear" w:color="auto" w:fill="DAEEF3" w:themeFill="accent5" w:themeFillTint="33"/>
            <w:vAlign w:val="center"/>
          </w:tcPr>
          <w:p w14:paraId="349E1055"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183</w:t>
            </w:r>
          </w:p>
        </w:tc>
        <w:tc>
          <w:tcPr>
            <w:tcW w:w="1771" w:type="dxa"/>
            <w:tcBorders>
              <w:top w:val="dashed" w:sz="8" w:space="0" w:color="auto"/>
              <w:bottom w:val="single" w:sz="4" w:space="0" w:color="auto"/>
            </w:tcBorders>
            <w:shd w:val="clear" w:color="auto" w:fill="DAEEF3" w:themeFill="accent5" w:themeFillTint="33"/>
            <w:vAlign w:val="center"/>
          </w:tcPr>
          <w:p w14:paraId="2EE567EB" w14:textId="77777777" w:rsidR="000E767E" w:rsidRPr="00AF3A24" w:rsidRDefault="000E767E" w:rsidP="00385C9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r w:rsidRPr="00AF3A24">
              <w:rPr>
                <w:rFonts w:asciiTheme="minorHAnsi" w:hAnsiTheme="minorHAnsi"/>
                <w:bCs/>
                <w:color w:val="000000"/>
                <w:sz w:val="16"/>
                <w:szCs w:val="16"/>
              </w:rPr>
              <w:br/>
              <w:t>(1.0 - 1.5)</w:t>
            </w:r>
          </w:p>
        </w:tc>
        <w:tc>
          <w:tcPr>
            <w:tcW w:w="1772" w:type="dxa"/>
            <w:tcBorders>
              <w:top w:val="dashed" w:sz="8" w:space="0" w:color="auto"/>
              <w:left w:val="single" w:sz="4" w:space="0" w:color="auto"/>
              <w:bottom w:val="single" w:sz="4" w:space="0" w:color="auto"/>
            </w:tcBorders>
            <w:shd w:val="clear" w:color="auto" w:fill="DAEEF3" w:themeFill="accent5" w:themeFillTint="33"/>
            <w:vAlign w:val="center"/>
          </w:tcPr>
          <w:p w14:paraId="31D07073" w14:textId="77777777" w:rsidR="000E767E" w:rsidRPr="00AF3A24" w:rsidRDefault="000E767E" w:rsidP="005204E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(1.9 - 2.8)</w:t>
            </w:r>
          </w:p>
        </w:tc>
        <w:tc>
          <w:tcPr>
            <w:tcW w:w="2259" w:type="dxa"/>
            <w:tcBorders>
              <w:top w:val="dashed" w:sz="8" w:space="0" w:color="auto"/>
              <w:left w:val="nil"/>
              <w:bottom w:val="single" w:sz="4" w:space="0" w:color="auto"/>
            </w:tcBorders>
            <w:shd w:val="clear" w:color="auto" w:fill="DAEEF3" w:themeFill="accent5" w:themeFillTint="33"/>
            <w:vAlign w:val="center"/>
          </w:tcPr>
          <w:p w14:paraId="2476A998" w14:textId="77777777" w:rsidR="000E767E" w:rsidRPr="00AF3A24" w:rsidRDefault="000E767E" w:rsidP="005204E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43,400</w:t>
            </w:r>
            <w:r w:rsidRPr="00AF3A24">
              <w:rPr>
                <w:rFonts w:asciiTheme="minorHAnsi" w:hAnsiTheme="minorHAnsi"/>
                <w:bCs/>
                <w:color w:val="000000"/>
                <w:sz w:val="16"/>
                <w:szCs w:val="16"/>
              </w:rPr>
              <w:br/>
              <w:t>(35,100 - 51,800)</w:t>
            </w:r>
          </w:p>
        </w:tc>
      </w:tr>
    </w:tbl>
    <w:p w14:paraId="12FEA8D3" w14:textId="77777777" w:rsidR="00804C57" w:rsidRPr="00AF3A24" w:rsidRDefault="00804C57" w:rsidP="00804C57">
      <w:pPr>
        <w:spacing w:before="0" w:line="240" w:lineRule="auto"/>
        <w:ind w:left="993"/>
        <w:rPr>
          <w:rFonts w:asciiTheme="minorHAnsi" w:hAnsiTheme="minorHAnsi" w:cstheme="minorHAnsi"/>
          <w:sz w:val="16"/>
        </w:rPr>
      </w:pPr>
      <w:r w:rsidRPr="00AF3A24">
        <w:rPr>
          <w:rFonts w:asciiTheme="minorHAnsi" w:hAnsiTheme="minorHAnsi" w:cstheme="minorHAnsi"/>
          <w:sz w:val="16"/>
        </w:rPr>
        <w:t>Notes:</w:t>
      </w:r>
    </w:p>
    <w:p w14:paraId="4E9F5BED" w14:textId="77777777" w:rsidR="00804C57" w:rsidRDefault="00804C57" w:rsidP="00D75319">
      <w:pPr>
        <w:pStyle w:val="ListParagraph"/>
        <w:numPr>
          <w:ilvl w:val="0"/>
          <w:numId w:val="18"/>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5296728E" w14:textId="77777777" w:rsidR="00F504FC" w:rsidRPr="00AF3A24" w:rsidRDefault="00F504FC" w:rsidP="00D75319">
      <w:pPr>
        <w:pStyle w:val="ListParagraph"/>
        <w:numPr>
          <w:ilvl w:val="0"/>
          <w:numId w:val="18"/>
        </w:numPr>
        <w:spacing w:line="240" w:lineRule="auto"/>
        <w:rPr>
          <w:rFonts w:asciiTheme="minorHAnsi" w:hAnsiTheme="minorHAnsi" w:cstheme="minorHAnsi"/>
          <w:sz w:val="16"/>
        </w:rPr>
      </w:pPr>
      <w:r>
        <w:rPr>
          <w:rFonts w:asciiTheme="minorHAnsi" w:hAnsiTheme="minorHAnsi" w:cstheme="minorHAnsi"/>
          <w:sz w:val="16"/>
        </w:rPr>
        <w:t xml:space="preserve">Estimated number of people is based on calculations </w:t>
      </w:r>
      <w:r w:rsidR="005E272D">
        <w:rPr>
          <w:rFonts w:asciiTheme="minorHAnsi" w:hAnsiTheme="minorHAnsi" w:cstheme="minorHAnsi"/>
          <w:sz w:val="16"/>
        </w:rPr>
        <w:t>using</w:t>
      </w:r>
      <w:r w:rsidR="006F2751">
        <w:rPr>
          <w:rFonts w:asciiTheme="minorHAnsi" w:hAnsiTheme="minorHAnsi" w:cstheme="minorHAnsi"/>
          <w:sz w:val="16"/>
        </w:rPr>
        <w:t xml:space="preserve"> New Zealand</w:t>
      </w:r>
      <w:r>
        <w:rPr>
          <w:rFonts w:asciiTheme="minorHAnsi" w:hAnsiTheme="minorHAnsi" w:cstheme="minorHAnsi"/>
          <w:sz w:val="16"/>
        </w:rPr>
        <w:t xml:space="preserve"> 2006 Census data.</w:t>
      </w:r>
    </w:p>
    <w:p w14:paraId="70B59B28" w14:textId="77777777" w:rsidR="00A1592E" w:rsidRDefault="00A1592E" w:rsidP="00A1592E">
      <w:pPr>
        <w:spacing w:line="240" w:lineRule="auto"/>
        <w:rPr>
          <w:rFonts w:asciiTheme="minorHAnsi" w:hAnsiTheme="minorHAnsi" w:cstheme="minorHAnsi"/>
          <w:sz w:val="18"/>
        </w:rPr>
      </w:pPr>
    </w:p>
    <w:p w14:paraId="0B0B651A" w14:textId="77777777" w:rsidR="00C738A6" w:rsidRDefault="00C738A6" w:rsidP="00A1592E">
      <w:pPr>
        <w:spacing w:line="240" w:lineRule="auto"/>
        <w:rPr>
          <w:rFonts w:asciiTheme="minorHAnsi" w:hAnsiTheme="minorHAnsi" w:cstheme="minorHAnsi"/>
          <w:sz w:val="18"/>
        </w:rPr>
      </w:pPr>
    </w:p>
    <w:p w14:paraId="020E4B1D" w14:textId="77777777" w:rsidR="00CC79FE" w:rsidRPr="00AF3A24" w:rsidRDefault="005F4551" w:rsidP="00F061EF">
      <w:pPr>
        <w:pStyle w:val="Heading3"/>
      </w:pPr>
      <w:bookmarkStart w:id="94" w:name="_Toc403833166"/>
      <w:r>
        <w:t>Changes over time – comparison of 2006/07 and 2011/12 NZHS:</w:t>
      </w:r>
      <w:r w:rsidR="00777DB4">
        <w:t xml:space="preserve"> </w:t>
      </w:r>
      <w:r w:rsidR="00CC79FE">
        <w:t xml:space="preserve"> Prevalence of p</w:t>
      </w:r>
      <w:r w:rsidR="00CC79FE" w:rsidRPr="00AF3A24">
        <w:t>roblem</w:t>
      </w:r>
      <w:r w:rsidR="00CC79FE">
        <w:t xml:space="preserve"> gambling</w:t>
      </w:r>
      <w:bookmarkEnd w:id="94"/>
    </w:p>
    <w:p w14:paraId="62DF651D" w14:textId="4B3752BC" w:rsidR="000C338D" w:rsidRPr="005B5851" w:rsidRDefault="00CC79FE" w:rsidP="000C338D">
      <w:pPr>
        <w:pStyle w:val="BodyText"/>
        <w:spacing w:line="480" w:lineRule="auto"/>
      </w:pPr>
      <w:r w:rsidRPr="007B4E14">
        <w:t xml:space="preserve">Significant changes (p&lt;0.0001) were observed in the distribution of PGSI scores </w:t>
      </w:r>
      <w:r w:rsidR="00BD74CF" w:rsidRPr="007B4E14">
        <w:t>from</w:t>
      </w:r>
      <w:r w:rsidRPr="007B4E14">
        <w:t xml:space="preserve"> the 2006/07 and 2011/12 survey</w:t>
      </w:r>
      <w:r w:rsidR="00B32CC2" w:rsidRPr="007B4E14">
        <w:t xml:space="preserve"> wave</w:t>
      </w:r>
      <w:r w:rsidRPr="007B4E14">
        <w:t>s</w:t>
      </w:r>
      <w:r w:rsidR="00FF4C1A" w:rsidRPr="007B4E14">
        <w:t xml:space="preserve"> (NB: as the 2002/03 NZHS did not include the PGSI, comparisons of problem gambling status cannot be made between the 2002/03 survey and the </w:t>
      </w:r>
      <w:r w:rsidR="00523E73" w:rsidRPr="007B4E14">
        <w:t>two most recent survey</w:t>
      </w:r>
      <w:r w:rsidR="00523E73" w:rsidRPr="005B5851">
        <w:t>s</w:t>
      </w:r>
      <w:r w:rsidR="00FF4C1A" w:rsidRPr="005B5851">
        <w:t>)</w:t>
      </w:r>
      <w:r w:rsidRPr="005B5851">
        <w:t xml:space="preserve">. </w:t>
      </w:r>
      <w:r w:rsidR="00131EDF" w:rsidRPr="005B5851">
        <w:t xml:space="preserve"> </w:t>
      </w:r>
      <w:r w:rsidR="000C338D" w:rsidRPr="005B5851">
        <w:t>As noted earlier, when comparisons are made between different waves of the NZHS surveys (i</w:t>
      </w:r>
      <w:r w:rsidR="00A95F87" w:rsidRPr="005B5851">
        <w:t>n this case between</w:t>
      </w:r>
      <w:r w:rsidR="000C338D" w:rsidRPr="005B5851">
        <w:t xml:space="preserve"> 2006/07 and 2011/12)</w:t>
      </w:r>
      <w:proofErr w:type="gramStart"/>
      <w:r w:rsidR="000C338D" w:rsidRPr="005B5851">
        <w:t>,</w:t>
      </w:r>
      <w:proofErr w:type="gramEnd"/>
      <w:r w:rsidR="000C338D" w:rsidRPr="005B5851">
        <w:t xml:space="preserve"> results have been age-standardised in accordance with World Health Organisation (WHO) age population distributions (Ahmed et al., 2001). As such, some of the results that are reported for the 2011/12 NZHS in this ‘changes over time’ </w:t>
      </w:r>
      <w:proofErr w:type="gramStart"/>
      <w:r w:rsidR="000C338D" w:rsidRPr="005B5851">
        <w:t>section,</w:t>
      </w:r>
      <w:proofErr w:type="gramEnd"/>
      <w:r w:rsidR="000C338D" w:rsidRPr="005B5851">
        <w:t xml:space="preserve"> may differ slightly to those that are specified elsewhere in this report.  For example, while 1.2% of the adult population satisfied moderate-risk/problem gambling criteria in the 2011/12 NZHS (as detailed previously),  the </w:t>
      </w:r>
      <w:r w:rsidR="000C338D" w:rsidRPr="005B5851">
        <w:rPr>
          <w:i/>
        </w:rPr>
        <w:t xml:space="preserve">age-adjusted rate </w:t>
      </w:r>
      <w:r w:rsidR="000C338D" w:rsidRPr="005B5851">
        <w:t xml:space="preserve">of moderate-risk/problem gambling in 2011/12 is 1.3% (as reported in Table 23 </w:t>
      </w:r>
      <w:r w:rsidR="00A95F87" w:rsidRPr="005B5851">
        <w:t xml:space="preserve">and Figure 15 which </w:t>
      </w:r>
      <w:r w:rsidR="000C338D" w:rsidRPr="005B5851">
        <w:t>compar</w:t>
      </w:r>
      <w:r w:rsidR="00A95F87" w:rsidRPr="005B5851">
        <w:t>e</w:t>
      </w:r>
      <w:r w:rsidR="000C338D" w:rsidRPr="005B5851">
        <w:t xml:space="preserve"> multiple waves of the NZHS). </w:t>
      </w:r>
    </w:p>
    <w:p w14:paraId="491C281A" w14:textId="43B57716" w:rsidR="007B4E14" w:rsidRPr="007B4E14" w:rsidRDefault="005B65F4" w:rsidP="007B4E14">
      <w:pPr>
        <w:spacing w:after="200"/>
        <w:rPr>
          <w:rFonts w:asciiTheme="minorHAnsi" w:hAnsiTheme="minorHAnsi"/>
        </w:rPr>
      </w:pPr>
      <w:r w:rsidRPr="007B4E14">
        <w:rPr>
          <w:rFonts w:asciiTheme="minorHAnsi" w:hAnsiTheme="minorHAnsi"/>
        </w:rPr>
        <w:lastRenderedPageBreak/>
        <w:t>Age adjusted prevalence estimates</w:t>
      </w:r>
      <w:r w:rsidR="00C944B0">
        <w:rPr>
          <w:rStyle w:val="FootnoteReference"/>
          <w:rFonts w:asciiTheme="minorHAnsi" w:hAnsiTheme="minorHAnsi"/>
        </w:rPr>
        <w:footnoteReference w:id="8"/>
      </w:r>
      <w:r w:rsidRPr="007B4E14">
        <w:rPr>
          <w:rFonts w:asciiTheme="minorHAnsi" w:hAnsiTheme="minorHAnsi"/>
        </w:rPr>
        <w:t xml:space="preserve"> reveal </w:t>
      </w:r>
      <w:r w:rsidR="007B4E14" w:rsidRPr="007B4E14">
        <w:rPr>
          <w:rFonts w:asciiTheme="minorHAnsi" w:hAnsiTheme="minorHAnsi"/>
        </w:rPr>
        <w:t>a significant change (p&lt;0.0001) in the overall distribution of PGSI scores from the 2006/07 and 2011/12 NZHS survey waves.  In particular:</w:t>
      </w:r>
    </w:p>
    <w:p w14:paraId="1F48446E" w14:textId="3B95A719" w:rsidR="008F4BA8" w:rsidRPr="00651133" w:rsidRDefault="008F4BA8" w:rsidP="008F4BA8">
      <w:pPr>
        <w:pStyle w:val="ListParagraph"/>
        <w:numPr>
          <w:ilvl w:val="0"/>
          <w:numId w:val="93"/>
        </w:numPr>
        <w:spacing w:after="200"/>
        <w:rPr>
          <w:rFonts w:asciiTheme="minorHAnsi" w:hAnsiTheme="minorHAnsi"/>
        </w:rPr>
      </w:pPr>
      <w:r w:rsidRPr="00651133">
        <w:rPr>
          <w:rFonts w:asciiTheme="minorHAnsi" w:hAnsiTheme="minorHAnsi"/>
          <w:b/>
        </w:rPr>
        <w:t>No</w:t>
      </w:r>
      <w:r w:rsidRPr="00651133">
        <w:rPr>
          <w:rFonts w:asciiTheme="minorHAnsi" w:hAnsiTheme="minorHAnsi"/>
        </w:rPr>
        <w:t xml:space="preserve"> </w:t>
      </w:r>
      <w:r w:rsidRPr="00651133">
        <w:rPr>
          <w:rFonts w:asciiTheme="minorHAnsi" w:hAnsiTheme="minorHAnsi"/>
          <w:b/>
        </w:rPr>
        <w:t>significant</w:t>
      </w:r>
      <w:r w:rsidRPr="00651133">
        <w:rPr>
          <w:rFonts w:asciiTheme="minorHAnsi" w:hAnsiTheme="minorHAnsi"/>
        </w:rPr>
        <w:t xml:space="preserve"> changes (based on overlapping 95% confidence intervals) were observed in the proportions of </w:t>
      </w:r>
      <w:r w:rsidRPr="00651133">
        <w:rPr>
          <w:rFonts w:asciiTheme="minorHAnsi" w:hAnsiTheme="minorHAnsi"/>
          <w:i/>
        </w:rPr>
        <w:t xml:space="preserve">problem </w:t>
      </w:r>
      <w:r w:rsidRPr="00651133">
        <w:rPr>
          <w:rFonts w:asciiTheme="minorHAnsi" w:hAnsiTheme="minorHAnsi"/>
        </w:rPr>
        <w:t xml:space="preserve">(0.4% in 2006/07 and 0.2% in 2011/12) or </w:t>
      </w:r>
      <w:r w:rsidRPr="00651133">
        <w:rPr>
          <w:rFonts w:asciiTheme="minorHAnsi" w:hAnsiTheme="minorHAnsi"/>
          <w:i/>
        </w:rPr>
        <w:t>moderate-risk</w:t>
      </w:r>
      <w:r w:rsidRPr="00651133">
        <w:rPr>
          <w:rFonts w:asciiTheme="minorHAnsi" w:hAnsiTheme="minorHAnsi"/>
        </w:rPr>
        <w:t xml:space="preserve"> </w:t>
      </w:r>
      <w:r w:rsidRPr="00651133">
        <w:rPr>
          <w:rFonts w:asciiTheme="minorHAnsi" w:hAnsiTheme="minorHAnsi"/>
          <w:i/>
        </w:rPr>
        <w:t xml:space="preserve">gamblers </w:t>
      </w:r>
      <w:r w:rsidRPr="00651133">
        <w:rPr>
          <w:rFonts w:asciiTheme="minorHAnsi" w:hAnsiTheme="minorHAnsi"/>
        </w:rPr>
        <w:t xml:space="preserve">(1.4% in 2006/07 and 1.0% in 2011/12). </w:t>
      </w:r>
    </w:p>
    <w:p w14:paraId="3275EF6D" w14:textId="773850A8" w:rsidR="008F4BA8" w:rsidRPr="00651133" w:rsidRDefault="008F4BA8" w:rsidP="008F4BA8">
      <w:pPr>
        <w:pStyle w:val="ListParagraph"/>
        <w:numPr>
          <w:ilvl w:val="0"/>
          <w:numId w:val="93"/>
        </w:numPr>
        <w:spacing w:after="200"/>
        <w:rPr>
          <w:rFonts w:asciiTheme="minorHAnsi" w:hAnsiTheme="minorHAnsi"/>
        </w:rPr>
      </w:pPr>
      <w:r w:rsidRPr="00651133">
        <w:rPr>
          <w:rFonts w:asciiTheme="minorHAnsi" w:hAnsiTheme="minorHAnsi"/>
          <w:b/>
        </w:rPr>
        <w:t>Significant</w:t>
      </w:r>
      <w:r w:rsidRPr="00651133">
        <w:rPr>
          <w:rFonts w:asciiTheme="minorHAnsi" w:hAnsiTheme="minorHAnsi"/>
        </w:rPr>
        <w:t xml:space="preserve"> changes (</w:t>
      </w:r>
      <w:r>
        <w:rPr>
          <w:rFonts w:asciiTheme="minorHAnsi" w:hAnsiTheme="minorHAnsi"/>
        </w:rPr>
        <w:t xml:space="preserve">p&lt;0.0001; </w:t>
      </w:r>
      <w:r w:rsidRPr="00651133">
        <w:rPr>
          <w:rFonts w:asciiTheme="minorHAnsi" w:hAnsiTheme="minorHAnsi"/>
        </w:rPr>
        <w:t>based on non-overlapping 95% confidence intervals)</w:t>
      </w:r>
      <w:r>
        <w:rPr>
          <w:rFonts w:asciiTheme="minorHAnsi" w:hAnsiTheme="minorHAnsi"/>
        </w:rPr>
        <w:t xml:space="preserve"> </w:t>
      </w:r>
      <w:r w:rsidRPr="00651133">
        <w:rPr>
          <w:rFonts w:asciiTheme="minorHAnsi" w:hAnsiTheme="minorHAnsi"/>
        </w:rPr>
        <w:t>were observed in the proportions of:</w:t>
      </w:r>
    </w:p>
    <w:p w14:paraId="716EFCAA" w14:textId="77777777" w:rsidR="008F4BA8" w:rsidRPr="00651133" w:rsidRDefault="008F4BA8" w:rsidP="008F4BA8">
      <w:pPr>
        <w:pStyle w:val="ListParagraph"/>
        <w:numPr>
          <w:ilvl w:val="1"/>
          <w:numId w:val="93"/>
        </w:numPr>
        <w:spacing w:after="200"/>
        <w:rPr>
          <w:rFonts w:asciiTheme="minorHAnsi" w:hAnsiTheme="minorHAnsi"/>
        </w:rPr>
      </w:pPr>
      <w:r w:rsidRPr="00651133">
        <w:rPr>
          <w:rFonts w:asciiTheme="minorHAnsi" w:hAnsiTheme="minorHAnsi"/>
          <w:i/>
        </w:rPr>
        <w:t>non-gamblers</w:t>
      </w:r>
      <w:r w:rsidRPr="00651133">
        <w:rPr>
          <w:rFonts w:asciiTheme="minorHAnsi" w:hAnsiTheme="minorHAnsi"/>
        </w:rPr>
        <w:t xml:space="preserve">: 39.7% in 2006/07 and 54.3% in 2011/12; </w:t>
      </w:r>
    </w:p>
    <w:p w14:paraId="49DFFE51" w14:textId="77777777" w:rsidR="008F4BA8" w:rsidRPr="00651133" w:rsidRDefault="008F4BA8" w:rsidP="008F4BA8">
      <w:pPr>
        <w:pStyle w:val="ListParagraph"/>
        <w:numPr>
          <w:ilvl w:val="1"/>
          <w:numId w:val="93"/>
        </w:numPr>
        <w:spacing w:after="200"/>
        <w:rPr>
          <w:rFonts w:asciiTheme="minorHAnsi" w:hAnsiTheme="minorHAnsi"/>
        </w:rPr>
      </w:pPr>
      <w:r w:rsidRPr="00651133">
        <w:rPr>
          <w:rFonts w:asciiTheme="minorHAnsi" w:hAnsiTheme="minorHAnsi"/>
          <w:i/>
        </w:rPr>
        <w:t>non-problem/recreational</w:t>
      </w:r>
      <w:r w:rsidRPr="00651133">
        <w:rPr>
          <w:rFonts w:asciiTheme="minorHAnsi" w:hAnsiTheme="minorHAnsi"/>
        </w:rPr>
        <w:t xml:space="preserve"> </w:t>
      </w:r>
      <w:r w:rsidRPr="00651133">
        <w:rPr>
          <w:rFonts w:asciiTheme="minorHAnsi" w:hAnsiTheme="minorHAnsi"/>
          <w:i/>
        </w:rPr>
        <w:t>gamblers</w:t>
      </w:r>
      <w:r w:rsidRPr="00651133">
        <w:rPr>
          <w:rFonts w:asciiTheme="minorHAnsi" w:hAnsiTheme="minorHAnsi"/>
        </w:rPr>
        <w:t>: 54.7% in 2006/07 and 42.3% in 2011/12; and,</w:t>
      </w:r>
    </w:p>
    <w:p w14:paraId="312C4D4E" w14:textId="77777777" w:rsidR="008F4BA8" w:rsidRPr="00651133" w:rsidRDefault="008F4BA8" w:rsidP="008F4BA8">
      <w:pPr>
        <w:pStyle w:val="ListParagraph"/>
        <w:numPr>
          <w:ilvl w:val="1"/>
          <w:numId w:val="93"/>
        </w:numPr>
        <w:spacing w:after="200"/>
        <w:rPr>
          <w:rFonts w:asciiTheme="minorHAnsi" w:hAnsiTheme="minorHAnsi"/>
        </w:rPr>
      </w:pPr>
      <w:proofErr w:type="gramStart"/>
      <w:r w:rsidRPr="00651133">
        <w:rPr>
          <w:rFonts w:asciiTheme="minorHAnsi" w:hAnsiTheme="minorHAnsi"/>
          <w:i/>
        </w:rPr>
        <w:t>low-risk</w:t>
      </w:r>
      <w:proofErr w:type="gramEnd"/>
      <w:r w:rsidRPr="00651133">
        <w:rPr>
          <w:rFonts w:asciiTheme="minorHAnsi" w:hAnsiTheme="minorHAnsi"/>
          <w:i/>
        </w:rPr>
        <w:t xml:space="preserve"> gamblers</w:t>
      </w:r>
      <w:r w:rsidRPr="00651133">
        <w:rPr>
          <w:rFonts w:asciiTheme="minorHAnsi" w:hAnsiTheme="minorHAnsi"/>
        </w:rPr>
        <w:t xml:space="preserve">: 3.7% in 2006/07 and 2.1% in 2011/12. </w:t>
      </w:r>
    </w:p>
    <w:p w14:paraId="1E343CA7" w14:textId="77777777" w:rsidR="000D542E" w:rsidRDefault="00EE39F7" w:rsidP="00BD74CF">
      <w:pPr>
        <w:rPr>
          <w:rFonts w:asciiTheme="minorHAnsi" w:hAnsiTheme="minorHAnsi"/>
        </w:rPr>
      </w:pPr>
      <w:r>
        <w:rPr>
          <w:rFonts w:asciiTheme="minorHAnsi" w:hAnsiTheme="minorHAnsi"/>
        </w:rPr>
        <w:t xml:space="preserve">Table 23 </w:t>
      </w:r>
      <w:r w:rsidR="003A647E">
        <w:rPr>
          <w:rFonts w:asciiTheme="minorHAnsi" w:hAnsiTheme="minorHAnsi"/>
        </w:rPr>
        <w:t>(</w:t>
      </w:r>
      <w:r>
        <w:rPr>
          <w:rFonts w:asciiTheme="minorHAnsi" w:hAnsiTheme="minorHAnsi"/>
        </w:rPr>
        <w:t>Appendix F</w:t>
      </w:r>
      <w:r w:rsidR="003A647E">
        <w:rPr>
          <w:rFonts w:asciiTheme="minorHAnsi" w:hAnsiTheme="minorHAnsi"/>
        </w:rPr>
        <w:t xml:space="preserve">) </w:t>
      </w:r>
      <w:r w:rsidR="00131EDF" w:rsidRPr="00BD74CF">
        <w:rPr>
          <w:rFonts w:asciiTheme="minorHAnsi" w:hAnsiTheme="minorHAnsi"/>
        </w:rPr>
        <w:t>provides further details on changes over time</w:t>
      </w:r>
      <w:r w:rsidR="00D870D8" w:rsidRPr="00BD74CF">
        <w:rPr>
          <w:rFonts w:asciiTheme="minorHAnsi" w:hAnsiTheme="minorHAnsi"/>
        </w:rPr>
        <w:t xml:space="preserve"> for PGSI scores</w:t>
      </w:r>
      <w:r w:rsidR="00FE2229">
        <w:rPr>
          <w:rFonts w:asciiTheme="minorHAnsi" w:hAnsiTheme="minorHAnsi"/>
        </w:rPr>
        <w:t xml:space="preserve"> while</w:t>
      </w:r>
      <w:r>
        <w:rPr>
          <w:rFonts w:asciiTheme="minorHAnsi" w:hAnsiTheme="minorHAnsi"/>
        </w:rPr>
        <w:t xml:space="preserve"> Figure 15</w:t>
      </w:r>
      <w:r w:rsidR="00764A4E">
        <w:rPr>
          <w:rFonts w:asciiTheme="minorHAnsi" w:hAnsiTheme="minorHAnsi"/>
        </w:rPr>
        <w:t xml:space="preserve"> illustrates changes for</w:t>
      </w:r>
      <w:r w:rsidR="003A647E">
        <w:rPr>
          <w:rFonts w:asciiTheme="minorHAnsi" w:hAnsiTheme="minorHAnsi"/>
        </w:rPr>
        <w:t xml:space="preserve"> those</w:t>
      </w:r>
      <w:r w:rsidR="00764A4E">
        <w:rPr>
          <w:rFonts w:asciiTheme="minorHAnsi" w:hAnsiTheme="minorHAnsi"/>
        </w:rPr>
        <w:t xml:space="preserve"> categories associated with harm from gambling</w:t>
      </w:r>
      <w:r w:rsidR="003A647E">
        <w:rPr>
          <w:rFonts w:asciiTheme="minorHAnsi" w:hAnsiTheme="minorHAnsi"/>
        </w:rPr>
        <w:t xml:space="preserve"> (i.e. low-risk, moderate-risk, problem, and combined moderate-risk </w:t>
      </w:r>
      <w:r w:rsidR="00017182">
        <w:rPr>
          <w:rFonts w:asciiTheme="minorHAnsi" w:hAnsiTheme="minorHAnsi"/>
        </w:rPr>
        <w:t>/</w:t>
      </w:r>
      <w:r w:rsidR="003A647E">
        <w:rPr>
          <w:rFonts w:asciiTheme="minorHAnsi" w:hAnsiTheme="minorHAnsi"/>
        </w:rPr>
        <w:t xml:space="preserve"> problem)</w:t>
      </w:r>
      <w:r w:rsidR="00131EDF" w:rsidRPr="00BD74CF">
        <w:rPr>
          <w:rFonts w:asciiTheme="minorHAnsi" w:hAnsiTheme="minorHAnsi"/>
        </w:rPr>
        <w:t xml:space="preserve">. </w:t>
      </w:r>
    </w:p>
    <w:p w14:paraId="550798A6" w14:textId="7F01B8C0" w:rsidR="000D542E" w:rsidRDefault="00FE2229" w:rsidP="006D4671">
      <w:pPr>
        <w:pStyle w:val="Caption"/>
        <w:keepNext/>
        <w:spacing w:after="0" w:line="276" w:lineRule="auto"/>
        <w:ind w:left="993" w:hanging="993"/>
        <w:rPr>
          <w:rFonts w:asciiTheme="minorHAnsi" w:hAnsiTheme="minorHAnsi"/>
        </w:rPr>
      </w:pPr>
      <w:bookmarkStart w:id="95" w:name="_Ref399773691"/>
      <w:bookmarkStart w:id="96" w:name="_Toc425426988"/>
      <w:r w:rsidRPr="00A847CC">
        <w:rPr>
          <w:rFonts w:asciiTheme="minorHAnsi" w:hAnsiTheme="minorHAnsi" w:cstheme="minorHAnsi"/>
          <w:i/>
        </w:rPr>
        <w:lastRenderedPageBreak/>
        <w:t xml:space="preserve">Figure </w:t>
      </w:r>
      <w:r w:rsidRPr="00A847CC">
        <w:rPr>
          <w:rFonts w:asciiTheme="minorHAnsi" w:hAnsiTheme="minorHAnsi" w:cstheme="minorHAnsi"/>
          <w:i/>
        </w:rPr>
        <w:fldChar w:fldCharType="begin"/>
      </w:r>
      <w:r w:rsidRPr="00A847CC">
        <w:rPr>
          <w:rFonts w:asciiTheme="minorHAnsi" w:hAnsiTheme="minorHAnsi" w:cstheme="minorHAnsi"/>
          <w:i/>
        </w:rPr>
        <w:instrText xml:space="preserve"> SEQ Figure \* ARABIC </w:instrText>
      </w:r>
      <w:r w:rsidRPr="00A847CC">
        <w:rPr>
          <w:rFonts w:asciiTheme="minorHAnsi" w:hAnsiTheme="minorHAnsi" w:cstheme="minorHAnsi"/>
          <w:i/>
        </w:rPr>
        <w:fldChar w:fldCharType="separate"/>
      </w:r>
      <w:r w:rsidR="00D71107">
        <w:rPr>
          <w:rFonts w:asciiTheme="minorHAnsi" w:hAnsiTheme="minorHAnsi" w:cstheme="minorHAnsi"/>
          <w:i/>
          <w:noProof/>
        </w:rPr>
        <w:t>15</w:t>
      </w:r>
      <w:r w:rsidRPr="00A847CC">
        <w:rPr>
          <w:rFonts w:asciiTheme="minorHAnsi" w:hAnsiTheme="minorHAnsi" w:cstheme="minorHAnsi"/>
          <w:i/>
        </w:rPr>
        <w:fldChar w:fldCharType="end"/>
      </w:r>
      <w:bookmarkEnd w:id="95"/>
      <w:r w:rsidRPr="00A847CC">
        <w:rPr>
          <w:rFonts w:asciiTheme="minorHAnsi" w:hAnsiTheme="minorHAnsi" w:cstheme="minorHAnsi"/>
          <w:i/>
        </w:rPr>
        <w:t xml:space="preserve">: </w:t>
      </w:r>
      <w:r>
        <w:rPr>
          <w:rFonts w:asciiTheme="minorHAnsi" w:hAnsiTheme="minorHAnsi" w:cstheme="minorHAnsi"/>
          <w:i/>
        </w:rPr>
        <w:tab/>
        <w:t>Prevalence of problem gambling</w:t>
      </w:r>
      <w:r w:rsidRPr="00AF3A24">
        <w:rPr>
          <w:rFonts w:asciiTheme="minorHAnsi" w:hAnsiTheme="minorHAnsi" w:cstheme="minorHAnsi"/>
          <w:i/>
        </w:rPr>
        <w:t xml:space="preserve"> by NZHS survey wave, total population aged 15 years and over</w:t>
      </w:r>
      <w:r w:rsidR="006965C6">
        <w:rPr>
          <w:rFonts w:asciiTheme="minorHAnsi" w:hAnsiTheme="minorHAnsi" w:cstheme="minorHAnsi"/>
          <w:i/>
        </w:rPr>
        <w:t xml:space="preserve"> (adjusted prevalence</w:t>
      </w:r>
      <w:r w:rsidRPr="00AF3A24">
        <w:rPr>
          <w:rFonts w:asciiTheme="minorHAnsi" w:hAnsiTheme="minorHAnsi" w:cstheme="minorHAnsi"/>
          <w:i/>
        </w:rPr>
        <w:t xml:space="preserve">) </w:t>
      </w:r>
      <w:r w:rsidRPr="00A847CC">
        <w:rPr>
          <w:rFonts w:asciiTheme="minorHAnsi" w:hAnsiTheme="minorHAnsi" w:cstheme="minorHAnsi"/>
          <w:i/>
          <w:vertAlign w:val="superscript"/>
        </w:rPr>
        <w:t>1</w:t>
      </w:r>
      <w:bookmarkEnd w:id="96"/>
    </w:p>
    <w:p w14:paraId="1F780B2C" w14:textId="77777777" w:rsidR="000D542E" w:rsidRDefault="00B91787" w:rsidP="000738F0">
      <w:pPr>
        <w:spacing w:line="240" w:lineRule="auto"/>
        <w:jc w:val="center"/>
        <w:rPr>
          <w:rFonts w:asciiTheme="minorHAnsi" w:hAnsiTheme="minorHAnsi"/>
        </w:rPr>
      </w:pPr>
      <w:r>
        <w:rPr>
          <w:noProof/>
          <w:lang w:eastAsia="en-NZ"/>
        </w:rPr>
        <w:drawing>
          <wp:inline distT="0" distB="0" distL="0" distR="0" wp14:anchorId="34153D9F" wp14:editId="2DE9D63A">
            <wp:extent cx="5199321" cy="2955851"/>
            <wp:effectExtent l="0" t="0" r="20955" b="1651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B515BEB" w14:textId="77777777" w:rsidR="00FE2229" w:rsidRPr="00AF3A24" w:rsidRDefault="00FE2229" w:rsidP="00B970C8">
      <w:pPr>
        <w:spacing w:before="0" w:line="240" w:lineRule="auto"/>
        <w:ind w:left="1560" w:hanging="142"/>
        <w:rPr>
          <w:rFonts w:asciiTheme="minorHAnsi" w:hAnsiTheme="minorHAnsi" w:cstheme="minorHAnsi"/>
          <w:sz w:val="16"/>
          <w:szCs w:val="16"/>
        </w:rPr>
      </w:pPr>
      <w:r w:rsidRPr="00AF3A24">
        <w:rPr>
          <w:rFonts w:asciiTheme="minorHAnsi" w:hAnsiTheme="minorHAnsi" w:cstheme="minorHAnsi"/>
          <w:sz w:val="16"/>
          <w:szCs w:val="16"/>
        </w:rPr>
        <w:t>Notes:</w:t>
      </w:r>
    </w:p>
    <w:p w14:paraId="5B402468" w14:textId="4EEDEB51" w:rsidR="00FE2229" w:rsidRPr="00B970C8" w:rsidRDefault="00FE2229" w:rsidP="00B970C8">
      <w:pPr>
        <w:pStyle w:val="ListParagraph"/>
        <w:numPr>
          <w:ilvl w:val="0"/>
          <w:numId w:val="56"/>
        </w:numPr>
        <w:spacing w:line="240" w:lineRule="auto"/>
        <w:ind w:left="1701" w:right="1182" w:hanging="283"/>
        <w:rPr>
          <w:rFonts w:asciiTheme="minorHAnsi" w:hAnsiTheme="minorHAnsi"/>
          <w:sz w:val="16"/>
          <w:szCs w:val="16"/>
        </w:rPr>
      </w:pPr>
      <w:r w:rsidRPr="00B970C8">
        <w:rPr>
          <w:rFonts w:asciiTheme="minorHAnsi" w:hAnsiTheme="minorHAnsi" w:cstheme="minorHAnsi"/>
          <w:sz w:val="16"/>
          <w:szCs w:val="16"/>
        </w:rPr>
        <w:t>Sources: 2006/07 and 2011/12 New Zealand Health Surveys.</w:t>
      </w:r>
      <w:r w:rsidR="00B970C8" w:rsidRPr="00B970C8">
        <w:rPr>
          <w:rFonts w:asciiTheme="minorHAnsi" w:hAnsiTheme="minorHAnsi" w:cstheme="minorHAnsi"/>
          <w:sz w:val="16"/>
          <w:szCs w:val="16"/>
        </w:rPr>
        <w:t xml:space="preserve"> </w:t>
      </w:r>
      <w:r w:rsidR="006965C6">
        <w:rPr>
          <w:rFonts w:asciiTheme="minorHAnsi" w:hAnsiTheme="minorHAnsi" w:cstheme="minorHAnsi"/>
          <w:sz w:val="16"/>
          <w:szCs w:val="16"/>
        </w:rPr>
        <w:t xml:space="preserve">Percentages and 95% confidence intervals have been age-standardised in accordance with World Health Organisation (WHO) age population distributions </w:t>
      </w:r>
      <w:r w:rsidR="006965C6">
        <w:rPr>
          <w:rFonts w:asciiTheme="minorHAnsi" w:hAnsiTheme="minorHAnsi" w:cstheme="minorHAnsi"/>
          <w:sz w:val="16"/>
          <w:szCs w:val="16"/>
        </w:rPr>
        <w:fldChar w:fldCharType="begin"/>
      </w:r>
      <w:r w:rsidR="006965C6">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965C6">
        <w:rPr>
          <w:rFonts w:asciiTheme="minorHAnsi" w:hAnsiTheme="minorHAnsi" w:cstheme="minorHAnsi"/>
          <w:sz w:val="16"/>
          <w:szCs w:val="16"/>
        </w:rPr>
        <w:fldChar w:fldCharType="separate"/>
      </w:r>
      <w:r w:rsidR="006965C6">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965C6">
        <w:rPr>
          <w:rFonts w:asciiTheme="minorHAnsi" w:hAnsiTheme="minorHAnsi" w:cstheme="minorHAnsi"/>
          <w:noProof/>
          <w:sz w:val="16"/>
          <w:szCs w:val="16"/>
        </w:rPr>
        <w:t>)</w:t>
      </w:r>
      <w:r w:rsidR="006965C6">
        <w:rPr>
          <w:rFonts w:asciiTheme="minorHAnsi" w:hAnsiTheme="minorHAnsi" w:cstheme="minorHAnsi"/>
          <w:sz w:val="16"/>
          <w:szCs w:val="16"/>
        </w:rPr>
        <w:fldChar w:fldCharType="end"/>
      </w:r>
      <w:r w:rsidR="006965C6">
        <w:rPr>
          <w:rFonts w:asciiTheme="minorHAnsi" w:hAnsiTheme="minorHAnsi" w:cstheme="minorHAnsi"/>
          <w:sz w:val="16"/>
          <w:szCs w:val="16"/>
        </w:rPr>
        <w:t>.</w:t>
      </w:r>
    </w:p>
    <w:p w14:paraId="46C1820C" w14:textId="77777777" w:rsidR="000D542E" w:rsidRDefault="000D542E" w:rsidP="00BD74CF">
      <w:pPr>
        <w:rPr>
          <w:rFonts w:asciiTheme="minorHAnsi" w:hAnsiTheme="minorHAnsi"/>
        </w:rPr>
      </w:pPr>
    </w:p>
    <w:p w14:paraId="08A6DF27" w14:textId="77777777" w:rsidR="00905F81" w:rsidRDefault="00905F81" w:rsidP="00F061EF">
      <w:pPr>
        <w:pStyle w:val="Heading2"/>
      </w:pPr>
      <w:bookmarkStart w:id="97" w:name="_Toc403833167"/>
      <w:r>
        <w:t>Profile</w:t>
      </w:r>
      <w:r w:rsidRPr="00AF3A24">
        <w:t xml:space="preserve"> </w:t>
      </w:r>
      <w:r>
        <w:t xml:space="preserve">of </w:t>
      </w:r>
      <w:r w:rsidR="00B803ED">
        <w:t>people experiencing problem gambling</w:t>
      </w:r>
      <w:bookmarkEnd w:id="97"/>
    </w:p>
    <w:p w14:paraId="11937173" w14:textId="5B168452" w:rsidR="000738F0" w:rsidRPr="006965C6" w:rsidRDefault="004A4B45" w:rsidP="006965C6">
      <w:pPr>
        <w:rPr>
          <w:rFonts w:asciiTheme="minorHAnsi" w:hAnsiTheme="minorHAnsi"/>
        </w:rPr>
      </w:pPr>
      <w:r>
        <w:rPr>
          <w:rFonts w:asciiTheme="minorHAnsi" w:hAnsiTheme="minorHAnsi"/>
        </w:rPr>
        <w:t xml:space="preserve">A number of significant associations were observed between PGSI categorisation and demographic characteristics. </w:t>
      </w:r>
      <w:r w:rsidR="00FB0B7B">
        <w:rPr>
          <w:rFonts w:asciiTheme="minorHAnsi" w:hAnsiTheme="minorHAnsi"/>
        </w:rPr>
        <w:t xml:space="preserve"> </w:t>
      </w:r>
      <w:r w:rsidR="001E4885">
        <w:rPr>
          <w:rFonts w:asciiTheme="minorHAnsi" w:hAnsiTheme="minorHAnsi"/>
        </w:rPr>
        <w:t xml:space="preserve">Moderate-risk and problem gambling categories have been combined in this section due to sample sizes / small numbers.  </w:t>
      </w:r>
      <w:r w:rsidR="00FB0B7B">
        <w:rPr>
          <w:rFonts w:asciiTheme="minorHAnsi" w:hAnsiTheme="minorHAnsi"/>
        </w:rPr>
        <w:t xml:space="preserve">Significant findings are discussed in the following sub-sections, while further details (prevalence estimates and 95% confidence intervals, odds ratios and p-values) can be found in </w:t>
      </w:r>
      <w:r w:rsidR="00EE39F7">
        <w:rPr>
          <w:rFonts w:asciiTheme="minorHAnsi" w:hAnsiTheme="minorHAnsi"/>
        </w:rPr>
        <w:t>Table 24</w:t>
      </w:r>
      <w:r w:rsidR="00FB0B7B">
        <w:rPr>
          <w:rFonts w:asciiTheme="minorHAnsi" w:hAnsiTheme="minorHAnsi"/>
        </w:rPr>
        <w:t xml:space="preserve">, </w:t>
      </w:r>
      <w:r w:rsidR="00EE39F7">
        <w:rPr>
          <w:rFonts w:asciiTheme="minorHAnsi" w:hAnsiTheme="minorHAnsi"/>
        </w:rPr>
        <w:t>Appendix G</w:t>
      </w:r>
      <w:r w:rsidR="00FB0B7B">
        <w:rPr>
          <w:rFonts w:asciiTheme="minorHAnsi" w:hAnsiTheme="minorHAnsi"/>
        </w:rPr>
        <w:t xml:space="preserve">. </w:t>
      </w:r>
      <w:bookmarkStart w:id="98" w:name="_Toc403833168"/>
    </w:p>
    <w:p w14:paraId="607411C1" w14:textId="77777777" w:rsidR="00B77FEF" w:rsidRPr="00B77FEF" w:rsidRDefault="00B77FEF" w:rsidP="00F061EF">
      <w:pPr>
        <w:pStyle w:val="Heading3"/>
      </w:pPr>
      <w:r w:rsidRPr="00B77FEF">
        <w:t>By gender</w:t>
      </w:r>
      <w:bookmarkEnd w:id="98"/>
    </w:p>
    <w:p w14:paraId="5FDA162B" w14:textId="77777777" w:rsidR="00B77FEF" w:rsidRPr="00B77FEF" w:rsidRDefault="00B77FEF" w:rsidP="00B77FEF">
      <w:pPr>
        <w:rPr>
          <w:rFonts w:asciiTheme="minorHAnsi" w:hAnsiTheme="minorHAnsi"/>
        </w:rPr>
      </w:pPr>
      <w:r>
        <w:rPr>
          <w:rFonts w:asciiTheme="minorHAnsi" w:hAnsiTheme="minorHAnsi"/>
        </w:rPr>
        <w:t>A</w:t>
      </w:r>
      <w:r w:rsidRPr="00B77FEF">
        <w:rPr>
          <w:rFonts w:asciiTheme="minorHAnsi" w:hAnsiTheme="minorHAnsi"/>
        </w:rPr>
        <w:t xml:space="preserve"> significant association</w:t>
      </w:r>
      <w:r>
        <w:rPr>
          <w:rFonts w:asciiTheme="minorHAnsi" w:hAnsiTheme="minorHAnsi"/>
        </w:rPr>
        <w:t xml:space="preserve"> was observed </w:t>
      </w:r>
      <w:r w:rsidRPr="00B77FEF">
        <w:rPr>
          <w:rFonts w:asciiTheme="minorHAnsi" w:hAnsiTheme="minorHAnsi"/>
        </w:rPr>
        <w:t>between gender and moderate-risk</w:t>
      </w:r>
      <w:r w:rsidR="00017182">
        <w:rPr>
          <w:rFonts w:asciiTheme="minorHAnsi" w:hAnsiTheme="minorHAnsi"/>
        </w:rPr>
        <w:t>/problem</w:t>
      </w:r>
      <w:r w:rsidRPr="00B77FEF">
        <w:rPr>
          <w:rFonts w:asciiTheme="minorHAnsi" w:hAnsiTheme="minorHAnsi"/>
        </w:rPr>
        <w:t xml:space="preserve"> gambling (p=0.0023), with males being nearly twice as likely (OR=1.8)</w:t>
      </w:r>
      <w:r w:rsidR="00FA7C0C">
        <w:rPr>
          <w:rFonts w:asciiTheme="minorHAnsi" w:hAnsiTheme="minorHAnsi"/>
        </w:rPr>
        <w:t xml:space="preserve"> as females</w:t>
      </w:r>
      <w:r w:rsidR="00C75166">
        <w:rPr>
          <w:rFonts w:asciiTheme="minorHAnsi" w:hAnsiTheme="minorHAnsi"/>
        </w:rPr>
        <w:t xml:space="preserve"> </w:t>
      </w:r>
      <w:r w:rsidRPr="00B77FEF">
        <w:rPr>
          <w:rFonts w:asciiTheme="minorHAnsi" w:hAnsiTheme="minorHAnsi"/>
        </w:rPr>
        <w:t>to be categorised as problem/moderate gamblers.</w:t>
      </w:r>
      <w:r w:rsidR="00965E4B">
        <w:rPr>
          <w:rFonts w:asciiTheme="minorHAnsi" w:hAnsiTheme="minorHAnsi"/>
        </w:rPr>
        <w:t xml:space="preserve">  </w:t>
      </w:r>
      <w:r w:rsidR="00B54BA9">
        <w:rPr>
          <w:rFonts w:asciiTheme="minorHAnsi" w:hAnsiTheme="minorHAnsi"/>
        </w:rPr>
        <w:t>Figure 16</w:t>
      </w:r>
      <w:r w:rsidR="00965E4B">
        <w:rPr>
          <w:rFonts w:asciiTheme="minorHAnsi" w:hAnsiTheme="minorHAnsi"/>
        </w:rPr>
        <w:t xml:space="preserve"> illustrates the proportions of males and females who were low-risk and </w:t>
      </w:r>
      <w:r w:rsidR="00017182" w:rsidRPr="00B77FEF">
        <w:rPr>
          <w:rFonts w:asciiTheme="minorHAnsi" w:hAnsiTheme="minorHAnsi"/>
        </w:rPr>
        <w:t>moderate-risk</w:t>
      </w:r>
      <w:r w:rsidR="00017182">
        <w:rPr>
          <w:rFonts w:asciiTheme="minorHAnsi" w:hAnsiTheme="minorHAnsi"/>
        </w:rPr>
        <w:t>/problem</w:t>
      </w:r>
      <w:r w:rsidR="00017182" w:rsidRPr="00B77FEF">
        <w:rPr>
          <w:rFonts w:asciiTheme="minorHAnsi" w:hAnsiTheme="minorHAnsi"/>
        </w:rPr>
        <w:t xml:space="preserve"> </w:t>
      </w:r>
      <w:r w:rsidR="00965E4B">
        <w:rPr>
          <w:rFonts w:asciiTheme="minorHAnsi" w:hAnsiTheme="minorHAnsi"/>
        </w:rPr>
        <w:t xml:space="preserve">gamblers. </w:t>
      </w:r>
    </w:p>
    <w:p w14:paraId="4C914F87" w14:textId="77777777" w:rsidR="009D150D" w:rsidRPr="00AF3A24" w:rsidRDefault="009D150D" w:rsidP="009D150D">
      <w:pPr>
        <w:pStyle w:val="Caption"/>
        <w:keepNext/>
        <w:spacing w:after="0" w:line="276" w:lineRule="auto"/>
        <w:ind w:left="993" w:hanging="993"/>
        <w:rPr>
          <w:rFonts w:asciiTheme="minorHAnsi" w:hAnsiTheme="minorHAnsi" w:cstheme="minorHAnsi"/>
          <w:i/>
        </w:rPr>
      </w:pPr>
      <w:bookmarkStart w:id="99" w:name="_Ref399837826"/>
      <w:bookmarkStart w:id="100" w:name="_Toc425426989"/>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16</w:t>
      </w:r>
      <w:r w:rsidRPr="00AF3A24">
        <w:rPr>
          <w:rFonts w:asciiTheme="minorHAnsi" w:hAnsiTheme="minorHAnsi" w:cstheme="minorHAnsi"/>
          <w:i/>
          <w:noProof/>
        </w:rPr>
        <w:fldChar w:fldCharType="end"/>
      </w:r>
      <w:bookmarkEnd w:id="99"/>
      <w:r w:rsidRPr="00AF3A24">
        <w:rPr>
          <w:rFonts w:asciiTheme="minorHAnsi" w:hAnsiTheme="minorHAnsi" w:cstheme="minorHAnsi"/>
          <w:i/>
        </w:rPr>
        <w:t xml:space="preserve">: </w:t>
      </w:r>
      <w:r w:rsidRPr="00AF3A24">
        <w:rPr>
          <w:rFonts w:asciiTheme="minorHAnsi" w:hAnsiTheme="minorHAnsi" w:cstheme="minorHAnsi"/>
          <w:i/>
        </w:rPr>
        <w:tab/>
      </w:r>
      <w:r>
        <w:rPr>
          <w:rFonts w:asciiTheme="minorHAnsi" w:hAnsiTheme="minorHAnsi" w:cstheme="minorHAnsi"/>
          <w:i/>
        </w:rPr>
        <w:t>Problem gambling level</w:t>
      </w:r>
      <w:r w:rsidRPr="00AF3A24">
        <w:rPr>
          <w:rFonts w:asciiTheme="minorHAnsi" w:hAnsiTheme="minorHAnsi" w:cstheme="minorHAnsi"/>
          <w:i/>
        </w:rPr>
        <w:t>, by gender,</w:t>
      </w:r>
      <w:r w:rsidRPr="00AF3A24">
        <w:rPr>
          <w:rFonts w:asciiTheme="minorHAnsi" w:hAnsiTheme="minorHAnsi" w:cstheme="minorHAnsi"/>
          <w:i/>
          <w:lang w:val="en-US"/>
        </w:rPr>
        <w:t xml:space="preserve"> </w:t>
      </w:r>
      <w:r w:rsidRPr="00AF3A24">
        <w:rPr>
          <w:rFonts w:asciiTheme="minorHAnsi" w:hAnsiTheme="minorHAnsi" w:cstheme="minorHAnsi"/>
          <w:i/>
        </w:rPr>
        <w:t>total population aged 15 years and over (unadjusted prevalence; N=12,59</w:t>
      </w:r>
      <w:r w:rsidR="008D6D9E">
        <w:rPr>
          <w:rFonts w:asciiTheme="minorHAnsi" w:hAnsiTheme="minorHAnsi" w:cstheme="minorHAnsi"/>
          <w:i/>
        </w:rPr>
        <w:t>4</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00"/>
    </w:p>
    <w:p w14:paraId="7DA4DB0F" w14:textId="77777777" w:rsidR="009E011C" w:rsidRDefault="009E011C" w:rsidP="009E011C">
      <w:pPr>
        <w:spacing w:line="240" w:lineRule="auto"/>
        <w:jc w:val="center"/>
        <w:rPr>
          <w:rFonts w:asciiTheme="minorHAnsi" w:hAnsiTheme="minorHAnsi" w:cstheme="minorHAnsi"/>
          <w:sz w:val="16"/>
        </w:rPr>
      </w:pPr>
      <w:r>
        <w:rPr>
          <w:noProof/>
          <w:lang w:eastAsia="en-NZ"/>
        </w:rPr>
        <w:drawing>
          <wp:inline distT="0" distB="0" distL="0" distR="0" wp14:anchorId="7ECC4443" wp14:editId="7D63AC55">
            <wp:extent cx="5229225" cy="3009900"/>
            <wp:effectExtent l="0" t="0" r="9525"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874D9AB" w14:textId="77777777" w:rsidR="009E011C" w:rsidRPr="0045616C" w:rsidRDefault="009E011C" w:rsidP="009E011C">
      <w:pPr>
        <w:spacing w:before="0" w:line="240" w:lineRule="auto"/>
        <w:ind w:left="993"/>
        <w:rPr>
          <w:rFonts w:asciiTheme="minorHAnsi" w:hAnsiTheme="minorHAnsi" w:cstheme="minorHAnsi"/>
          <w:sz w:val="16"/>
        </w:rPr>
      </w:pPr>
      <w:r w:rsidRPr="0045616C">
        <w:rPr>
          <w:rFonts w:asciiTheme="minorHAnsi" w:hAnsiTheme="minorHAnsi" w:cstheme="minorHAnsi"/>
          <w:sz w:val="16"/>
        </w:rPr>
        <w:t>Notes:</w:t>
      </w:r>
    </w:p>
    <w:p w14:paraId="75CF3B7A" w14:textId="77777777" w:rsidR="009E011C" w:rsidRPr="00F11F34" w:rsidRDefault="009E011C" w:rsidP="004F129A">
      <w:pPr>
        <w:pStyle w:val="ListParagraph"/>
        <w:numPr>
          <w:ilvl w:val="0"/>
          <w:numId w:val="102"/>
        </w:numPr>
        <w:spacing w:line="240" w:lineRule="auto"/>
        <w:ind w:right="1182"/>
        <w:rPr>
          <w:rFonts w:asciiTheme="minorHAnsi" w:hAnsiTheme="minorHAnsi"/>
          <w:sz w:val="16"/>
          <w:szCs w:val="16"/>
        </w:rPr>
      </w:pPr>
      <w:r w:rsidRPr="0045616C">
        <w:rPr>
          <w:rFonts w:asciiTheme="minorHAnsi" w:hAnsiTheme="minorHAnsi" w:cstheme="minorHAnsi"/>
          <w:sz w:val="16"/>
        </w:rPr>
        <w:t xml:space="preserve">Source: 2011/12 New Zealand Health Survey. </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2A29A6AA" w14:textId="77777777" w:rsidR="009E011C" w:rsidRPr="00965E4B" w:rsidRDefault="009E011C" w:rsidP="00965E4B">
      <w:pPr>
        <w:spacing w:line="240" w:lineRule="auto"/>
        <w:rPr>
          <w:rFonts w:asciiTheme="minorHAnsi" w:hAnsiTheme="minorHAnsi" w:cstheme="minorHAnsi"/>
          <w:sz w:val="16"/>
        </w:rPr>
      </w:pPr>
    </w:p>
    <w:p w14:paraId="1AEB9E9A" w14:textId="6A06EA4A" w:rsidR="00197F03" w:rsidRDefault="00197F03">
      <w:pPr>
        <w:spacing w:before="0" w:after="200" w:line="276" w:lineRule="auto"/>
        <w:jc w:val="left"/>
        <w:rPr>
          <w:rFonts w:asciiTheme="minorHAnsi" w:hAnsiTheme="minorHAnsi" w:cstheme="minorHAnsi"/>
          <w:b/>
          <w:iCs/>
          <w:color w:val="1F497D"/>
          <w:szCs w:val="26"/>
        </w:rPr>
      </w:pPr>
      <w:bookmarkStart w:id="101" w:name="_Toc403833169"/>
    </w:p>
    <w:p w14:paraId="5C30416D" w14:textId="77777777" w:rsidR="00965E4B" w:rsidRDefault="00965E4B" w:rsidP="00F061EF">
      <w:pPr>
        <w:pStyle w:val="Heading3"/>
      </w:pPr>
      <w:r w:rsidRPr="00B77FEF">
        <w:t xml:space="preserve">By </w:t>
      </w:r>
      <w:r w:rsidR="00796881">
        <w:t>age-group</w:t>
      </w:r>
      <w:bookmarkEnd w:id="101"/>
    </w:p>
    <w:p w14:paraId="424AD760" w14:textId="77777777" w:rsidR="00E75E29" w:rsidRDefault="00E75E29" w:rsidP="00E75E29">
      <w:pPr>
        <w:rPr>
          <w:rFonts w:asciiTheme="minorHAnsi" w:hAnsiTheme="minorHAnsi"/>
        </w:rPr>
      </w:pPr>
      <w:r w:rsidRPr="00E75E29">
        <w:rPr>
          <w:rFonts w:asciiTheme="minorHAnsi" w:hAnsiTheme="minorHAnsi"/>
        </w:rPr>
        <w:t>Age was significantly associated with gambling status (p=0.0046). Those aged ‘25-34’ and ‘45-54’ were approximately three and a half times more likely (OR=3.4 and OR=3.6 respectively) than those aged ‘65 or older’</w:t>
      </w:r>
      <w:r w:rsidR="00C75166">
        <w:rPr>
          <w:rFonts w:asciiTheme="minorHAnsi" w:hAnsiTheme="minorHAnsi"/>
        </w:rPr>
        <w:t xml:space="preserve"> </w:t>
      </w:r>
      <w:r w:rsidR="00FA7C0C">
        <w:rPr>
          <w:rFonts w:asciiTheme="minorHAnsi" w:hAnsiTheme="minorHAnsi"/>
        </w:rPr>
        <w:t>t</w:t>
      </w:r>
      <w:r w:rsidRPr="00E75E29">
        <w:rPr>
          <w:rFonts w:asciiTheme="minorHAnsi" w:hAnsiTheme="minorHAnsi"/>
        </w:rPr>
        <w:t xml:space="preserve">o satisfy the criteria for </w:t>
      </w:r>
      <w:r w:rsidR="00017182" w:rsidRPr="00B77FEF">
        <w:rPr>
          <w:rFonts w:asciiTheme="minorHAnsi" w:hAnsiTheme="minorHAnsi"/>
        </w:rPr>
        <w:t>moderate-risk</w:t>
      </w:r>
      <w:r w:rsidR="00017182">
        <w:rPr>
          <w:rFonts w:asciiTheme="minorHAnsi" w:hAnsiTheme="minorHAnsi"/>
        </w:rPr>
        <w:t>/problem</w:t>
      </w:r>
      <w:r w:rsidR="00017182" w:rsidRPr="00B77FEF">
        <w:rPr>
          <w:rFonts w:asciiTheme="minorHAnsi" w:hAnsiTheme="minorHAnsi"/>
        </w:rPr>
        <w:t xml:space="preserve"> </w:t>
      </w:r>
      <w:r w:rsidRPr="00E75E29">
        <w:rPr>
          <w:rFonts w:asciiTheme="minorHAnsi" w:hAnsiTheme="minorHAnsi"/>
        </w:rPr>
        <w:t xml:space="preserve">gambling.  </w:t>
      </w:r>
      <w:r w:rsidR="00B54BA9">
        <w:rPr>
          <w:rFonts w:asciiTheme="minorHAnsi" w:hAnsiTheme="minorHAnsi"/>
        </w:rPr>
        <w:t>Figure 17</w:t>
      </w:r>
      <w:r w:rsidR="00507E7C" w:rsidRPr="00507E7C">
        <w:rPr>
          <w:rFonts w:asciiTheme="minorHAnsi" w:hAnsiTheme="minorHAnsi"/>
        </w:rPr>
        <w:t xml:space="preserve"> </w:t>
      </w:r>
      <w:r w:rsidR="00507E7C">
        <w:rPr>
          <w:rFonts w:asciiTheme="minorHAnsi" w:hAnsiTheme="minorHAnsi"/>
        </w:rPr>
        <w:t xml:space="preserve">illustrates the odds-ratios for moderate-risk/problem gambling by age-group. </w:t>
      </w:r>
    </w:p>
    <w:p w14:paraId="4C35637A" w14:textId="77777777" w:rsidR="00507E7C" w:rsidRPr="00AF3A24" w:rsidRDefault="00507E7C" w:rsidP="00507E7C">
      <w:pPr>
        <w:pStyle w:val="Caption"/>
        <w:keepNext/>
        <w:spacing w:after="0" w:line="276" w:lineRule="auto"/>
        <w:ind w:left="993" w:hanging="993"/>
        <w:rPr>
          <w:rFonts w:asciiTheme="minorHAnsi" w:hAnsiTheme="minorHAnsi" w:cstheme="minorHAnsi"/>
          <w:i/>
        </w:rPr>
      </w:pPr>
      <w:bookmarkStart w:id="102" w:name="_Ref402777350"/>
      <w:bookmarkStart w:id="103" w:name="_Toc425426990"/>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17</w:t>
      </w:r>
      <w:r w:rsidRPr="00AF3A24">
        <w:rPr>
          <w:rFonts w:asciiTheme="minorHAnsi" w:hAnsiTheme="minorHAnsi" w:cstheme="minorHAnsi"/>
          <w:i/>
          <w:noProof/>
        </w:rPr>
        <w:fldChar w:fldCharType="end"/>
      </w:r>
      <w:bookmarkEnd w:id="102"/>
      <w:r w:rsidRPr="00AF3A24">
        <w:rPr>
          <w:rFonts w:asciiTheme="minorHAnsi" w:hAnsiTheme="minorHAnsi" w:cstheme="minorHAnsi"/>
          <w:i/>
        </w:rPr>
        <w:t xml:space="preserve">: </w:t>
      </w:r>
      <w:r w:rsidRPr="00AF3A24">
        <w:rPr>
          <w:rFonts w:asciiTheme="minorHAnsi" w:hAnsiTheme="minorHAnsi" w:cstheme="minorHAnsi"/>
          <w:i/>
        </w:rPr>
        <w:tab/>
      </w:r>
      <w:r>
        <w:rPr>
          <w:rFonts w:asciiTheme="minorHAnsi" w:hAnsiTheme="minorHAnsi" w:cstheme="minorHAnsi"/>
          <w:i/>
        </w:rPr>
        <w:t>Moderate-risk/problem gambling</w:t>
      </w:r>
      <w:r w:rsidRPr="00AF3A24">
        <w:rPr>
          <w:rFonts w:asciiTheme="minorHAnsi" w:hAnsiTheme="minorHAnsi" w:cstheme="minorHAnsi"/>
          <w:i/>
        </w:rPr>
        <w:t xml:space="preserve">, by </w:t>
      </w:r>
      <w:r>
        <w:rPr>
          <w:rFonts w:asciiTheme="minorHAnsi" w:hAnsiTheme="minorHAnsi" w:cstheme="minorHAnsi"/>
          <w:i/>
        </w:rPr>
        <w:t>age-group</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total population aged 15 years and over (unadjusted prevalence; N=12,59</w:t>
      </w:r>
      <w:r>
        <w:rPr>
          <w:rFonts w:asciiTheme="minorHAnsi" w:hAnsiTheme="minorHAnsi" w:cstheme="minorHAnsi"/>
          <w:i/>
        </w:rPr>
        <w:t>4</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03"/>
    </w:p>
    <w:p w14:paraId="373624D9" w14:textId="77777777" w:rsidR="00507E7C" w:rsidRDefault="00507E7C" w:rsidP="00EE7C3F">
      <w:pPr>
        <w:spacing w:line="240" w:lineRule="auto"/>
        <w:jc w:val="center"/>
        <w:rPr>
          <w:rFonts w:asciiTheme="minorHAnsi" w:hAnsiTheme="minorHAnsi"/>
        </w:rPr>
      </w:pPr>
      <w:r>
        <w:rPr>
          <w:noProof/>
          <w:lang w:eastAsia="en-NZ"/>
        </w:rPr>
        <w:drawing>
          <wp:inline distT="0" distB="0" distL="0" distR="0" wp14:anchorId="73D72B97" wp14:editId="20B043A8">
            <wp:extent cx="5241851" cy="4038965"/>
            <wp:effectExtent l="0" t="0" r="0" b="0"/>
            <wp:docPr id="9" name="Picture 9" descr="C:\Users\fros001.000\AppData\Local\Microsoft\Windows\Temporary Internet Files\Content.Word\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os001.000\AppData\Local\Microsoft\Windows\Temporary Internet Files\Content.Word\Age2.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b="4838"/>
                    <a:stretch/>
                  </pic:blipFill>
                  <pic:spPr bwMode="auto">
                    <a:xfrm>
                      <a:off x="0" y="0"/>
                      <a:ext cx="5241851" cy="4038965"/>
                    </a:xfrm>
                    <a:prstGeom prst="rect">
                      <a:avLst/>
                    </a:prstGeom>
                    <a:noFill/>
                    <a:ln>
                      <a:noFill/>
                    </a:ln>
                    <a:extLst>
                      <a:ext uri="{53640926-AAD7-44D8-BBD7-CCE9431645EC}">
                        <a14:shadowObscured xmlns:a14="http://schemas.microsoft.com/office/drawing/2010/main"/>
                      </a:ext>
                    </a:extLst>
                  </pic:spPr>
                </pic:pic>
              </a:graphicData>
            </a:graphic>
          </wp:inline>
        </w:drawing>
      </w:r>
    </w:p>
    <w:p w14:paraId="33307765" w14:textId="77777777" w:rsidR="00EE7C3F" w:rsidRPr="0045616C" w:rsidRDefault="00EE7C3F" w:rsidP="00D352BF">
      <w:pPr>
        <w:tabs>
          <w:tab w:val="left" w:pos="3081"/>
        </w:tabs>
        <w:spacing w:before="0" w:line="240" w:lineRule="auto"/>
        <w:ind w:left="1843"/>
        <w:rPr>
          <w:rFonts w:asciiTheme="minorHAnsi" w:hAnsiTheme="minorHAnsi" w:cstheme="minorHAnsi"/>
          <w:sz w:val="16"/>
        </w:rPr>
      </w:pPr>
      <w:r w:rsidRPr="0045616C">
        <w:rPr>
          <w:rFonts w:asciiTheme="minorHAnsi" w:hAnsiTheme="minorHAnsi" w:cstheme="minorHAnsi"/>
          <w:sz w:val="16"/>
        </w:rPr>
        <w:t>Notes:</w:t>
      </w:r>
      <w:r w:rsidR="00D352BF">
        <w:rPr>
          <w:rFonts w:asciiTheme="minorHAnsi" w:hAnsiTheme="minorHAnsi" w:cstheme="minorHAnsi"/>
          <w:sz w:val="16"/>
        </w:rPr>
        <w:tab/>
      </w:r>
    </w:p>
    <w:p w14:paraId="65611A02" w14:textId="77777777" w:rsidR="00EE7C3F" w:rsidRDefault="00EE7C3F" w:rsidP="004F129A">
      <w:pPr>
        <w:pStyle w:val="ListParagraph"/>
        <w:numPr>
          <w:ilvl w:val="0"/>
          <w:numId w:val="83"/>
        </w:numPr>
        <w:spacing w:line="240" w:lineRule="auto"/>
        <w:ind w:left="2127" w:hanging="284"/>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592FA108" w14:textId="77777777" w:rsidR="00507E7C" w:rsidRDefault="00507E7C" w:rsidP="00AA3674">
      <w:pPr>
        <w:jc w:val="center"/>
        <w:rPr>
          <w:rFonts w:asciiTheme="minorHAnsi" w:hAnsiTheme="minorHAnsi"/>
        </w:rPr>
      </w:pPr>
    </w:p>
    <w:p w14:paraId="134195BD" w14:textId="77777777" w:rsidR="00197F03" w:rsidRDefault="00197F03">
      <w:pPr>
        <w:spacing w:before="0" w:after="200" w:line="276" w:lineRule="auto"/>
        <w:jc w:val="left"/>
        <w:rPr>
          <w:rFonts w:asciiTheme="minorHAnsi" w:hAnsiTheme="minorHAnsi" w:cstheme="minorHAnsi"/>
          <w:b/>
          <w:iCs/>
          <w:color w:val="1F497D"/>
          <w:szCs w:val="26"/>
        </w:rPr>
      </w:pPr>
      <w:bookmarkStart w:id="104" w:name="_Toc403833170"/>
      <w:r>
        <w:br w:type="page"/>
      </w:r>
    </w:p>
    <w:p w14:paraId="561A215E" w14:textId="77777777" w:rsidR="00E75E29" w:rsidRDefault="00E75E29" w:rsidP="00F061EF">
      <w:pPr>
        <w:pStyle w:val="Heading3"/>
      </w:pPr>
      <w:r w:rsidRPr="00B77FEF">
        <w:lastRenderedPageBreak/>
        <w:t xml:space="preserve">By </w:t>
      </w:r>
      <w:r>
        <w:t>ethnicity</w:t>
      </w:r>
      <w:bookmarkEnd w:id="104"/>
    </w:p>
    <w:p w14:paraId="437EE558" w14:textId="467B306C" w:rsidR="00E75E29" w:rsidRDefault="00C75166" w:rsidP="00E75E29">
      <w:pPr>
        <w:rPr>
          <w:rFonts w:asciiTheme="minorHAnsi" w:hAnsiTheme="minorHAnsi"/>
        </w:rPr>
      </w:pPr>
      <w:r w:rsidRPr="006C386C">
        <w:rPr>
          <w:rFonts w:asciiTheme="minorHAnsi" w:hAnsiTheme="minorHAnsi"/>
        </w:rPr>
        <w:t xml:space="preserve">A significant association was observed between ethnicity and gambling status (&lt;0.0001). </w:t>
      </w:r>
      <w:r w:rsidR="00B54BA9">
        <w:rPr>
          <w:rFonts w:asciiTheme="minorHAnsi" w:hAnsiTheme="minorHAnsi"/>
        </w:rPr>
        <w:t xml:space="preserve"> Figure 18</w:t>
      </w:r>
      <w:r w:rsidR="0028580A">
        <w:rPr>
          <w:rFonts w:asciiTheme="minorHAnsi" w:hAnsiTheme="minorHAnsi"/>
        </w:rPr>
        <w:t xml:space="preserve"> illustrates </w:t>
      </w:r>
      <w:r w:rsidR="008A1505">
        <w:rPr>
          <w:rFonts w:asciiTheme="minorHAnsi" w:hAnsiTheme="minorHAnsi"/>
        </w:rPr>
        <w:t xml:space="preserve">the odds ratios for ethnicity and gambling status and shows </w:t>
      </w:r>
      <w:r w:rsidR="0028580A">
        <w:rPr>
          <w:rFonts w:asciiTheme="minorHAnsi" w:hAnsiTheme="minorHAnsi"/>
        </w:rPr>
        <w:t xml:space="preserve">that </w:t>
      </w:r>
      <w:r w:rsidRPr="006C386C">
        <w:rPr>
          <w:rFonts w:asciiTheme="minorHAnsi" w:hAnsiTheme="minorHAnsi"/>
        </w:rPr>
        <w:t xml:space="preserve">Māori and Pacific people were approximately three times more likely </w:t>
      </w:r>
      <w:r w:rsidR="00FA7C0C" w:rsidRPr="006C386C">
        <w:rPr>
          <w:rFonts w:asciiTheme="minorHAnsi" w:hAnsiTheme="minorHAnsi"/>
        </w:rPr>
        <w:t>(OR=3.2 for Māori, OR=3.0 for Pac</w:t>
      </w:r>
      <w:r w:rsidR="00FA7C0C" w:rsidRPr="0028580A">
        <w:rPr>
          <w:rFonts w:asciiTheme="minorHAnsi" w:hAnsiTheme="minorHAnsi"/>
        </w:rPr>
        <w:t>ific</w:t>
      </w:r>
      <w:r w:rsidR="00FA7C0C">
        <w:rPr>
          <w:rFonts w:asciiTheme="minorHAnsi" w:hAnsiTheme="minorHAnsi"/>
        </w:rPr>
        <w:t xml:space="preserve">) </w:t>
      </w:r>
      <w:r w:rsidRPr="006C386C">
        <w:rPr>
          <w:rFonts w:asciiTheme="minorHAnsi" w:hAnsiTheme="minorHAnsi"/>
        </w:rPr>
        <w:t xml:space="preserve">than European/Other to be categorised as </w:t>
      </w:r>
      <w:r w:rsidR="00017182" w:rsidRPr="00B77FEF">
        <w:rPr>
          <w:rFonts w:asciiTheme="minorHAnsi" w:hAnsiTheme="minorHAnsi"/>
        </w:rPr>
        <w:t>moderate-risk</w:t>
      </w:r>
      <w:r w:rsidR="00017182">
        <w:rPr>
          <w:rFonts w:asciiTheme="minorHAnsi" w:hAnsiTheme="minorHAnsi"/>
        </w:rPr>
        <w:t>/problem</w:t>
      </w:r>
      <w:r w:rsidR="00017182" w:rsidRPr="00B77FEF">
        <w:rPr>
          <w:rFonts w:asciiTheme="minorHAnsi" w:hAnsiTheme="minorHAnsi"/>
        </w:rPr>
        <w:t xml:space="preserve"> </w:t>
      </w:r>
      <w:r w:rsidRPr="006C386C">
        <w:rPr>
          <w:rFonts w:asciiTheme="minorHAnsi" w:hAnsiTheme="minorHAnsi"/>
        </w:rPr>
        <w:t>gamblers</w:t>
      </w:r>
      <w:r w:rsidRPr="0028580A">
        <w:rPr>
          <w:rFonts w:asciiTheme="minorHAnsi" w:hAnsiTheme="minorHAnsi"/>
        </w:rPr>
        <w:t>.</w:t>
      </w:r>
      <w:r w:rsidR="0028580A" w:rsidRPr="0028580A">
        <w:rPr>
          <w:rFonts w:asciiTheme="minorHAnsi" w:hAnsiTheme="minorHAnsi"/>
        </w:rPr>
        <w:t xml:space="preserve"> </w:t>
      </w:r>
    </w:p>
    <w:p w14:paraId="763144C5" w14:textId="77777777" w:rsidR="00D352BF" w:rsidRPr="00AF3A24" w:rsidRDefault="00D352BF" w:rsidP="00D352BF">
      <w:pPr>
        <w:pStyle w:val="Caption"/>
        <w:keepNext/>
        <w:spacing w:after="0" w:line="276" w:lineRule="auto"/>
        <w:ind w:left="993" w:hanging="993"/>
        <w:rPr>
          <w:rFonts w:asciiTheme="minorHAnsi" w:hAnsiTheme="minorHAnsi" w:cstheme="minorHAnsi"/>
          <w:i/>
        </w:rPr>
      </w:pPr>
      <w:bookmarkStart w:id="105" w:name="_Ref402777773"/>
      <w:bookmarkStart w:id="106" w:name="_Toc425426991"/>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18</w:t>
      </w:r>
      <w:r w:rsidRPr="00AF3A24">
        <w:rPr>
          <w:rFonts w:asciiTheme="minorHAnsi" w:hAnsiTheme="minorHAnsi" w:cstheme="minorHAnsi"/>
          <w:i/>
          <w:noProof/>
        </w:rPr>
        <w:fldChar w:fldCharType="end"/>
      </w:r>
      <w:bookmarkEnd w:id="105"/>
      <w:r w:rsidRPr="00AF3A24">
        <w:rPr>
          <w:rFonts w:asciiTheme="minorHAnsi" w:hAnsiTheme="minorHAnsi" w:cstheme="minorHAnsi"/>
          <w:i/>
        </w:rPr>
        <w:t xml:space="preserve">: </w:t>
      </w:r>
      <w:r w:rsidRPr="00AF3A24">
        <w:rPr>
          <w:rFonts w:asciiTheme="minorHAnsi" w:hAnsiTheme="minorHAnsi" w:cstheme="minorHAnsi"/>
          <w:i/>
        </w:rPr>
        <w:tab/>
      </w:r>
      <w:r>
        <w:rPr>
          <w:rFonts w:asciiTheme="minorHAnsi" w:hAnsiTheme="minorHAnsi" w:cstheme="minorHAnsi"/>
          <w:i/>
        </w:rPr>
        <w:t>Moderate-risk/problem gambling</w:t>
      </w:r>
      <w:r w:rsidRPr="00AF3A24">
        <w:rPr>
          <w:rFonts w:asciiTheme="minorHAnsi" w:hAnsiTheme="minorHAnsi" w:cstheme="minorHAnsi"/>
          <w:i/>
        </w:rPr>
        <w:t xml:space="preserve">, by </w:t>
      </w:r>
      <w:r>
        <w:rPr>
          <w:rFonts w:asciiTheme="minorHAnsi" w:hAnsiTheme="minorHAnsi" w:cstheme="minorHAnsi"/>
          <w:i/>
        </w:rPr>
        <w:t>ethnicity</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total population aged 15 years and over (unadjusted prevalence; N=12,59</w:t>
      </w:r>
      <w:r>
        <w:rPr>
          <w:rFonts w:asciiTheme="minorHAnsi" w:hAnsiTheme="minorHAnsi" w:cstheme="minorHAnsi"/>
          <w:i/>
        </w:rPr>
        <w:t>4</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06"/>
    </w:p>
    <w:p w14:paraId="5B2837AB" w14:textId="77777777" w:rsidR="00D352BF" w:rsidRDefault="00D352BF" w:rsidP="00D352BF">
      <w:pPr>
        <w:spacing w:line="240" w:lineRule="auto"/>
        <w:jc w:val="center"/>
        <w:rPr>
          <w:rFonts w:asciiTheme="minorHAnsi" w:hAnsiTheme="minorHAnsi"/>
        </w:rPr>
      </w:pPr>
      <w:r>
        <w:rPr>
          <w:rFonts w:asciiTheme="minorHAnsi" w:hAnsiTheme="minorHAnsi"/>
          <w:noProof/>
          <w:lang w:eastAsia="en-NZ"/>
        </w:rPr>
        <w:drawing>
          <wp:inline distT="0" distB="0" distL="0" distR="0" wp14:anchorId="25204AFE" wp14:editId="62E9A646">
            <wp:extent cx="5454503" cy="3838353"/>
            <wp:effectExtent l="0" t="0" r="0" b="0"/>
            <wp:docPr id="11" name="Picture 11" descr="C:\Users\fros001.000\AppData\Local\Microsoft\Windows\Temporary Internet Files\Content.Outlook\YXYMH2JN\Ethnicity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os001.000\AppData\Local\Microsoft\Windows\Temporary Internet Files\Content.Outlook\YXYMH2JN\Ethnicity2.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l="2017" t="9929" r="2661" b="7577"/>
                    <a:stretch/>
                  </pic:blipFill>
                  <pic:spPr bwMode="auto">
                    <a:xfrm>
                      <a:off x="0" y="0"/>
                      <a:ext cx="5454503" cy="3838353"/>
                    </a:xfrm>
                    <a:prstGeom prst="rect">
                      <a:avLst/>
                    </a:prstGeom>
                    <a:noFill/>
                    <a:ln>
                      <a:noFill/>
                    </a:ln>
                    <a:extLst>
                      <a:ext uri="{53640926-AAD7-44D8-BBD7-CCE9431645EC}">
                        <a14:shadowObscured xmlns:a14="http://schemas.microsoft.com/office/drawing/2010/main"/>
                      </a:ext>
                    </a:extLst>
                  </pic:spPr>
                </pic:pic>
              </a:graphicData>
            </a:graphic>
          </wp:inline>
        </w:drawing>
      </w:r>
    </w:p>
    <w:p w14:paraId="30EC8FEF" w14:textId="77777777" w:rsidR="00D352BF" w:rsidRPr="0045616C" w:rsidRDefault="00D352BF" w:rsidP="00D352BF">
      <w:pPr>
        <w:tabs>
          <w:tab w:val="left" w:pos="3081"/>
        </w:tabs>
        <w:spacing w:before="0" w:line="240" w:lineRule="auto"/>
        <w:ind w:left="2127" w:hanging="284"/>
        <w:rPr>
          <w:rFonts w:asciiTheme="minorHAnsi" w:hAnsiTheme="minorHAnsi" w:cstheme="minorHAnsi"/>
          <w:sz w:val="16"/>
        </w:rPr>
      </w:pPr>
      <w:r w:rsidRPr="0045616C">
        <w:rPr>
          <w:rFonts w:asciiTheme="minorHAnsi" w:hAnsiTheme="minorHAnsi" w:cstheme="minorHAnsi"/>
          <w:sz w:val="16"/>
        </w:rPr>
        <w:t>Notes:</w:t>
      </w:r>
      <w:r>
        <w:rPr>
          <w:rFonts w:asciiTheme="minorHAnsi" w:hAnsiTheme="minorHAnsi" w:cstheme="minorHAnsi"/>
          <w:sz w:val="16"/>
        </w:rPr>
        <w:tab/>
      </w:r>
    </w:p>
    <w:p w14:paraId="7E5AA47A" w14:textId="77777777" w:rsidR="00D352BF" w:rsidRDefault="00D352BF" w:rsidP="004F129A">
      <w:pPr>
        <w:pStyle w:val="ListParagraph"/>
        <w:numPr>
          <w:ilvl w:val="0"/>
          <w:numId w:val="84"/>
        </w:numPr>
        <w:spacing w:line="240" w:lineRule="auto"/>
        <w:ind w:left="2127" w:hanging="284"/>
        <w:rPr>
          <w:rFonts w:asciiTheme="minorHAnsi" w:hAnsiTheme="minorHAnsi" w:cstheme="minorHAnsi"/>
          <w:sz w:val="16"/>
        </w:rPr>
      </w:pPr>
      <w:r w:rsidRPr="0045616C">
        <w:rPr>
          <w:rFonts w:asciiTheme="minorHAnsi" w:hAnsiTheme="minorHAnsi" w:cstheme="minorHAnsi"/>
          <w:sz w:val="16"/>
        </w:rPr>
        <w:t xml:space="preserve">Source: 2011/12 New Zealand Health Survey. </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7664E8A8" w14:textId="77777777" w:rsidR="00D352BF" w:rsidRDefault="00D352BF" w:rsidP="00AA3674">
      <w:pPr>
        <w:jc w:val="center"/>
        <w:rPr>
          <w:rFonts w:asciiTheme="minorHAnsi" w:hAnsiTheme="minorHAnsi"/>
        </w:rPr>
      </w:pPr>
    </w:p>
    <w:p w14:paraId="183E7D7A" w14:textId="77777777" w:rsidR="00197F03" w:rsidRDefault="00197F03">
      <w:pPr>
        <w:spacing w:before="0" w:after="200" w:line="276" w:lineRule="auto"/>
        <w:jc w:val="left"/>
        <w:rPr>
          <w:rFonts w:asciiTheme="minorHAnsi" w:hAnsiTheme="minorHAnsi"/>
          <w:b/>
          <w:bCs/>
          <w:color w:val="1F497D"/>
          <w:szCs w:val="28"/>
        </w:rPr>
      </w:pPr>
      <w:r>
        <w:br w:type="page"/>
      </w:r>
    </w:p>
    <w:p w14:paraId="30608252" w14:textId="77777777" w:rsidR="005B54BD" w:rsidRPr="003169BA" w:rsidRDefault="005B54BD" w:rsidP="005B54BD">
      <w:pPr>
        <w:pStyle w:val="Heading4"/>
        <w:spacing w:line="360" w:lineRule="auto"/>
      </w:pPr>
      <w:r w:rsidRPr="003169BA">
        <w:lastRenderedPageBreak/>
        <w:t>Changes over time – comparison of 2006/07 and 2011/12 NZHS: Prevalence of problem gambling by ethnicity</w:t>
      </w:r>
    </w:p>
    <w:p w14:paraId="017444D5" w14:textId="77777777" w:rsidR="008B01AF" w:rsidRDefault="008B01AF" w:rsidP="005B54BD">
      <w:pPr>
        <w:rPr>
          <w:rFonts w:asciiTheme="minorHAnsi" w:hAnsiTheme="minorHAnsi"/>
        </w:rPr>
      </w:pPr>
      <w:r>
        <w:rPr>
          <w:rFonts w:asciiTheme="minorHAnsi" w:hAnsiTheme="minorHAnsi"/>
        </w:rPr>
        <w:t>Results from the 2006/07 and 2011/12 New Zealand Health Surveys were compared to assess if there had been changes over time in the prevalence of problem gambling for different ethnic groups</w:t>
      </w:r>
      <w:r w:rsidR="008F7A58">
        <w:rPr>
          <w:rFonts w:asciiTheme="minorHAnsi" w:hAnsiTheme="minorHAnsi"/>
        </w:rPr>
        <w:t>. A</w:t>
      </w:r>
      <w:r w:rsidR="00CA3141">
        <w:rPr>
          <w:rFonts w:asciiTheme="minorHAnsi" w:hAnsiTheme="minorHAnsi"/>
        </w:rPr>
        <w:t xml:space="preserve"> s</w:t>
      </w:r>
      <w:r>
        <w:rPr>
          <w:rFonts w:asciiTheme="minorHAnsi" w:hAnsiTheme="minorHAnsi"/>
        </w:rPr>
        <w:t>ignificant</w:t>
      </w:r>
      <w:r w:rsidR="00CA3141">
        <w:rPr>
          <w:rFonts w:asciiTheme="minorHAnsi" w:hAnsiTheme="minorHAnsi"/>
        </w:rPr>
        <w:t xml:space="preserve"> association was </w:t>
      </w:r>
      <w:r>
        <w:rPr>
          <w:rFonts w:asciiTheme="minorHAnsi" w:hAnsiTheme="minorHAnsi"/>
        </w:rPr>
        <w:t>observed (p&lt;0.0001)</w:t>
      </w:r>
      <w:r w:rsidR="00CB046F">
        <w:rPr>
          <w:rFonts w:asciiTheme="minorHAnsi" w:hAnsiTheme="minorHAnsi"/>
        </w:rPr>
        <w:t xml:space="preserve">. </w:t>
      </w:r>
      <w:r w:rsidR="000129BB">
        <w:rPr>
          <w:rFonts w:asciiTheme="minorHAnsi" w:hAnsiTheme="minorHAnsi"/>
        </w:rPr>
        <w:t xml:space="preserve"> Age adjusted prevalence estimates</w:t>
      </w:r>
      <w:r w:rsidR="000129BB">
        <w:rPr>
          <w:rStyle w:val="FootnoteReference"/>
          <w:rFonts w:asciiTheme="minorHAnsi" w:hAnsiTheme="minorHAnsi"/>
        </w:rPr>
        <w:footnoteReference w:id="9"/>
      </w:r>
      <w:r w:rsidR="000129BB">
        <w:rPr>
          <w:rFonts w:asciiTheme="minorHAnsi" w:hAnsiTheme="minorHAnsi"/>
        </w:rPr>
        <w:t xml:space="preserve"> reveal</w:t>
      </w:r>
      <w:r w:rsidR="00EE39F7">
        <w:rPr>
          <w:rFonts w:asciiTheme="minorHAnsi" w:hAnsiTheme="minorHAnsi"/>
        </w:rPr>
        <w:t xml:space="preserve"> that </w:t>
      </w:r>
      <w:r w:rsidR="008F7A58">
        <w:rPr>
          <w:rFonts w:asciiTheme="minorHAnsi" w:hAnsiTheme="minorHAnsi"/>
        </w:rPr>
        <w:t>in</w:t>
      </w:r>
      <w:r w:rsidR="00C81E69">
        <w:rPr>
          <w:rFonts w:asciiTheme="minorHAnsi" w:hAnsiTheme="minorHAnsi"/>
        </w:rPr>
        <w:t>creased</w:t>
      </w:r>
      <w:r w:rsidR="00CB046F">
        <w:rPr>
          <w:rFonts w:asciiTheme="minorHAnsi" w:hAnsiTheme="minorHAnsi"/>
        </w:rPr>
        <w:t xml:space="preserve"> proportions of Māori and European/Other </w:t>
      </w:r>
      <w:r w:rsidR="008F7A58">
        <w:rPr>
          <w:rFonts w:asciiTheme="minorHAnsi" w:hAnsiTheme="minorHAnsi"/>
        </w:rPr>
        <w:t xml:space="preserve">were classified as ‘non-gamblers’ </w:t>
      </w:r>
      <w:r w:rsidR="00CB046F">
        <w:rPr>
          <w:rFonts w:asciiTheme="minorHAnsi" w:hAnsiTheme="minorHAnsi"/>
        </w:rPr>
        <w:t>in 2011/12 than in 2006/07</w:t>
      </w:r>
      <w:r w:rsidR="008F7A58">
        <w:rPr>
          <w:rFonts w:asciiTheme="minorHAnsi" w:hAnsiTheme="minorHAnsi"/>
        </w:rPr>
        <w:t>, and o</w:t>
      </w:r>
      <w:r w:rsidR="00C81E69">
        <w:rPr>
          <w:rFonts w:asciiTheme="minorHAnsi" w:hAnsiTheme="minorHAnsi"/>
        </w:rPr>
        <w:t xml:space="preserve">f </w:t>
      </w:r>
      <w:r w:rsidR="008F7A58">
        <w:rPr>
          <w:rFonts w:asciiTheme="minorHAnsi" w:hAnsiTheme="minorHAnsi"/>
        </w:rPr>
        <w:t xml:space="preserve">Māori and European/Other </w:t>
      </w:r>
      <w:r w:rsidR="00C81E69">
        <w:rPr>
          <w:rFonts w:asciiTheme="minorHAnsi" w:hAnsiTheme="minorHAnsi"/>
        </w:rPr>
        <w:t xml:space="preserve">who </w:t>
      </w:r>
      <w:r w:rsidR="008F7A58">
        <w:rPr>
          <w:rFonts w:asciiTheme="minorHAnsi" w:hAnsiTheme="minorHAnsi"/>
        </w:rPr>
        <w:t>had gambled in the past 12 months</w:t>
      </w:r>
      <w:r w:rsidR="00C81E69">
        <w:rPr>
          <w:rFonts w:asciiTheme="minorHAnsi" w:hAnsiTheme="minorHAnsi"/>
        </w:rPr>
        <w:t xml:space="preserve">, </w:t>
      </w:r>
      <w:r w:rsidR="00CB046F">
        <w:rPr>
          <w:rFonts w:asciiTheme="minorHAnsi" w:hAnsiTheme="minorHAnsi"/>
        </w:rPr>
        <w:t xml:space="preserve">greater proportions were gambling at </w:t>
      </w:r>
      <w:r w:rsidR="008F7A58">
        <w:rPr>
          <w:rFonts w:asciiTheme="minorHAnsi" w:hAnsiTheme="minorHAnsi"/>
        </w:rPr>
        <w:t>‘</w:t>
      </w:r>
      <w:r w:rsidR="00CB046F">
        <w:rPr>
          <w:rFonts w:asciiTheme="minorHAnsi" w:hAnsiTheme="minorHAnsi"/>
        </w:rPr>
        <w:t>non-problematic levels</w:t>
      </w:r>
      <w:r w:rsidR="008F7A58">
        <w:rPr>
          <w:rFonts w:asciiTheme="minorHAnsi" w:hAnsiTheme="minorHAnsi"/>
        </w:rPr>
        <w:t>’</w:t>
      </w:r>
      <w:r w:rsidR="00CB046F">
        <w:rPr>
          <w:rFonts w:asciiTheme="minorHAnsi" w:hAnsiTheme="minorHAnsi"/>
        </w:rPr>
        <w:t xml:space="preserve"> in 2011/12</w:t>
      </w:r>
      <w:r w:rsidR="00C81E69">
        <w:rPr>
          <w:rFonts w:asciiTheme="minorHAnsi" w:hAnsiTheme="minorHAnsi"/>
        </w:rPr>
        <w:t xml:space="preserve"> than in 2006/07</w:t>
      </w:r>
      <w:r w:rsidR="00CB046F">
        <w:rPr>
          <w:rFonts w:asciiTheme="minorHAnsi" w:hAnsiTheme="minorHAnsi"/>
        </w:rPr>
        <w:t xml:space="preserve">. </w:t>
      </w:r>
      <w:r w:rsidR="00430751">
        <w:rPr>
          <w:rFonts w:asciiTheme="minorHAnsi" w:hAnsiTheme="minorHAnsi"/>
        </w:rPr>
        <w:t xml:space="preserve"> No changes were found in </w:t>
      </w:r>
      <w:r w:rsidR="008F7A58">
        <w:rPr>
          <w:rFonts w:asciiTheme="minorHAnsi" w:hAnsiTheme="minorHAnsi"/>
        </w:rPr>
        <w:t>the gambling status of</w:t>
      </w:r>
      <w:r w:rsidR="00430751">
        <w:rPr>
          <w:rFonts w:asciiTheme="minorHAnsi" w:hAnsiTheme="minorHAnsi"/>
        </w:rPr>
        <w:t xml:space="preserve"> Pacific or Asian people from 2006/07 to 2011/12, and no significant changes were observed in relation to moderate-risk/problem gambling for any of the ethnic groups.  </w:t>
      </w:r>
      <w:r w:rsidR="000F6C8D">
        <w:rPr>
          <w:rFonts w:asciiTheme="minorHAnsi" w:hAnsiTheme="minorHAnsi"/>
        </w:rPr>
        <w:t xml:space="preserve">However, these findings should be treated with caution due to small numbers in the moderate-risk/problem categories. </w:t>
      </w:r>
      <w:r w:rsidR="00430751">
        <w:rPr>
          <w:rFonts w:asciiTheme="minorHAnsi" w:hAnsiTheme="minorHAnsi"/>
        </w:rPr>
        <w:t xml:space="preserve"> </w:t>
      </w:r>
      <w:r w:rsidR="00B54BA9">
        <w:rPr>
          <w:rFonts w:asciiTheme="minorHAnsi" w:hAnsiTheme="minorHAnsi"/>
        </w:rPr>
        <w:t>Figure 19</w:t>
      </w:r>
      <w:r w:rsidR="00CA3141">
        <w:rPr>
          <w:rFonts w:asciiTheme="minorHAnsi" w:hAnsiTheme="minorHAnsi"/>
        </w:rPr>
        <w:t xml:space="preserve"> illustrates changes over time by gambling status for Māori, Pacific people, Asian and European/Other.</w:t>
      </w:r>
      <w:r w:rsidR="003072C2">
        <w:rPr>
          <w:rFonts w:asciiTheme="minorHAnsi" w:hAnsiTheme="minorHAnsi"/>
        </w:rPr>
        <w:t xml:space="preserve">  Further details can be found in </w:t>
      </w:r>
      <w:r w:rsidR="00B54BA9">
        <w:rPr>
          <w:rFonts w:asciiTheme="minorHAnsi" w:hAnsiTheme="minorHAnsi"/>
        </w:rPr>
        <w:t xml:space="preserve">Table 25, Appendix G. </w:t>
      </w:r>
    </w:p>
    <w:p w14:paraId="648145F7" w14:textId="2326BD3A" w:rsidR="008E23C8" w:rsidRPr="00AF3A24" w:rsidRDefault="008E23C8" w:rsidP="004028A5">
      <w:pPr>
        <w:pStyle w:val="Caption"/>
        <w:keepNext/>
        <w:spacing w:after="0" w:line="276" w:lineRule="auto"/>
        <w:ind w:left="992" w:hanging="992"/>
        <w:rPr>
          <w:rFonts w:asciiTheme="minorHAnsi" w:hAnsiTheme="minorHAnsi" w:cstheme="minorHAnsi"/>
          <w:i/>
        </w:rPr>
      </w:pPr>
      <w:bookmarkStart w:id="107" w:name="_Ref403830860"/>
      <w:bookmarkStart w:id="108" w:name="_Toc425426992"/>
      <w:r w:rsidRPr="004028A5">
        <w:rPr>
          <w:rFonts w:asciiTheme="minorHAnsi" w:hAnsiTheme="minorHAnsi" w:cstheme="minorHAnsi"/>
          <w:i/>
        </w:rPr>
        <w:lastRenderedPageBreak/>
        <w:t xml:space="preserve">Figure </w:t>
      </w:r>
      <w:r w:rsidRPr="004028A5">
        <w:rPr>
          <w:rFonts w:asciiTheme="minorHAnsi" w:hAnsiTheme="minorHAnsi" w:cstheme="minorHAnsi"/>
          <w:i/>
        </w:rPr>
        <w:fldChar w:fldCharType="begin"/>
      </w:r>
      <w:r w:rsidRPr="004028A5">
        <w:rPr>
          <w:rFonts w:asciiTheme="minorHAnsi" w:hAnsiTheme="minorHAnsi" w:cstheme="minorHAnsi"/>
          <w:i/>
        </w:rPr>
        <w:instrText xml:space="preserve"> SEQ Figure \* ARABIC </w:instrText>
      </w:r>
      <w:r w:rsidRPr="004028A5">
        <w:rPr>
          <w:rFonts w:asciiTheme="minorHAnsi" w:hAnsiTheme="minorHAnsi" w:cstheme="minorHAnsi"/>
          <w:i/>
        </w:rPr>
        <w:fldChar w:fldCharType="separate"/>
      </w:r>
      <w:r w:rsidR="00D71107">
        <w:rPr>
          <w:rFonts w:asciiTheme="minorHAnsi" w:hAnsiTheme="minorHAnsi" w:cstheme="minorHAnsi"/>
          <w:i/>
          <w:noProof/>
        </w:rPr>
        <w:t>19</w:t>
      </w:r>
      <w:r w:rsidRPr="004028A5">
        <w:rPr>
          <w:rFonts w:asciiTheme="minorHAnsi" w:hAnsiTheme="minorHAnsi" w:cstheme="minorHAnsi"/>
          <w:i/>
          <w:noProof/>
        </w:rPr>
        <w:fldChar w:fldCharType="end"/>
      </w:r>
      <w:bookmarkEnd w:id="107"/>
      <w:r w:rsidRPr="004028A5">
        <w:rPr>
          <w:rFonts w:asciiTheme="minorHAnsi" w:hAnsiTheme="minorHAnsi" w:cstheme="minorHAnsi"/>
          <w:i/>
        </w:rPr>
        <w:t xml:space="preserve">: </w:t>
      </w:r>
      <w:r w:rsidR="004028A5">
        <w:rPr>
          <w:rFonts w:asciiTheme="minorHAnsi" w:hAnsiTheme="minorHAnsi" w:cstheme="minorHAnsi"/>
          <w:i/>
        </w:rPr>
        <w:t xml:space="preserve"> G</w:t>
      </w:r>
      <w:r w:rsidR="004028A5" w:rsidRPr="004028A5">
        <w:rPr>
          <w:rFonts w:asciiTheme="minorHAnsi" w:hAnsiTheme="minorHAnsi" w:cstheme="minorHAnsi"/>
          <w:i/>
        </w:rPr>
        <w:t xml:space="preserve">ambling </w:t>
      </w:r>
      <w:r w:rsidR="004028A5">
        <w:rPr>
          <w:rFonts w:asciiTheme="minorHAnsi" w:hAnsiTheme="minorHAnsi" w:cstheme="minorHAnsi"/>
          <w:i/>
        </w:rPr>
        <w:t>status</w:t>
      </w:r>
      <w:r w:rsidR="006965C6">
        <w:rPr>
          <w:rFonts w:asciiTheme="minorHAnsi" w:hAnsiTheme="minorHAnsi" w:cstheme="minorHAnsi"/>
          <w:i/>
        </w:rPr>
        <w:t>,</w:t>
      </w:r>
      <w:r w:rsidR="004028A5">
        <w:rPr>
          <w:rFonts w:asciiTheme="minorHAnsi" w:hAnsiTheme="minorHAnsi" w:cstheme="minorHAnsi"/>
          <w:i/>
        </w:rPr>
        <w:t xml:space="preserve"> c</w:t>
      </w:r>
      <w:r w:rsidRPr="004028A5">
        <w:rPr>
          <w:rFonts w:asciiTheme="minorHAnsi" w:hAnsiTheme="minorHAnsi" w:cstheme="minorHAnsi"/>
          <w:i/>
        </w:rPr>
        <w:t>hanges over time</w:t>
      </w:r>
      <w:r w:rsidR="006965C6">
        <w:rPr>
          <w:rFonts w:asciiTheme="minorHAnsi" w:hAnsiTheme="minorHAnsi" w:cstheme="minorHAnsi"/>
          <w:i/>
        </w:rPr>
        <w:t>,</w:t>
      </w:r>
      <w:r w:rsidR="004028A5">
        <w:rPr>
          <w:rFonts w:asciiTheme="minorHAnsi" w:hAnsiTheme="minorHAnsi" w:cstheme="minorHAnsi"/>
          <w:i/>
        </w:rPr>
        <w:t xml:space="preserve"> comparison of 2006/07</w:t>
      </w:r>
      <w:r w:rsidRPr="004028A5">
        <w:rPr>
          <w:rFonts w:asciiTheme="minorHAnsi" w:hAnsiTheme="minorHAnsi" w:cstheme="minorHAnsi"/>
          <w:i/>
        </w:rPr>
        <w:t xml:space="preserve"> </w:t>
      </w:r>
      <w:r w:rsidR="004028A5">
        <w:rPr>
          <w:rFonts w:asciiTheme="minorHAnsi" w:hAnsiTheme="minorHAnsi" w:cstheme="minorHAnsi"/>
          <w:i/>
        </w:rPr>
        <w:t>NZHS and 2011/12 NZHS,</w:t>
      </w:r>
      <w:r w:rsidRPr="004028A5">
        <w:rPr>
          <w:rFonts w:asciiTheme="minorHAnsi" w:hAnsiTheme="minorHAnsi" w:cstheme="minorHAnsi"/>
          <w:i/>
        </w:rPr>
        <w:t xml:space="preserve"> by ethnicity,</w:t>
      </w:r>
      <w:r w:rsidRPr="004028A5">
        <w:rPr>
          <w:rFonts w:asciiTheme="minorHAnsi" w:hAnsiTheme="minorHAnsi" w:cstheme="minorHAnsi"/>
          <w:i/>
          <w:lang w:val="en-US"/>
        </w:rPr>
        <w:t xml:space="preserve"> </w:t>
      </w:r>
      <w:r w:rsidRPr="004028A5">
        <w:rPr>
          <w:rFonts w:asciiTheme="minorHAnsi" w:hAnsiTheme="minorHAnsi" w:cstheme="minorHAnsi"/>
          <w:i/>
        </w:rPr>
        <w:t>total popu</w:t>
      </w:r>
      <w:r w:rsidR="004028A5" w:rsidRPr="004028A5">
        <w:rPr>
          <w:rFonts w:asciiTheme="minorHAnsi" w:hAnsiTheme="minorHAnsi" w:cstheme="minorHAnsi"/>
          <w:i/>
        </w:rPr>
        <w:t>lation aged 15 years and over (</w:t>
      </w:r>
      <w:r w:rsidR="006965C6">
        <w:rPr>
          <w:rFonts w:asciiTheme="minorHAnsi" w:hAnsiTheme="minorHAnsi" w:cstheme="minorHAnsi"/>
          <w:i/>
        </w:rPr>
        <w:t xml:space="preserve">adjusted prevalence; </w:t>
      </w:r>
      <w:r w:rsidR="004028A5" w:rsidRPr="004028A5">
        <w:rPr>
          <w:rFonts w:asciiTheme="minorHAnsi" w:hAnsiTheme="minorHAnsi" w:cstheme="minorHAnsi"/>
          <w:i/>
        </w:rPr>
        <w:t xml:space="preserve">2006/07 NZHS N=12,488, </w:t>
      </w:r>
      <w:r w:rsidR="006965C6">
        <w:rPr>
          <w:rFonts w:asciiTheme="minorHAnsi" w:hAnsiTheme="minorHAnsi" w:cstheme="minorHAnsi"/>
          <w:i/>
        </w:rPr>
        <w:t>2011/12 NZHS N=12,596)</w:t>
      </w:r>
      <w:r w:rsidRPr="004028A5">
        <w:rPr>
          <w:rFonts w:asciiTheme="minorHAnsi" w:hAnsiTheme="minorHAnsi" w:cstheme="minorHAnsi"/>
          <w:i/>
          <w:vertAlign w:val="superscript"/>
        </w:rPr>
        <w:t>1</w:t>
      </w:r>
      <w:bookmarkEnd w:id="108"/>
    </w:p>
    <w:p w14:paraId="4E66037A" w14:textId="77777777" w:rsidR="00B77972" w:rsidRDefault="00B77972" w:rsidP="00FD6CC6">
      <w:pPr>
        <w:spacing w:line="240" w:lineRule="auto"/>
        <w:ind w:firstLine="720"/>
        <w:jc w:val="center"/>
        <w:rPr>
          <w:noProof/>
          <w:lang w:eastAsia="en-NZ"/>
        </w:rPr>
      </w:pPr>
      <w:r w:rsidRPr="006A2DC6">
        <w:rPr>
          <w:noProof/>
          <w:lang w:eastAsia="en-NZ"/>
        </w:rPr>
        <w:drawing>
          <wp:inline distT="0" distB="0" distL="0" distR="0" wp14:anchorId="389CA784" wp14:editId="6CD355DB">
            <wp:extent cx="5837274" cy="5422604"/>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7465" t="943" r="19363" b="2830"/>
                    <a:stretch/>
                  </pic:blipFill>
                  <pic:spPr bwMode="auto">
                    <a:xfrm>
                      <a:off x="0" y="0"/>
                      <a:ext cx="5837275" cy="5422605"/>
                    </a:xfrm>
                    <a:prstGeom prst="rect">
                      <a:avLst/>
                    </a:prstGeom>
                    <a:ln>
                      <a:noFill/>
                    </a:ln>
                    <a:extLst>
                      <a:ext uri="{53640926-AAD7-44D8-BBD7-CCE9431645EC}">
                        <a14:shadowObscured xmlns:a14="http://schemas.microsoft.com/office/drawing/2010/main"/>
                      </a:ext>
                    </a:extLst>
                  </pic:spPr>
                </pic:pic>
              </a:graphicData>
            </a:graphic>
          </wp:inline>
        </w:drawing>
      </w:r>
    </w:p>
    <w:p w14:paraId="3AA03018" w14:textId="77777777" w:rsidR="00255CC0" w:rsidRPr="0059384D" w:rsidRDefault="00255CC0" w:rsidP="00B77972">
      <w:pPr>
        <w:spacing w:before="0" w:line="240" w:lineRule="auto"/>
        <w:ind w:firstLine="993"/>
        <w:rPr>
          <w:noProof/>
          <w:lang w:eastAsia="en-NZ"/>
        </w:rPr>
      </w:pPr>
      <w:r w:rsidRPr="0045616C">
        <w:rPr>
          <w:rFonts w:asciiTheme="minorHAnsi" w:hAnsiTheme="minorHAnsi" w:cstheme="minorHAnsi"/>
          <w:sz w:val="16"/>
        </w:rPr>
        <w:t>Notes:</w:t>
      </w:r>
      <w:r>
        <w:rPr>
          <w:rFonts w:asciiTheme="minorHAnsi" w:hAnsiTheme="minorHAnsi" w:cstheme="minorHAnsi"/>
          <w:sz w:val="16"/>
        </w:rPr>
        <w:tab/>
      </w:r>
    </w:p>
    <w:p w14:paraId="2E61DB37" w14:textId="03CE63FE" w:rsidR="00255CC0" w:rsidRDefault="00255CC0" w:rsidP="004F129A">
      <w:pPr>
        <w:pStyle w:val="ListParagraph"/>
        <w:numPr>
          <w:ilvl w:val="0"/>
          <w:numId w:val="100"/>
        </w:numPr>
        <w:spacing w:line="240" w:lineRule="auto"/>
        <w:rPr>
          <w:rFonts w:asciiTheme="minorHAnsi" w:hAnsiTheme="minorHAnsi" w:cstheme="minorHAnsi"/>
          <w:sz w:val="16"/>
        </w:rPr>
      </w:pPr>
      <w:r w:rsidRPr="0045616C">
        <w:rPr>
          <w:rFonts w:asciiTheme="minorHAnsi" w:hAnsiTheme="minorHAnsi" w:cstheme="minorHAnsi"/>
          <w:sz w:val="16"/>
        </w:rPr>
        <w:t xml:space="preserve">Source: </w:t>
      </w:r>
      <w:r w:rsidR="00C70B62">
        <w:rPr>
          <w:rFonts w:asciiTheme="minorHAnsi" w:hAnsiTheme="minorHAnsi" w:cstheme="minorHAnsi"/>
          <w:sz w:val="16"/>
        </w:rPr>
        <w:t xml:space="preserve">2006/07 and </w:t>
      </w:r>
      <w:r w:rsidRPr="0045616C">
        <w:rPr>
          <w:rFonts w:asciiTheme="minorHAnsi" w:hAnsiTheme="minorHAnsi" w:cstheme="minorHAnsi"/>
          <w:sz w:val="16"/>
        </w:rPr>
        <w:t>2011/12 New Zealand Health Survey</w:t>
      </w:r>
      <w:r w:rsidR="00C70B62">
        <w:rPr>
          <w:rFonts w:asciiTheme="minorHAnsi" w:hAnsiTheme="minorHAnsi" w:cstheme="minorHAnsi"/>
          <w:sz w:val="16"/>
        </w:rPr>
        <w:t>s</w:t>
      </w:r>
      <w:r w:rsidRPr="0045616C">
        <w:rPr>
          <w:rFonts w:asciiTheme="minorHAnsi" w:hAnsiTheme="minorHAnsi" w:cstheme="minorHAnsi"/>
          <w:sz w:val="16"/>
        </w:rPr>
        <w:t>.</w:t>
      </w:r>
      <w:r w:rsidR="00C70B62">
        <w:rPr>
          <w:rFonts w:asciiTheme="minorHAnsi" w:hAnsiTheme="minorHAnsi" w:cstheme="minorHAnsi"/>
          <w:sz w:val="16"/>
        </w:rPr>
        <w:t xml:space="preserve"> NB Percentages and 95% confidence intervals have been age-</w:t>
      </w:r>
      <w:r w:rsidR="00C70B62" w:rsidRPr="00C70B62">
        <w:rPr>
          <w:rFonts w:asciiTheme="minorHAnsi" w:hAnsiTheme="minorHAnsi" w:cstheme="minorHAnsi"/>
          <w:sz w:val="16"/>
          <w:szCs w:val="16"/>
        </w:rPr>
        <w:t xml:space="preserve"> </w:t>
      </w:r>
      <w:r w:rsidR="00C70B62">
        <w:rPr>
          <w:rFonts w:asciiTheme="minorHAnsi" w:hAnsiTheme="minorHAnsi" w:cstheme="minorHAnsi"/>
          <w:sz w:val="16"/>
          <w:szCs w:val="16"/>
        </w:rPr>
        <w:t xml:space="preserve">standardised in accordance with World Health Organisation (WHO) age population distributions </w:t>
      </w:r>
      <w:r w:rsidR="00C70B62">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C70B62">
        <w:rPr>
          <w:rFonts w:asciiTheme="minorHAnsi" w:hAnsiTheme="minorHAnsi" w:cstheme="minorHAnsi"/>
          <w:sz w:val="16"/>
          <w:szCs w:val="16"/>
        </w:rPr>
        <w:fldChar w:fldCharType="separate"/>
      </w:r>
      <w:r w:rsidR="00C70B62">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C70B62">
        <w:rPr>
          <w:rFonts w:asciiTheme="minorHAnsi" w:hAnsiTheme="minorHAnsi" w:cstheme="minorHAnsi"/>
          <w:noProof/>
          <w:sz w:val="16"/>
          <w:szCs w:val="16"/>
        </w:rPr>
        <w:t>)</w:t>
      </w:r>
      <w:r w:rsidR="00C70B62">
        <w:rPr>
          <w:rFonts w:asciiTheme="minorHAnsi" w:hAnsiTheme="minorHAnsi" w:cstheme="minorHAnsi"/>
          <w:sz w:val="16"/>
          <w:szCs w:val="16"/>
        </w:rPr>
        <w:fldChar w:fldCharType="end"/>
      </w:r>
      <w:r w:rsidR="00C70B62">
        <w:rPr>
          <w:rFonts w:asciiTheme="minorHAnsi" w:hAnsiTheme="minorHAnsi" w:cstheme="minorHAnsi"/>
          <w:sz w:val="16"/>
          <w:szCs w:val="16"/>
        </w:rPr>
        <w:t>.</w:t>
      </w:r>
      <w:r w:rsidR="00F11F34">
        <w:rPr>
          <w:rFonts w:asciiTheme="minorHAnsi" w:hAnsiTheme="minorHAnsi" w:cstheme="minorHAnsi"/>
          <w:sz w:val="16"/>
          <w:szCs w:val="16"/>
        </w:rPr>
        <w:t xml:space="preserve">  </w:t>
      </w:r>
      <w:r w:rsidR="00F11F34" w:rsidRPr="00B970C8">
        <w:rPr>
          <w:rFonts w:asciiTheme="minorHAnsi" w:hAnsiTheme="minorHAnsi" w:cstheme="minorHAnsi"/>
          <w:sz w:val="16"/>
          <w:szCs w:val="16"/>
        </w:rPr>
        <w:t>Error bars are indicative of 95% confidence intervals.</w:t>
      </w:r>
      <w:r w:rsidR="00F11F34">
        <w:rPr>
          <w:rFonts w:asciiTheme="minorHAnsi" w:hAnsiTheme="minorHAnsi" w:cstheme="minorHAnsi"/>
          <w:sz w:val="16"/>
          <w:szCs w:val="16"/>
        </w:rPr>
        <w:t xml:space="preserve">  </w:t>
      </w:r>
    </w:p>
    <w:p w14:paraId="7B23A64B" w14:textId="77777777" w:rsidR="005B54BD" w:rsidRPr="005B54BD" w:rsidRDefault="005B54BD" w:rsidP="005B54BD"/>
    <w:p w14:paraId="21AF78DE" w14:textId="77777777" w:rsidR="00197F03" w:rsidRDefault="00197F03">
      <w:pPr>
        <w:spacing w:before="0" w:after="200" w:line="276" w:lineRule="auto"/>
        <w:jc w:val="left"/>
        <w:rPr>
          <w:rFonts w:asciiTheme="minorHAnsi" w:hAnsiTheme="minorHAnsi" w:cstheme="minorHAnsi"/>
          <w:b/>
          <w:iCs/>
          <w:color w:val="1F497D"/>
          <w:szCs w:val="26"/>
        </w:rPr>
      </w:pPr>
      <w:bookmarkStart w:id="109" w:name="_Toc403833171"/>
      <w:r>
        <w:br w:type="page"/>
      </w:r>
    </w:p>
    <w:p w14:paraId="63BCAC98" w14:textId="77777777" w:rsidR="005715EF" w:rsidRDefault="005715EF" w:rsidP="00F061EF">
      <w:pPr>
        <w:pStyle w:val="Heading3"/>
      </w:pPr>
      <w:r w:rsidRPr="00B77FEF">
        <w:lastRenderedPageBreak/>
        <w:t xml:space="preserve">By </w:t>
      </w:r>
      <w:r>
        <w:t>neighbourhood deprivation</w:t>
      </w:r>
      <w:bookmarkEnd w:id="109"/>
    </w:p>
    <w:p w14:paraId="58363C27" w14:textId="77777777" w:rsidR="005715EF" w:rsidRPr="005715EF" w:rsidRDefault="00881EDB" w:rsidP="005715EF">
      <w:r w:rsidRPr="006C386C">
        <w:rPr>
          <w:rFonts w:asciiTheme="minorHAnsi" w:hAnsiTheme="minorHAnsi"/>
        </w:rPr>
        <w:t xml:space="preserve">Deprivation was significantly associated (p=0.0084) with problem gambling status. </w:t>
      </w:r>
      <w:r w:rsidR="00932695">
        <w:rPr>
          <w:rFonts w:asciiTheme="minorHAnsi" w:hAnsiTheme="minorHAnsi"/>
        </w:rPr>
        <w:t>As illustrated in</w:t>
      </w:r>
      <w:r w:rsidR="00563D18">
        <w:rPr>
          <w:rFonts w:asciiTheme="minorHAnsi" w:hAnsiTheme="minorHAnsi"/>
        </w:rPr>
        <w:t xml:space="preserve"> Figure 20</w:t>
      </w:r>
      <w:r w:rsidR="00932695">
        <w:rPr>
          <w:rFonts w:asciiTheme="minorHAnsi" w:hAnsiTheme="minorHAnsi"/>
        </w:rPr>
        <w:t>, a</w:t>
      </w:r>
      <w:r w:rsidRPr="006C386C">
        <w:rPr>
          <w:rFonts w:asciiTheme="minorHAnsi" w:hAnsiTheme="minorHAnsi"/>
        </w:rPr>
        <w:t xml:space="preserve"> very clear trend was observed between deprivation and the likelihood of </w:t>
      </w:r>
      <w:r w:rsidR="00017182" w:rsidRPr="00B77FEF">
        <w:rPr>
          <w:rFonts w:asciiTheme="minorHAnsi" w:hAnsiTheme="minorHAnsi"/>
        </w:rPr>
        <w:t>moderate-risk</w:t>
      </w:r>
      <w:r w:rsidR="00017182">
        <w:rPr>
          <w:rFonts w:asciiTheme="minorHAnsi" w:hAnsiTheme="minorHAnsi"/>
        </w:rPr>
        <w:t>/problem</w:t>
      </w:r>
      <w:r w:rsidR="00017182" w:rsidRPr="00B77FEF">
        <w:rPr>
          <w:rFonts w:asciiTheme="minorHAnsi" w:hAnsiTheme="minorHAnsi"/>
        </w:rPr>
        <w:t xml:space="preserve"> </w:t>
      </w:r>
      <w:r w:rsidRPr="006C386C">
        <w:rPr>
          <w:rFonts w:asciiTheme="minorHAnsi" w:hAnsiTheme="minorHAnsi"/>
        </w:rPr>
        <w:t xml:space="preserve">gambling; as the level of deprivation in a neighbourhood increased, so too did the likelihood of problematic gambling. </w:t>
      </w:r>
      <w:r w:rsidR="004832C7">
        <w:rPr>
          <w:rFonts w:asciiTheme="minorHAnsi" w:hAnsiTheme="minorHAnsi"/>
        </w:rPr>
        <w:t xml:space="preserve"> </w:t>
      </w:r>
      <w:r w:rsidRPr="006C386C">
        <w:rPr>
          <w:rFonts w:asciiTheme="minorHAnsi" w:hAnsiTheme="minorHAnsi"/>
        </w:rPr>
        <w:t>People living in neighbourhoods with the highest level</w:t>
      </w:r>
      <w:r w:rsidR="004832C7">
        <w:rPr>
          <w:rFonts w:asciiTheme="minorHAnsi" w:hAnsiTheme="minorHAnsi"/>
        </w:rPr>
        <w:t>s</w:t>
      </w:r>
      <w:r w:rsidRPr="006C386C">
        <w:rPr>
          <w:rFonts w:asciiTheme="minorHAnsi" w:hAnsiTheme="minorHAnsi"/>
        </w:rPr>
        <w:t xml:space="preserve"> of deprivation (i.e. the most deprived) were five times more likely</w:t>
      </w:r>
      <w:r>
        <w:rPr>
          <w:rFonts w:asciiTheme="minorHAnsi" w:hAnsiTheme="minorHAnsi"/>
        </w:rPr>
        <w:t xml:space="preserve"> (OR 5.0)</w:t>
      </w:r>
      <w:r w:rsidRPr="006C386C">
        <w:rPr>
          <w:rFonts w:asciiTheme="minorHAnsi" w:hAnsiTheme="minorHAnsi"/>
        </w:rPr>
        <w:t xml:space="preserve"> to report </w:t>
      </w:r>
      <w:r w:rsidR="00017182" w:rsidRPr="00B77FEF">
        <w:rPr>
          <w:rFonts w:asciiTheme="minorHAnsi" w:hAnsiTheme="minorHAnsi"/>
        </w:rPr>
        <w:t>moderate-risk</w:t>
      </w:r>
      <w:r w:rsidR="00017182">
        <w:rPr>
          <w:rFonts w:asciiTheme="minorHAnsi" w:hAnsiTheme="minorHAnsi"/>
        </w:rPr>
        <w:t>/problem</w:t>
      </w:r>
      <w:r w:rsidR="00017182" w:rsidRPr="00B77FEF">
        <w:rPr>
          <w:rFonts w:asciiTheme="minorHAnsi" w:hAnsiTheme="minorHAnsi"/>
        </w:rPr>
        <w:t xml:space="preserve"> </w:t>
      </w:r>
      <w:r w:rsidRPr="006C386C">
        <w:rPr>
          <w:rFonts w:asciiTheme="minorHAnsi" w:hAnsiTheme="minorHAnsi"/>
        </w:rPr>
        <w:t>gambling</w:t>
      </w:r>
      <w:r>
        <w:rPr>
          <w:rFonts w:asciiTheme="minorHAnsi" w:hAnsiTheme="minorHAnsi"/>
        </w:rPr>
        <w:t xml:space="preserve"> than those living in neighbourhoods with the lowest levels of deprivation (i.e. the least depr</w:t>
      </w:r>
      <w:r w:rsidR="00FA7C0C">
        <w:rPr>
          <w:rFonts w:asciiTheme="minorHAnsi" w:hAnsiTheme="minorHAnsi"/>
        </w:rPr>
        <w:t>ived)</w:t>
      </w:r>
      <w:r w:rsidRPr="006C386C">
        <w:rPr>
          <w:rFonts w:asciiTheme="minorHAnsi" w:hAnsiTheme="minorHAnsi"/>
        </w:rPr>
        <w:t>.</w:t>
      </w:r>
    </w:p>
    <w:p w14:paraId="33AE8474" w14:textId="77777777" w:rsidR="00932695" w:rsidRPr="00AF3A24" w:rsidRDefault="00932695" w:rsidP="00932695">
      <w:pPr>
        <w:pStyle w:val="Caption"/>
        <w:keepNext/>
        <w:spacing w:after="0" w:line="276" w:lineRule="auto"/>
        <w:ind w:left="993" w:hanging="993"/>
        <w:rPr>
          <w:rFonts w:asciiTheme="minorHAnsi" w:hAnsiTheme="minorHAnsi" w:cstheme="minorHAnsi"/>
          <w:i/>
        </w:rPr>
      </w:pPr>
      <w:bookmarkStart w:id="110" w:name="_Ref402778078"/>
      <w:bookmarkStart w:id="111" w:name="_Toc425426993"/>
      <w:bookmarkStart w:id="112" w:name="_Ref396219269"/>
      <w:bookmarkStart w:id="113" w:name="_Ref399775141"/>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20</w:t>
      </w:r>
      <w:r w:rsidRPr="00AF3A24">
        <w:rPr>
          <w:rFonts w:asciiTheme="minorHAnsi" w:hAnsiTheme="minorHAnsi" w:cstheme="minorHAnsi"/>
          <w:i/>
          <w:noProof/>
        </w:rPr>
        <w:fldChar w:fldCharType="end"/>
      </w:r>
      <w:bookmarkEnd w:id="110"/>
      <w:r w:rsidRPr="00AF3A24">
        <w:rPr>
          <w:rFonts w:asciiTheme="minorHAnsi" w:hAnsiTheme="minorHAnsi" w:cstheme="minorHAnsi"/>
          <w:i/>
        </w:rPr>
        <w:t xml:space="preserve">: </w:t>
      </w:r>
      <w:r w:rsidRPr="00AF3A24">
        <w:rPr>
          <w:rFonts w:asciiTheme="minorHAnsi" w:hAnsiTheme="minorHAnsi" w:cstheme="minorHAnsi"/>
          <w:i/>
        </w:rPr>
        <w:tab/>
      </w:r>
      <w:r>
        <w:rPr>
          <w:rFonts w:asciiTheme="minorHAnsi" w:hAnsiTheme="minorHAnsi" w:cstheme="minorHAnsi"/>
          <w:i/>
        </w:rPr>
        <w:t>Moderate-risk/problem gambling</w:t>
      </w:r>
      <w:r w:rsidRPr="00AF3A24">
        <w:rPr>
          <w:rFonts w:asciiTheme="minorHAnsi" w:hAnsiTheme="minorHAnsi" w:cstheme="minorHAnsi"/>
          <w:i/>
        </w:rPr>
        <w:t xml:space="preserve">, by </w:t>
      </w:r>
      <w:r>
        <w:rPr>
          <w:rFonts w:asciiTheme="minorHAnsi" w:hAnsiTheme="minorHAnsi" w:cstheme="minorHAnsi"/>
          <w:i/>
        </w:rPr>
        <w:t>neighbourhood deprivation (NZDep2006)</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total population aged 15 years and over (unadjusted prevalence; N=12,59</w:t>
      </w:r>
      <w:r>
        <w:rPr>
          <w:rFonts w:asciiTheme="minorHAnsi" w:hAnsiTheme="minorHAnsi" w:cstheme="minorHAnsi"/>
          <w:i/>
        </w:rPr>
        <w:t>4</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11"/>
    </w:p>
    <w:p w14:paraId="491C1947" w14:textId="77777777" w:rsidR="00932695" w:rsidRDefault="00932695" w:rsidP="00BB11FB">
      <w:pPr>
        <w:spacing w:line="240" w:lineRule="auto"/>
        <w:jc w:val="center"/>
        <w:rPr>
          <w:rFonts w:asciiTheme="minorHAnsi" w:hAnsiTheme="minorHAnsi"/>
        </w:rPr>
      </w:pPr>
      <w:r>
        <w:rPr>
          <w:rFonts w:asciiTheme="minorHAnsi" w:hAnsiTheme="minorHAnsi"/>
          <w:noProof/>
          <w:lang w:eastAsia="en-NZ"/>
        </w:rPr>
        <w:drawing>
          <wp:inline distT="0" distB="0" distL="0" distR="0" wp14:anchorId="0291A9C6" wp14:editId="292AC41C">
            <wp:extent cx="5284381" cy="4061637"/>
            <wp:effectExtent l="0" t="0" r="0" b="0"/>
            <wp:docPr id="32" name="Picture 32" descr="C:\Users\fros001.000\AppData\Local\Microsoft\Windows\Temporary Internet Files\Content.Outlook\YXYMH2JN\NZDe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os001.000\AppData\Local\Microsoft\Windows\Temporary Internet Files\Content.Outlook\YXYMH2JN\NZDep2.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 t="9936" r="4047" b="7559"/>
                    <a:stretch/>
                  </pic:blipFill>
                  <pic:spPr bwMode="auto">
                    <a:xfrm>
                      <a:off x="0" y="0"/>
                      <a:ext cx="5288736" cy="4064984"/>
                    </a:xfrm>
                    <a:prstGeom prst="rect">
                      <a:avLst/>
                    </a:prstGeom>
                    <a:noFill/>
                    <a:ln>
                      <a:noFill/>
                    </a:ln>
                    <a:extLst>
                      <a:ext uri="{53640926-AAD7-44D8-BBD7-CCE9431645EC}">
                        <a14:shadowObscured xmlns:a14="http://schemas.microsoft.com/office/drawing/2010/main"/>
                      </a:ext>
                    </a:extLst>
                  </pic:spPr>
                </pic:pic>
              </a:graphicData>
            </a:graphic>
          </wp:inline>
        </w:drawing>
      </w:r>
    </w:p>
    <w:p w14:paraId="5602890A" w14:textId="77777777" w:rsidR="00BB11FB" w:rsidRPr="0045616C" w:rsidRDefault="00BB11FB" w:rsidP="00BB11FB">
      <w:pPr>
        <w:tabs>
          <w:tab w:val="left" w:pos="3081"/>
        </w:tabs>
        <w:spacing w:before="0" w:line="240" w:lineRule="auto"/>
        <w:ind w:left="2127" w:hanging="284"/>
        <w:rPr>
          <w:rFonts w:asciiTheme="minorHAnsi" w:hAnsiTheme="minorHAnsi" w:cstheme="minorHAnsi"/>
          <w:sz w:val="16"/>
        </w:rPr>
      </w:pPr>
      <w:r w:rsidRPr="0045616C">
        <w:rPr>
          <w:rFonts w:asciiTheme="minorHAnsi" w:hAnsiTheme="minorHAnsi" w:cstheme="minorHAnsi"/>
          <w:sz w:val="16"/>
        </w:rPr>
        <w:t>Notes:</w:t>
      </w:r>
      <w:r>
        <w:rPr>
          <w:rFonts w:asciiTheme="minorHAnsi" w:hAnsiTheme="minorHAnsi" w:cstheme="minorHAnsi"/>
          <w:sz w:val="16"/>
        </w:rPr>
        <w:tab/>
      </w:r>
    </w:p>
    <w:p w14:paraId="3A503314" w14:textId="77777777" w:rsidR="00BB11FB" w:rsidRPr="00BB11FB" w:rsidRDefault="00BB11FB" w:rsidP="004F129A">
      <w:pPr>
        <w:pStyle w:val="ListParagraph"/>
        <w:numPr>
          <w:ilvl w:val="0"/>
          <w:numId w:val="86"/>
        </w:numPr>
        <w:ind w:left="2268"/>
        <w:rPr>
          <w:rFonts w:asciiTheme="minorHAnsi" w:hAnsiTheme="minorHAnsi"/>
        </w:rPr>
      </w:pPr>
      <w:r w:rsidRPr="00BB11FB">
        <w:rPr>
          <w:rFonts w:asciiTheme="minorHAnsi" w:hAnsiTheme="minorHAnsi" w:cstheme="minorHAnsi"/>
          <w:sz w:val="16"/>
        </w:rPr>
        <w:t>Source: 2011/12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31C45611" w14:textId="77777777" w:rsidR="00BB11FB" w:rsidRDefault="00BB11FB" w:rsidP="00AA3674">
      <w:pPr>
        <w:jc w:val="center"/>
        <w:rPr>
          <w:rFonts w:asciiTheme="minorHAnsi" w:hAnsiTheme="minorHAnsi"/>
        </w:rPr>
      </w:pPr>
    </w:p>
    <w:p w14:paraId="54268ECF" w14:textId="77777777" w:rsidR="00195C2A" w:rsidRDefault="00195C2A" w:rsidP="00F061EF">
      <w:pPr>
        <w:pStyle w:val="Heading3"/>
      </w:pPr>
      <w:bookmarkStart w:id="114" w:name="_Toc403833172"/>
      <w:r w:rsidRPr="00B77FEF">
        <w:lastRenderedPageBreak/>
        <w:t xml:space="preserve">By </w:t>
      </w:r>
      <w:r>
        <w:t>geography</w:t>
      </w:r>
      <w:bookmarkEnd w:id="114"/>
    </w:p>
    <w:p w14:paraId="664183B9" w14:textId="77777777" w:rsidR="00195C2A" w:rsidRDefault="00195C2A" w:rsidP="00195C2A">
      <w:pPr>
        <w:rPr>
          <w:rFonts w:asciiTheme="minorHAnsi" w:hAnsiTheme="minorHAnsi"/>
        </w:rPr>
      </w:pPr>
      <w:r w:rsidRPr="00195C2A">
        <w:rPr>
          <w:rFonts w:asciiTheme="minorHAnsi" w:hAnsiTheme="minorHAnsi"/>
        </w:rPr>
        <w:t xml:space="preserve">PGSI categorisation </w:t>
      </w:r>
      <w:r w:rsidR="000E07DB">
        <w:rPr>
          <w:rFonts w:asciiTheme="minorHAnsi" w:hAnsiTheme="minorHAnsi"/>
        </w:rPr>
        <w:t xml:space="preserve">failed to </w:t>
      </w:r>
      <w:r w:rsidRPr="00195C2A">
        <w:rPr>
          <w:rFonts w:asciiTheme="minorHAnsi" w:hAnsiTheme="minorHAnsi"/>
        </w:rPr>
        <w:t>reach significance in relation to geographic location (p=0.0</w:t>
      </w:r>
      <w:r w:rsidR="00F13C5F">
        <w:rPr>
          <w:rFonts w:asciiTheme="minorHAnsi" w:hAnsiTheme="minorHAnsi"/>
        </w:rPr>
        <w:t>4</w:t>
      </w:r>
      <w:r w:rsidRPr="00195C2A">
        <w:rPr>
          <w:rFonts w:asciiTheme="minorHAnsi" w:hAnsiTheme="minorHAnsi"/>
        </w:rPr>
        <w:t>)</w:t>
      </w:r>
      <w:r w:rsidR="000E07DB">
        <w:rPr>
          <w:rFonts w:asciiTheme="minorHAnsi" w:hAnsiTheme="minorHAnsi"/>
        </w:rPr>
        <w:t xml:space="preserve"> – no significant differences in problem gambling status were observed between people living in rural and urban locations</w:t>
      </w:r>
      <w:r w:rsidRPr="00195C2A">
        <w:rPr>
          <w:rFonts w:asciiTheme="minorHAnsi" w:hAnsiTheme="minorHAnsi"/>
        </w:rPr>
        <w:t xml:space="preserve">.  </w:t>
      </w:r>
    </w:p>
    <w:p w14:paraId="7A6738F4" w14:textId="77777777" w:rsidR="00D53719" w:rsidRPr="005E2EA0" w:rsidRDefault="00195C2A" w:rsidP="00F13C5F">
      <w:pPr>
        <w:rPr>
          <w:rFonts w:asciiTheme="minorHAnsi" w:hAnsiTheme="minorHAnsi"/>
          <w:b/>
          <w:bCs/>
          <w:i/>
          <w:sz w:val="20"/>
          <w:szCs w:val="20"/>
        </w:rPr>
      </w:pPr>
      <w:r w:rsidRPr="00195C2A">
        <w:rPr>
          <w:rFonts w:asciiTheme="minorHAnsi" w:hAnsiTheme="minorHAnsi"/>
        </w:rPr>
        <w:t xml:space="preserve"> </w:t>
      </w:r>
      <w:bookmarkEnd w:id="112"/>
      <w:bookmarkEnd w:id="113"/>
    </w:p>
    <w:p w14:paraId="6500E64B" w14:textId="77777777" w:rsidR="00D75112" w:rsidRPr="002B33AE" w:rsidRDefault="00D75112" w:rsidP="00F061EF">
      <w:pPr>
        <w:pStyle w:val="Heading2"/>
      </w:pPr>
      <w:bookmarkStart w:id="115" w:name="_Toc403833173"/>
      <w:r w:rsidRPr="002B33AE">
        <w:t xml:space="preserve">Problem gambling </w:t>
      </w:r>
      <w:r w:rsidR="0059084E">
        <w:t>– risks associated with different gambling activities</w:t>
      </w:r>
      <w:bookmarkEnd w:id="115"/>
    </w:p>
    <w:p w14:paraId="6E8FBC9C" w14:textId="77777777" w:rsidR="0070109C" w:rsidRDefault="00563D18" w:rsidP="008858E4">
      <w:pPr>
        <w:rPr>
          <w:rFonts w:asciiTheme="minorHAnsi" w:hAnsiTheme="minorHAnsi"/>
        </w:rPr>
      </w:pPr>
      <w:r>
        <w:rPr>
          <w:rFonts w:asciiTheme="minorHAnsi" w:hAnsiTheme="minorHAnsi"/>
        </w:rPr>
        <w:t>Table 13</w:t>
      </w:r>
      <w:r w:rsidR="0070109C">
        <w:rPr>
          <w:rFonts w:asciiTheme="minorHAnsi" w:hAnsiTheme="minorHAnsi"/>
        </w:rPr>
        <w:t xml:space="preserve"> presents participation rates </w:t>
      </w:r>
      <w:r w:rsidR="00570263">
        <w:rPr>
          <w:rFonts w:asciiTheme="minorHAnsi" w:hAnsiTheme="minorHAnsi"/>
        </w:rPr>
        <w:t>for</w:t>
      </w:r>
      <w:r w:rsidR="0070109C">
        <w:rPr>
          <w:rFonts w:asciiTheme="minorHAnsi" w:hAnsiTheme="minorHAnsi"/>
        </w:rPr>
        <w:t xml:space="preserve"> different gambling activities </w:t>
      </w:r>
      <w:r w:rsidR="00570263">
        <w:rPr>
          <w:rFonts w:asciiTheme="minorHAnsi" w:hAnsiTheme="minorHAnsi"/>
        </w:rPr>
        <w:t>in</w:t>
      </w:r>
      <w:r w:rsidR="0070109C">
        <w:rPr>
          <w:rFonts w:asciiTheme="minorHAnsi" w:hAnsiTheme="minorHAnsi"/>
        </w:rPr>
        <w:t xml:space="preserve"> the </w:t>
      </w:r>
      <w:r w:rsidR="004B2652">
        <w:rPr>
          <w:rFonts w:asciiTheme="minorHAnsi" w:hAnsiTheme="minorHAnsi"/>
        </w:rPr>
        <w:t xml:space="preserve">past year, by gambling status. </w:t>
      </w:r>
      <w:r w:rsidR="0070109C">
        <w:rPr>
          <w:rFonts w:asciiTheme="minorHAnsi" w:hAnsiTheme="minorHAnsi"/>
        </w:rPr>
        <w:t>Nearly three-quarters of moderate</w:t>
      </w:r>
      <w:r w:rsidR="00570263">
        <w:rPr>
          <w:rFonts w:asciiTheme="minorHAnsi" w:hAnsiTheme="minorHAnsi"/>
        </w:rPr>
        <w:t>-risk</w:t>
      </w:r>
      <w:r w:rsidR="0070109C">
        <w:rPr>
          <w:rFonts w:asciiTheme="minorHAnsi" w:hAnsiTheme="minorHAnsi"/>
        </w:rPr>
        <w:t>/problem gamblers (71.2%) had gambled on a</w:t>
      </w:r>
      <w:r w:rsidR="00570263">
        <w:rPr>
          <w:rFonts w:asciiTheme="minorHAnsi" w:hAnsiTheme="minorHAnsi"/>
        </w:rPr>
        <w:t>n</w:t>
      </w:r>
      <w:r w:rsidR="0070109C">
        <w:rPr>
          <w:rFonts w:asciiTheme="minorHAnsi" w:hAnsiTheme="minorHAnsi"/>
        </w:rPr>
        <w:t xml:space="preserve"> </w:t>
      </w:r>
      <w:r w:rsidR="00570263">
        <w:rPr>
          <w:rFonts w:asciiTheme="minorHAnsi" w:hAnsiTheme="minorHAnsi"/>
        </w:rPr>
        <w:t>EGM</w:t>
      </w:r>
      <w:r w:rsidR="0070109C">
        <w:rPr>
          <w:rFonts w:asciiTheme="minorHAnsi" w:hAnsiTheme="minorHAnsi"/>
        </w:rPr>
        <w:t xml:space="preserve"> (casino or non-casino) in the past 12 months. </w:t>
      </w:r>
      <w:r w:rsidR="00330C11">
        <w:rPr>
          <w:rFonts w:asciiTheme="minorHAnsi" w:hAnsiTheme="minorHAnsi"/>
        </w:rPr>
        <w:t xml:space="preserve"> </w:t>
      </w:r>
      <w:r w:rsidR="0070109C">
        <w:rPr>
          <w:rFonts w:asciiTheme="minorHAnsi" w:hAnsiTheme="minorHAnsi"/>
        </w:rPr>
        <w:t>This rate steadily decreased with severity of gambling problems</w:t>
      </w:r>
      <w:r w:rsidR="00174600">
        <w:rPr>
          <w:rFonts w:asciiTheme="minorHAnsi" w:hAnsiTheme="minorHAnsi"/>
        </w:rPr>
        <w:t>:</w:t>
      </w:r>
      <w:r w:rsidR="0070109C">
        <w:rPr>
          <w:rFonts w:asciiTheme="minorHAnsi" w:hAnsiTheme="minorHAnsi"/>
        </w:rPr>
        <w:t xml:space="preserve"> 44.5% of low-risk and 14.8% of non-problem/r</w:t>
      </w:r>
      <w:r w:rsidR="00570263">
        <w:rPr>
          <w:rFonts w:asciiTheme="minorHAnsi" w:hAnsiTheme="minorHAnsi"/>
        </w:rPr>
        <w:t xml:space="preserve">ecreational gamblers had used an EGM </w:t>
      </w:r>
      <w:r w:rsidR="0070109C">
        <w:rPr>
          <w:rFonts w:asciiTheme="minorHAnsi" w:hAnsiTheme="minorHAnsi"/>
        </w:rPr>
        <w:t xml:space="preserve">in the past year. </w:t>
      </w:r>
    </w:p>
    <w:p w14:paraId="1B43A60F" w14:textId="77777777" w:rsidR="004B2652" w:rsidRDefault="004B2652" w:rsidP="008858E4">
      <w:pPr>
        <w:rPr>
          <w:rFonts w:asciiTheme="minorHAnsi" w:hAnsiTheme="minorHAnsi"/>
        </w:rPr>
      </w:pPr>
      <w:r>
        <w:rPr>
          <w:rFonts w:asciiTheme="minorHAnsi" w:hAnsiTheme="minorHAnsi"/>
        </w:rPr>
        <w:t>In general, there was a trend for</w:t>
      </w:r>
      <w:r w:rsidR="00295491" w:rsidRPr="00295491">
        <w:rPr>
          <w:rFonts w:asciiTheme="minorHAnsi" w:hAnsiTheme="minorHAnsi"/>
        </w:rPr>
        <w:t xml:space="preserve"> </w:t>
      </w:r>
      <w:r w:rsidR="00990C33">
        <w:rPr>
          <w:rFonts w:asciiTheme="minorHAnsi" w:hAnsiTheme="minorHAnsi"/>
        </w:rPr>
        <w:t>the</w:t>
      </w:r>
      <w:r w:rsidR="00295491">
        <w:rPr>
          <w:rFonts w:asciiTheme="minorHAnsi" w:hAnsiTheme="minorHAnsi"/>
        </w:rPr>
        <w:t xml:space="preserve"> severity of gambling problems to </w:t>
      </w:r>
      <w:r w:rsidR="00990C33">
        <w:rPr>
          <w:rFonts w:asciiTheme="minorHAnsi" w:hAnsiTheme="minorHAnsi"/>
        </w:rPr>
        <w:t xml:space="preserve">increase along </w:t>
      </w:r>
      <w:r w:rsidR="00295491">
        <w:rPr>
          <w:rFonts w:asciiTheme="minorHAnsi" w:hAnsiTheme="minorHAnsi"/>
        </w:rPr>
        <w:t xml:space="preserve">with </w:t>
      </w:r>
      <w:r>
        <w:rPr>
          <w:rFonts w:asciiTheme="minorHAnsi" w:hAnsiTheme="minorHAnsi"/>
        </w:rPr>
        <w:t>rates of participation in each gambling activity. Lotto was an exception to this trend</w:t>
      </w:r>
      <w:r w:rsidR="00295491">
        <w:rPr>
          <w:rFonts w:asciiTheme="minorHAnsi" w:hAnsiTheme="minorHAnsi"/>
        </w:rPr>
        <w:t xml:space="preserve">, particularly for those who had </w:t>
      </w:r>
      <w:r w:rsidR="00295491" w:rsidRPr="00174600">
        <w:rPr>
          <w:rFonts w:asciiTheme="minorHAnsi" w:hAnsiTheme="minorHAnsi"/>
          <w:i/>
        </w:rPr>
        <w:t>only</w:t>
      </w:r>
      <w:r w:rsidR="00295491">
        <w:rPr>
          <w:rFonts w:asciiTheme="minorHAnsi" w:hAnsiTheme="minorHAnsi"/>
        </w:rPr>
        <w:t xml:space="preserve"> played Lotto: 54.2% of non-problem/recreational gamblers </w:t>
      </w:r>
      <w:r w:rsidR="00C826B0">
        <w:rPr>
          <w:rFonts w:asciiTheme="minorHAnsi" w:hAnsiTheme="minorHAnsi"/>
        </w:rPr>
        <w:t>indicated that they had only played L</w:t>
      </w:r>
      <w:r w:rsidR="00295491">
        <w:rPr>
          <w:rFonts w:asciiTheme="minorHAnsi" w:hAnsiTheme="minorHAnsi"/>
        </w:rPr>
        <w:t>otto, compared with 16.0% of low-risk gamblers</w:t>
      </w:r>
      <w:r w:rsidR="00295491">
        <w:rPr>
          <w:rStyle w:val="FootnoteReference"/>
          <w:rFonts w:asciiTheme="minorHAnsi" w:hAnsiTheme="minorHAnsi"/>
        </w:rPr>
        <w:footnoteReference w:id="10"/>
      </w:r>
      <w:r w:rsidR="00295491">
        <w:rPr>
          <w:rFonts w:asciiTheme="minorHAnsi" w:hAnsiTheme="minorHAnsi"/>
        </w:rPr>
        <w:t xml:space="preserve">. </w:t>
      </w:r>
    </w:p>
    <w:p w14:paraId="0D464AD2" w14:textId="77777777" w:rsidR="008731A1" w:rsidRDefault="008731A1">
      <w:pPr>
        <w:spacing w:before="0" w:after="200" w:line="276" w:lineRule="auto"/>
        <w:jc w:val="left"/>
        <w:rPr>
          <w:rFonts w:asciiTheme="minorHAnsi" w:hAnsiTheme="minorHAnsi"/>
          <w:b/>
          <w:bCs/>
          <w:i/>
          <w:sz w:val="20"/>
          <w:szCs w:val="20"/>
        </w:rPr>
      </w:pPr>
      <w:bookmarkStart w:id="116" w:name="_Ref396990923"/>
      <w:r>
        <w:rPr>
          <w:rFonts w:asciiTheme="minorHAnsi" w:hAnsiTheme="minorHAnsi"/>
          <w:i/>
        </w:rPr>
        <w:br w:type="page"/>
      </w:r>
    </w:p>
    <w:p w14:paraId="5CB104B2" w14:textId="77777777" w:rsidR="008858E4" w:rsidRPr="00AF3A24" w:rsidRDefault="008858E4" w:rsidP="008858E4">
      <w:pPr>
        <w:pStyle w:val="Caption"/>
        <w:keepNext/>
        <w:spacing w:line="276" w:lineRule="auto"/>
        <w:ind w:left="993" w:hanging="993"/>
        <w:rPr>
          <w:rFonts w:asciiTheme="minorHAnsi" w:hAnsiTheme="minorHAnsi" w:cstheme="minorHAnsi"/>
          <w:i/>
        </w:rPr>
      </w:pPr>
      <w:bookmarkStart w:id="117" w:name="_Toc425426880"/>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13</w:t>
      </w:r>
      <w:r w:rsidRPr="00AF3A24">
        <w:rPr>
          <w:rFonts w:asciiTheme="minorHAnsi" w:hAnsiTheme="minorHAnsi"/>
          <w:i/>
        </w:rPr>
        <w:fldChar w:fldCharType="end"/>
      </w:r>
      <w:bookmarkEnd w:id="116"/>
      <w:r w:rsidRPr="00AF3A24">
        <w:rPr>
          <w:rFonts w:asciiTheme="minorHAnsi" w:hAnsiTheme="minorHAnsi"/>
          <w:i/>
        </w:rPr>
        <w:t>:</w:t>
      </w:r>
      <w:r w:rsidRPr="00AF3A24">
        <w:rPr>
          <w:rFonts w:asciiTheme="minorHAnsi" w:hAnsiTheme="minorHAnsi" w:cstheme="minorHAnsi"/>
          <w:i/>
        </w:rPr>
        <w:tab/>
        <w:t xml:space="preserve">Past year participation in specific types of gambling activities, </w:t>
      </w:r>
      <w:r>
        <w:rPr>
          <w:rFonts w:asciiTheme="minorHAnsi" w:hAnsiTheme="minorHAnsi" w:cstheme="minorHAnsi"/>
          <w:i/>
        </w:rPr>
        <w:t>by PGSI categorisation, past-year gamblers</w:t>
      </w:r>
      <w:r w:rsidRPr="00AF3A24">
        <w:rPr>
          <w:rFonts w:asciiTheme="minorHAnsi" w:hAnsiTheme="minorHAnsi" w:cstheme="minorHAnsi"/>
          <w:i/>
        </w:rPr>
        <w:t xml:space="preserve"> (unadjusted prevalence; N=</w:t>
      </w:r>
      <w:r>
        <w:rPr>
          <w:rFonts w:asciiTheme="minorHAnsi" w:hAnsiTheme="minorHAnsi" w:cstheme="minorHAnsi"/>
          <w:i/>
        </w:rPr>
        <w:t>6</w:t>
      </w:r>
      <w:r w:rsidRPr="00AF3A24">
        <w:rPr>
          <w:rFonts w:asciiTheme="minorHAnsi" w:hAnsiTheme="minorHAnsi" w:cstheme="minorHAnsi"/>
          <w:i/>
        </w:rPr>
        <w:t>,5</w:t>
      </w:r>
      <w:r>
        <w:rPr>
          <w:rFonts w:asciiTheme="minorHAnsi" w:hAnsiTheme="minorHAnsi" w:cstheme="minorHAnsi"/>
          <w:i/>
        </w:rPr>
        <w:t>4</w:t>
      </w:r>
      <w:r w:rsidRPr="00AF3A24">
        <w:rPr>
          <w:rFonts w:asciiTheme="minorHAnsi" w:hAnsiTheme="minorHAnsi" w:cstheme="minorHAnsi"/>
          <w:i/>
        </w:rPr>
        <w:t xml:space="preserve">9) </w:t>
      </w:r>
      <w:r w:rsidRPr="00AF3A24">
        <w:rPr>
          <w:rFonts w:asciiTheme="minorHAnsi" w:hAnsiTheme="minorHAnsi" w:cstheme="minorHAnsi"/>
          <w:i/>
          <w:vertAlign w:val="superscript"/>
        </w:rPr>
        <w:t>1</w:t>
      </w:r>
      <w:bookmarkEnd w:id="117"/>
    </w:p>
    <w:tbl>
      <w:tblPr>
        <w:tblStyle w:val="TableGrid"/>
        <w:tblW w:w="9399" w:type="dxa"/>
        <w:jc w:val="center"/>
        <w:tblLayout w:type="fixed"/>
        <w:tblLook w:val="04A0" w:firstRow="1" w:lastRow="0" w:firstColumn="1" w:lastColumn="0" w:noHBand="0" w:noVBand="1"/>
      </w:tblPr>
      <w:tblGrid>
        <w:gridCol w:w="4010"/>
        <w:gridCol w:w="720"/>
        <w:gridCol w:w="1080"/>
        <w:gridCol w:w="720"/>
        <w:gridCol w:w="1080"/>
        <w:gridCol w:w="720"/>
        <w:gridCol w:w="1069"/>
      </w:tblGrid>
      <w:tr w:rsidR="0063073B" w:rsidRPr="00AF3A24" w14:paraId="71DDB7E4" w14:textId="77777777" w:rsidTr="0045616C">
        <w:trPr>
          <w:trHeight w:val="386"/>
          <w:jc w:val="center"/>
        </w:trPr>
        <w:tc>
          <w:tcPr>
            <w:tcW w:w="4010" w:type="dxa"/>
            <w:vMerge w:val="restart"/>
            <w:shd w:val="clear" w:color="auto" w:fill="92CDDC" w:themeFill="accent5" w:themeFillTint="99"/>
            <w:vAlign w:val="center"/>
          </w:tcPr>
          <w:p w14:paraId="0E0E1987" w14:textId="77777777" w:rsidR="0063073B" w:rsidRPr="00AF3A24" w:rsidRDefault="0063073B" w:rsidP="008858E4">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GAMBLING ACTIVITY</w:t>
            </w:r>
            <w:r>
              <w:rPr>
                <w:rFonts w:asciiTheme="minorHAnsi" w:hAnsiTheme="minorHAnsi" w:cstheme="minorHAnsi"/>
                <w:b/>
                <w:sz w:val="18"/>
                <w:szCs w:val="18"/>
              </w:rPr>
              <w:t xml:space="preserve"> </w:t>
            </w:r>
            <w:r w:rsidRPr="008858E4">
              <w:rPr>
                <w:rFonts w:asciiTheme="minorHAnsi" w:hAnsiTheme="minorHAnsi" w:cstheme="minorHAnsi"/>
                <w:b/>
                <w:sz w:val="18"/>
                <w:szCs w:val="18"/>
                <w:vertAlign w:val="superscript"/>
              </w:rPr>
              <w:t>2</w:t>
            </w:r>
          </w:p>
        </w:tc>
        <w:tc>
          <w:tcPr>
            <w:tcW w:w="5389" w:type="dxa"/>
            <w:gridSpan w:val="6"/>
            <w:tcBorders>
              <w:bottom w:val="single" w:sz="4" w:space="0" w:color="auto"/>
            </w:tcBorders>
            <w:shd w:val="clear" w:color="auto" w:fill="92CDDC" w:themeFill="accent5" w:themeFillTint="99"/>
            <w:vAlign w:val="center"/>
          </w:tcPr>
          <w:p w14:paraId="4DF602FE"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r>
      <w:tr w:rsidR="0063073B" w:rsidRPr="00AF3A24" w14:paraId="24D5CF8F" w14:textId="77777777" w:rsidTr="0045616C">
        <w:trPr>
          <w:trHeight w:val="386"/>
          <w:jc w:val="center"/>
        </w:trPr>
        <w:tc>
          <w:tcPr>
            <w:tcW w:w="4010" w:type="dxa"/>
            <w:vMerge/>
            <w:shd w:val="clear" w:color="auto" w:fill="92CDDC" w:themeFill="accent5" w:themeFillTint="99"/>
          </w:tcPr>
          <w:p w14:paraId="61E49C10" w14:textId="77777777" w:rsidR="0063073B" w:rsidRPr="00AF3A24" w:rsidRDefault="0063073B" w:rsidP="008858E4">
            <w:pPr>
              <w:spacing w:before="0" w:line="240" w:lineRule="auto"/>
              <w:jc w:val="left"/>
              <w:rPr>
                <w:rFonts w:asciiTheme="minorHAnsi" w:hAnsiTheme="minorHAnsi" w:cstheme="minorHAnsi"/>
                <w:b/>
                <w:sz w:val="18"/>
                <w:szCs w:val="18"/>
              </w:rPr>
            </w:pPr>
          </w:p>
        </w:tc>
        <w:tc>
          <w:tcPr>
            <w:tcW w:w="1800" w:type="dxa"/>
            <w:gridSpan w:val="2"/>
            <w:tcBorders>
              <w:bottom w:val="single" w:sz="4" w:space="0" w:color="auto"/>
            </w:tcBorders>
            <w:shd w:val="clear" w:color="auto" w:fill="92CDDC" w:themeFill="accent5" w:themeFillTint="99"/>
            <w:vAlign w:val="center"/>
          </w:tcPr>
          <w:p w14:paraId="1A4403EE" w14:textId="77777777" w:rsidR="0063073B" w:rsidRPr="00AF3A24" w:rsidRDefault="0063073B" w:rsidP="008E0AFA">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Non-problem / </w:t>
            </w:r>
            <w:r w:rsidR="008E0AFA">
              <w:rPr>
                <w:rFonts w:asciiTheme="minorHAnsi" w:hAnsiTheme="minorHAnsi" w:cstheme="minorHAnsi"/>
                <w:b/>
                <w:sz w:val="18"/>
                <w:szCs w:val="18"/>
              </w:rPr>
              <w:t>r</w:t>
            </w:r>
            <w:r w:rsidRPr="00AF3A24">
              <w:rPr>
                <w:rFonts w:asciiTheme="minorHAnsi" w:hAnsiTheme="minorHAnsi" w:cstheme="minorHAnsi"/>
                <w:b/>
                <w:sz w:val="18"/>
                <w:szCs w:val="18"/>
              </w:rPr>
              <w:t>ecreational</w:t>
            </w:r>
          </w:p>
        </w:tc>
        <w:tc>
          <w:tcPr>
            <w:tcW w:w="1800" w:type="dxa"/>
            <w:gridSpan w:val="2"/>
            <w:tcBorders>
              <w:bottom w:val="single" w:sz="4" w:space="0" w:color="auto"/>
            </w:tcBorders>
            <w:shd w:val="clear" w:color="auto" w:fill="92CDDC" w:themeFill="accent5" w:themeFillTint="99"/>
            <w:vAlign w:val="center"/>
          </w:tcPr>
          <w:p w14:paraId="3E578D70"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Low-risk</w:t>
            </w:r>
          </w:p>
        </w:tc>
        <w:tc>
          <w:tcPr>
            <w:tcW w:w="1789" w:type="dxa"/>
            <w:gridSpan w:val="2"/>
            <w:tcBorders>
              <w:bottom w:val="single" w:sz="4" w:space="0" w:color="auto"/>
            </w:tcBorders>
            <w:shd w:val="clear" w:color="auto" w:fill="92CDDC" w:themeFill="accent5" w:themeFillTint="99"/>
            <w:vAlign w:val="center"/>
          </w:tcPr>
          <w:p w14:paraId="3FD9E292" w14:textId="77777777" w:rsidR="0063073B" w:rsidRPr="00AF3A24" w:rsidRDefault="0063073B" w:rsidP="008E0AFA">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8E0AFA">
              <w:rPr>
                <w:rFonts w:asciiTheme="minorHAnsi" w:hAnsiTheme="minorHAnsi" w:cstheme="minorHAnsi"/>
                <w:b/>
                <w:sz w:val="18"/>
                <w:szCs w:val="18"/>
              </w:rPr>
              <w:t>m</w:t>
            </w:r>
            <w:r w:rsidR="00017182" w:rsidRPr="00AF3A24">
              <w:rPr>
                <w:rFonts w:asciiTheme="minorHAnsi" w:hAnsiTheme="minorHAnsi" w:cstheme="minorHAnsi"/>
                <w:b/>
                <w:sz w:val="18"/>
                <w:szCs w:val="18"/>
              </w:rPr>
              <w:t xml:space="preserve">oderate-risk </w:t>
            </w:r>
            <w:r w:rsidR="00017182">
              <w:rPr>
                <w:rFonts w:asciiTheme="minorHAnsi" w:hAnsiTheme="minorHAnsi" w:cstheme="minorHAnsi"/>
                <w:b/>
                <w:sz w:val="18"/>
                <w:szCs w:val="18"/>
              </w:rPr>
              <w:t xml:space="preserve">and </w:t>
            </w:r>
            <w:r w:rsidR="008E0AFA">
              <w:rPr>
                <w:rFonts w:asciiTheme="minorHAnsi" w:hAnsiTheme="minorHAnsi" w:cstheme="minorHAnsi"/>
                <w:b/>
                <w:sz w:val="18"/>
                <w:szCs w:val="18"/>
              </w:rPr>
              <w:t>p</w:t>
            </w:r>
            <w:r w:rsidR="00017182">
              <w:rPr>
                <w:rFonts w:asciiTheme="minorHAnsi" w:hAnsiTheme="minorHAnsi" w:cstheme="minorHAnsi"/>
                <w:b/>
                <w:sz w:val="18"/>
                <w:szCs w:val="18"/>
              </w:rPr>
              <w:t>roblem</w:t>
            </w:r>
            <w:r w:rsidRPr="00AF3A24">
              <w:rPr>
                <w:rFonts w:asciiTheme="minorHAnsi" w:hAnsiTheme="minorHAnsi" w:cstheme="minorHAnsi"/>
                <w:b/>
                <w:sz w:val="18"/>
                <w:szCs w:val="18"/>
              </w:rPr>
              <w:t xml:space="preserve"> </w:t>
            </w:r>
            <w:r w:rsidRPr="00097F58">
              <w:rPr>
                <w:rFonts w:asciiTheme="minorHAnsi" w:hAnsiTheme="minorHAnsi" w:cstheme="minorHAnsi"/>
                <w:b/>
                <w:sz w:val="18"/>
                <w:szCs w:val="18"/>
                <w:vertAlign w:val="superscript"/>
              </w:rPr>
              <w:t>3</w:t>
            </w:r>
          </w:p>
        </w:tc>
      </w:tr>
      <w:tr w:rsidR="0063073B" w:rsidRPr="00AF3A24" w14:paraId="3CDFED58" w14:textId="77777777" w:rsidTr="0045616C">
        <w:trPr>
          <w:trHeight w:val="386"/>
          <w:jc w:val="center"/>
        </w:trPr>
        <w:tc>
          <w:tcPr>
            <w:tcW w:w="4010" w:type="dxa"/>
            <w:vMerge/>
            <w:tcBorders>
              <w:bottom w:val="single" w:sz="4" w:space="0" w:color="auto"/>
            </w:tcBorders>
            <w:shd w:val="clear" w:color="auto" w:fill="92CDDC" w:themeFill="accent5" w:themeFillTint="99"/>
          </w:tcPr>
          <w:p w14:paraId="39887698" w14:textId="77777777" w:rsidR="0063073B" w:rsidRPr="00AF3A24" w:rsidRDefault="0063073B" w:rsidP="008858E4">
            <w:pPr>
              <w:spacing w:before="0" w:line="240" w:lineRule="auto"/>
              <w:jc w:val="left"/>
              <w:rPr>
                <w:rFonts w:asciiTheme="minorHAnsi" w:hAnsiTheme="minorHAnsi" w:cstheme="minorHAnsi"/>
                <w:b/>
                <w:sz w:val="18"/>
                <w:szCs w:val="18"/>
              </w:rPr>
            </w:pPr>
          </w:p>
        </w:tc>
        <w:tc>
          <w:tcPr>
            <w:tcW w:w="720" w:type="dxa"/>
            <w:tcBorders>
              <w:bottom w:val="single" w:sz="4" w:space="0" w:color="auto"/>
            </w:tcBorders>
            <w:shd w:val="clear" w:color="auto" w:fill="92CDDC" w:themeFill="accent5" w:themeFillTint="99"/>
            <w:vAlign w:val="center"/>
          </w:tcPr>
          <w:p w14:paraId="433A704C"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33F2ED99"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991E632"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3D38B6F3"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43CF5740"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4531D54"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0398C249"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69" w:type="dxa"/>
            <w:tcBorders>
              <w:bottom w:val="single" w:sz="4" w:space="0" w:color="auto"/>
            </w:tcBorders>
            <w:shd w:val="clear" w:color="auto" w:fill="92CDDC" w:themeFill="accent5" w:themeFillTint="99"/>
            <w:vAlign w:val="center"/>
          </w:tcPr>
          <w:p w14:paraId="166228CA"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EC37EAF" w14:textId="77777777" w:rsidR="0063073B" w:rsidRPr="00AF3A24" w:rsidRDefault="0063073B" w:rsidP="00763B75">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980823" w:rsidRPr="00AF3A24" w14:paraId="1CAE03B2" w14:textId="77777777" w:rsidTr="0045616C">
        <w:trPr>
          <w:jc w:val="center"/>
        </w:trPr>
        <w:tc>
          <w:tcPr>
            <w:tcW w:w="4010" w:type="dxa"/>
            <w:tcBorders>
              <w:top w:val="nil"/>
              <w:bottom w:val="nil"/>
            </w:tcBorders>
            <w:shd w:val="clear" w:color="auto" w:fill="DAEEF3" w:themeFill="accent5" w:themeFillTint="33"/>
            <w:vAlign w:val="center"/>
          </w:tcPr>
          <w:p w14:paraId="75A126C7" w14:textId="77777777" w:rsidR="00980823" w:rsidRPr="00AF3A24" w:rsidRDefault="00980823"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only</w:t>
            </w:r>
          </w:p>
        </w:tc>
        <w:tc>
          <w:tcPr>
            <w:tcW w:w="720" w:type="dxa"/>
            <w:tcBorders>
              <w:top w:val="nil"/>
              <w:left w:val="nil"/>
              <w:bottom w:val="nil"/>
              <w:right w:val="nil"/>
            </w:tcBorders>
            <w:shd w:val="clear" w:color="auto" w:fill="DAEEF3" w:themeFill="accent5" w:themeFillTint="33"/>
            <w:vAlign w:val="center"/>
          </w:tcPr>
          <w:p w14:paraId="42598A04"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w:t>
            </w:r>
            <w:r>
              <w:rPr>
                <w:rFonts w:asciiTheme="minorHAnsi" w:hAnsiTheme="minorHAnsi"/>
                <w:bCs/>
                <w:color w:val="000000"/>
                <w:sz w:val="16"/>
                <w:szCs w:val="16"/>
              </w:rPr>
              <w:t>,</w:t>
            </w:r>
            <w:r w:rsidRPr="00097F58">
              <w:rPr>
                <w:rFonts w:asciiTheme="minorHAnsi" w:hAnsiTheme="minorHAnsi"/>
                <w:bCs/>
                <w:color w:val="000000"/>
                <w:sz w:val="16"/>
                <w:szCs w:val="16"/>
              </w:rPr>
              <w:t>362</w:t>
            </w:r>
          </w:p>
        </w:tc>
        <w:tc>
          <w:tcPr>
            <w:tcW w:w="1080" w:type="dxa"/>
            <w:tcBorders>
              <w:top w:val="nil"/>
              <w:left w:val="nil"/>
              <w:bottom w:val="nil"/>
              <w:right w:val="single" w:sz="4" w:space="0" w:color="auto"/>
            </w:tcBorders>
            <w:shd w:val="clear" w:color="auto" w:fill="DAEEF3" w:themeFill="accent5" w:themeFillTint="33"/>
            <w:vAlign w:val="center"/>
          </w:tcPr>
          <w:p w14:paraId="0010A0AF"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54.2</w:t>
            </w:r>
            <w:r w:rsidRPr="00097F58">
              <w:rPr>
                <w:rFonts w:asciiTheme="minorHAnsi" w:hAnsiTheme="minorHAnsi"/>
                <w:bCs/>
                <w:color w:val="000000"/>
                <w:sz w:val="16"/>
                <w:szCs w:val="16"/>
              </w:rPr>
              <w:br/>
              <w:t>(52.4 - 56.0)</w:t>
            </w:r>
          </w:p>
        </w:tc>
        <w:tc>
          <w:tcPr>
            <w:tcW w:w="720" w:type="dxa"/>
            <w:tcBorders>
              <w:top w:val="nil"/>
              <w:left w:val="nil"/>
              <w:bottom w:val="nil"/>
              <w:right w:val="nil"/>
            </w:tcBorders>
            <w:shd w:val="clear" w:color="auto" w:fill="DAEEF3" w:themeFill="accent5" w:themeFillTint="33"/>
            <w:vAlign w:val="center"/>
          </w:tcPr>
          <w:p w14:paraId="18F11C43"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53</w:t>
            </w:r>
          </w:p>
        </w:tc>
        <w:tc>
          <w:tcPr>
            <w:tcW w:w="1080" w:type="dxa"/>
            <w:tcBorders>
              <w:top w:val="nil"/>
              <w:left w:val="nil"/>
              <w:bottom w:val="nil"/>
              <w:right w:val="single" w:sz="4" w:space="0" w:color="auto"/>
            </w:tcBorders>
            <w:shd w:val="clear" w:color="auto" w:fill="DAEEF3" w:themeFill="accent5" w:themeFillTint="33"/>
            <w:vAlign w:val="center"/>
          </w:tcPr>
          <w:p w14:paraId="74D60324"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16.0</w:t>
            </w:r>
            <w:r w:rsidRPr="00097F58">
              <w:rPr>
                <w:rFonts w:asciiTheme="minorHAnsi" w:hAnsiTheme="minorHAnsi"/>
                <w:bCs/>
                <w:color w:val="000000"/>
                <w:sz w:val="16"/>
                <w:szCs w:val="16"/>
              </w:rPr>
              <w:br/>
              <w:t>(10.2 - 21.8)</w:t>
            </w:r>
          </w:p>
        </w:tc>
        <w:tc>
          <w:tcPr>
            <w:tcW w:w="720" w:type="dxa"/>
            <w:tcBorders>
              <w:top w:val="nil"/>
              <w:left w:val="nil"/>
              <w:bottom w:val="nil"/>
              <w:right w:val="nil"/>
            </w:tcBorders>
            <w:shd w:val="clear" w:color="auto" w:fill="DAEEF3" w:themeFill="accent5" w:themeFillTint="33"/>
            <w:vAlign w:val="center"/>
          </w:tcPr>
          <w:p w14:paraId="51436A8A"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225B1E81"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63073B" w:rsidRPr="00AF3A24" w14:paraId="3D31E599" w14:textId="77777777" w:rsidTr="0045616C">
        <w:trPr>
          <w:jc w:val="center"/>
        </w:trPr>
        <w:tc>
          <w:tcPr>
            <w:tcW w:w="4010" w:type="dxa"/>
            <w:tcBorders>
              <w:top w:val="nil"/>
              <w:bottom w:val="nil"/>
            </w:tcBorders>
            <w:shd w:val="clear" w:color="auto" w:fill="DAEEF3" w:themeFill="accent5" w:themeFillTint="33"/>
            <w:vAlign w:val="center"/>
          </w:tcPr>
          <w:p w14:paraId="5AD08C6B" w14:textId="77777777" w:rsidR="0063073B" w:rsidRPr="00AF3A24" w:rsidRDefault="0063073B"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non-Lotto gambling activity</w:t>
            </w:r>
          </w:p>
        </w:tc>
        <w:tc>
          <w:tcPr>
            <w:tcW w:w="720" w:type="dxa"/>
            <w:tcBorders>
              <w:top w:val="nil"/>
              <w:left w:val="nil"/>
              <w:bottom w:val="nil"/>
              <w:right w:val="nil"/>
            </w:tcBorders>
            <w:shd w:val="clear" w:color="auto" w:fill="DAEEF3" w:themeFill="accent5" w:themeFillTint="33"/>
            <w:vAlign w:val="center"/>
          </w:tcPr>
          <w:p w14:paraId="0DA7CD06"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w:t>
            </w:r>
            <w:r>
              <w:rPr>
                <w:rFonts w:asciiTheme="minorHAnsi" w:hAnsiTheme="minorHAnsi"/>
                <w:bCs/>
                <w:color w:val="000000"/>
                <w:sz w:val="16"/>
                <w:szCs w:val="16"/>
              </w:rPr>
              <w:t>,</w:t>
            </w:r>
            <w:r w:rsidRPr="00097F58">
              <w:rPr>
                <w:rFonts w:asciiTheme="minorHAnsi" w:hAnsiTheme="minorHAnsi"/>
                <w:bCs/>
                <w:color w:val="000000"/>
                <w:sz w:val="16"/>
                <w:szCs w:val="16"/>
              </w:rPr>
              <w:t>730</w:t>
            </w:r>
          </w:p>
        </w:tc>
        <w:tc>
          <w:tcPr>
            <w:tcW w:w="1080" w:type="dxa"/>
            <w:tcBorders>
              <w:top w:val="nil"/>
              <w:left w:val="nil"/>
              <w:bottom w:val="nil"/>
              <w:right w:val="single" w:sz="4" w:space="0" w:color="auto"/>
            </w:tcBorders>
            <w:shd w:val="clear" w:color="auto" w:fill="DAEEF3" w:themeFill="accent5" w:themeFillTint="33"/>
            <w:vAlign w:val="center"/>
          </w:tcPr>
          <w:p w14:paraId="79712516"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45.6</w:t>
            </w:r>
            <w:r w:rsidRPr="00097F58">
              <w:rPr>
                <w:rFonts w:asciiTheme="minorHAnsi" w:hAnsiTheme="minorHAnsi"/>
                <w:bCs/>
                <w:color w:val="000000"/>
                <w:sz w:val="16"/>
                <w:szCs w:val="16"/>
              </w:rPr>
              <w:br/>
              <w:t>(43.9 - 47.4)</w:t>
            </w:r>
          </w:p>
        </w:tc>
        <w:tc>
          <w:tcPr>
            <w:tcW w:w="720" w:type="dxa"/>
            <w:tcBorders>
              <w:top w:val="nil"/>
              <w:left w:val="nil"/>
              <w:bottom w:val="nil"/>
              <w:right w:val="nil"/>
            </w:tcBorders>
            <w:shd w:val="clear" w:color="auto" w:fill="DAEEF3" w:themeFill="accent5" w:themeFillTint="33"/>
            <w:vAlign w:val="center"/>
          </w:tcPr>
          <w:p w14:paraId="04A8A8E5"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219</w:t>
            </w:r>
          </w:p>
        </w:tc>
        <w:tc>
          <w:tcPr>
            <w:tcW w:w="1080" w:type="dxa"/>
            <w:tcBorders>
              <w:top w:val="nil"/>
              <w:left w:val="nil"/>
              <w:bottom w:val="nil"/>
              <w:right w:val="single" w:sz="4" w:space="0" w:color="auto"/>
            </w:tcBorders>
            <w:shd w:val="clear" w:color="auto" w:fill="DAEEF3" w:themeFill="accent5" w:themeFillTint="33"/>
            <w:vAlign w:val="center"/>
          </w:tcPr>
          <w:p w14:paraId="5563FBE2"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83.8</w:t>
            </w:r>
            <w:r w:rsidRPr="00097F58">
              <w:rPr>
                <w:rFonts w:asciiTheme="minorHAnsi" w:hAnsiTheme="minorHAnsi"/>
                <w:bCs/>
                <w:color w:val="000000"/>
                <w:sz w:val="16"/>
                <w:szCs w:val="16"/>
              </w:rPr>
              <w:br/>
              <w:t>(78.0 - 89.7)</w:t>
            </w:r>
          </w:p>
        </w:tc>
        <w:tc>
          <w:tcPr>
            <w:tcW w:w="720" w:type="dxa"/>
            <w:tcBorders>
              <w:top w:val="nil"/>
              <w:left w:val="nil"/>
              <w:bottom w:val="nil"/>
              <w:right w:val="nil"/>
            </w:tcBorders>
            <w:shd w:val="clear" w:color="auto" w:fill="DAEEF3" w:themeFill="accent5" w:themeFillTint="33"/>
            <w:vAlign w:val="center"/>
          </w:tcPr>
          <w:p w14:paraId="77C2EAC2"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170</w:t>
            </w:r>
          </w:p>
        </w:tc>
        <w:tc>
          <w:tcPr>
            <w:tcW w:w="1069" w:type="dxa"/>
            <w:tcBorders>
              <w:top w:val="nil"/>
              <w:left w:val="nil"/>
              <w:bottom w:val="nil"/>
              <w:right w:val="single" w:sz="4" w:space="0" w:color="auto"/>
            </w:tcBorders>
            <w:shd w:val="clear" w:color="auto" w:fill="DAEEF3" w:themeFill="accent5" w:themeFillTint="33"/>
            <w:vAlign w:val="center"/>
          </w:tcPr>
          <w:p w14:paraId="0BB516A1"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94.3</w:t>
            </w:r>
            <w:r w:rsidRPr="00097F58">
              <w:rPr>
                <w:rFonts w:asciiTheme="minorHAnsi" w:hAnsiTheme="minorHAnsi"/>
                <w:bCs/>
                <w:color w:val="000000"/>
                <w:sz w:val="16"/>
                <w:szCs w:val="16"/>
              </w:rPr>
              <w:br/>
              <w:t>(89.8 - 98.9)</w:t>
            </w:r>
          </w:p>
        </w:tc>
      </w:tr>
      <w:tr w:rsidR="0063073B" w:rsidRPr="00AF3A24" w14:paraId="4702DEEE" w14:textId="77777777" w:rsidTr="0045616C">
        <w:trPr>
          <w:jc w:val="center"/>
        </w:trPr>
        <w:tc>
          <w:tcPr>
            <w:tcW w:w="4010" w:type="dxa"/>
            <w:tcBorders>
              <w:top w:val="nil"/>
              <w:bottom w:val="nil"/>
            </w:tcBorders>
            <w:shd w:val="clear" w:color="auto" w:fill="DAEEF3" w:themeFill="accent5" w:themeFillTint="33"/>
            <w:vAlign w:val="center"/>
          </w:tcPr>
          <w:p w14:paraId="3E41E085" w14:textId="77777777" w:rsidR="0063073B" w:rsidRPr="00AF3A24" w:rsidRDefault="0063073B" w:rsidP="003B575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gaming machine (casino or non-casino)</w:t>
            </w:r>
          </w:p>
        </w:tc>
        <w:tc>
          <w:tcPr>
            <w:tcW w:w="720" w:type="dxa"/>
            <w:tcBorders>
              <w:top w:val="nil"/>
              <w:left w:val="nil"/>
              <w:bottom w:val="nil"/>
              <w:right w:val="nil"/>
            </w:tcBorders>
            <w:shd w:val="clear" w:color="auto" w:fill="DAEEF3" w:themeFill="accent5" w:themeFillTint="33"/>
            <w:vAlign w:val="center"/>
          </w:tcPr>
          <w:p w14:paraId="004F222A"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900</w:t>
            </w:r>
          </w:p>
        </w:tc>
        <w:tc>
          <w:tcPr>
            <w:tcW w:w="1080" w:type="dxa"/>
            <w:tcBorders>
              <w:top w:val="nil"/>
              <w:left w:val="nil"/>
              <w:bottom w:val="nil"/>
              <w:right w:val="single" w:sz="4" w:space="0" w:color="auto"/>
            </w:tcBorders>
            <w:shd w:val="clear" w:color="auto" w:fill="DAEEF3" w:themeFill="accent5" w:themeFillTint="33"/>
            <w:vAlign w:val="center"/>
          </w:tcPr>
          <w:p w14:paraId="76DE628C"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14.8</w:t>
            </w:r>
            <w:r w:rsidRPr="004B2652">
              <w:rPr>
                <w:rFonts w:asciiTheme="minorHAnsi" w:hAnsiTheme="minorHAnsi"/>
                <w:bCs/>
                <w:color w:val="000000"/>
                <w:sz w:val="16"/>
                <w:szCs w:val="16"/>
              </w:rPr>
              <w:br/>
              <w:t>(13.6 - 16.1)</w:t>
            </w:r>
          </w:p>
        </w:tc>
        <w:tc>
          <w:tcPr>
            <w:tcW w:w="720" w:type="dxa"/>
            <w:tcBorders>
              <w:top w:val="nil"/>
              <w:left w:val="nil"/>
              <w:bottom w:val="nil"/>
              <w:right w:val="nil"/>
            </w:tcBorders>
            <w:shd w:val="clear" w:color="auto" w:fill="DAEEF3" w:themeFill="accent5" w:themeFillTint="33"/>
            <w:vAlign w:val="center"/>
          </w:tcPr>
          <w:p w14:paraId="4C778507"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120</w:t>
            </w:r>
          </w:p>
        </w:tc>
        <w:tc>
          <w:tcPr>
            <w:tcW w:w="1080" w:type="dxa"/>
            <w:tcBorders>
              <w:top w:val="nil"/>
              <w:left w:val="nil"/>
              <w:bottom w:val="nil"/>
              <w:right w:val="single" w:sz="4" w:space="0" w:color="auto"/>
            </w:tcBorders>
            <w:shd w:val="clear" w:color="auto" w:fill="DAEEF3" w:themeFill="accent5" w:themeFillTint="33"/>
            <w:vAlign w:val="center"/>
          </w:tcPr>
          <w:p w14:paraId="203742A0"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44.5</w:t>
            </w:r>
            <w:r w:rsidRPr="004B2652">
              <w:rPr>
                <w:rFonts w:asciiTheme="minorHAnsi" w:hAnsiTheme="minorHAnsi"/>
                <w:bCs/>
                <w:color w:val="000000"/>
                <w:sz w:val="16"/>
                <w:szCs w:val="16"/>
              </w:rPr>
              <w:br/>
              <w:t>(37.1 - 51.9)</w:t>
            </w:r>
          </w:p>
        </w:tc>
        <w:tc>
          <w:tcPr>
            <w:tcW w:w="720" w:type="dxa"/>
            <w:tcBorders>
              <w:top w:val="nil"/>
              <w:left w:val="nil"/>
              <w:bottom w:val="nil"/>
              <w:right w:val="nil"/>
            </w:tcBorders>
            <w:shd w:val="clear" w:color="auto" w:fill="DAEEF3" w:themeFill="accent5" w:themeFillTint="33"/>
            <w:vAlign w:val="center"/>
          </w:tcPr>
          <w:p w14:paraId="0303A8E1"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136</w:t>
            </w:r>
          </w:p>
        </w:tc>
        <w:tc>
          <w:tcPr>
            <w:tcW w:w="1069" w:type="dxa"/>
            <w:tcBorders>
              <w:top w:val="nil"/>
              <w:left w:val="nil"/>
              <w:bottom w:val="nil"/>
              <w:right w:val="single" w:sz="4" w:space="0" w:color="auto"/>
            </w:tcBorders>
            <w:shd w:val="clear" w:color="auto" w:fill="DAEEF3" w:themeFill="accent5" w:themeFillTint="33"/>
            <w:vAlign w:val="center"/>
          </w:tcPr>
          <w:p w14:paraId="3E726E6B" w14:textId="77777777" w:rsidR="0063073B" w:rsidRPr="004B2652" w:rsidRDefault="0063073B" w:rsidP="00097F58">
            <w:pPr>
              <w:spacing w:before="0" w:line="240" w:lineRule="auto"/>
              <w:jc w:val="center"/>
              <w:rPr>
                <w:rFonts w:asciiTheme="minorHAnsi" w:hAnsiTheme="minorHAnsi"/>
                <w:bCs/>
                <w:color w:val="000000"/>
                <w:sz w:val="16"/>
                <w:szCs w:val="16"/>
              </w:rPr>
            </w:pPr>
            <w:r w:rsidRPr="004B2652">
              <w:rPr>
                <w:rFonts w:asciiTheme="minorHAnsi" w:hAnsiTheme="minorHAnsi"/>
                <w:bCs/>
                <w:color w:val="000000"/>
                <w:sz w:val="16"/>
                <w:szCs w:val="16"/>
              </w:rPr>
              <w:t>71.2</w:t>
            </w:r>
            <w:r w:rsidRPr="004B2652">
              <w:rPr>
                <w:rFonts w:asciiTheme="minorHAnsi" w:hAnsiTheme="minorHAnsi"/>
                <w:bCs/>
                <w:color w:val="000000"/>
                <w:sz w:val="16"/>
                <w:szCs w:val="16"/>
              </w:rPr>
              <w:br/>
              <w:t>(61.9 - 80.5)</w:t>
            </w:r>
          </w:p>
        </w:tc>
      </w:tr>
      <w:tr w:rsidR="0063073B" w:rsidRPr="00AF3A24" w14:paraId="48DF7F7F" w14:textId="77777777" w:rsidTr="0045616C">
        <w:trPr>
          <w:jc w:val="center"/>
        </w:trPr>
        <w:tc>
          <w:tcPr>
            <w:tcW w:w="4010" w:type="dxa"/>
            <w:tcBorders>
              <w:top w:val="nil"/>
              <w:bottom w:val="dashed" w:sz="8" w:space="0" w:color="auto"/>
            </w:tcBorders>
            <w:shd w:val="clear" w:color="auto" w:fill="DAEEF3" w:themeFill="accent5" w:themeFillTint="33"/>
            <w:vAlign w:val="center"/>
          </w:tcPr>
          <w:p w14:paraId="542F3C0F" w14:textId="77777777" w:rsidR="0063073B" w:rsidRPr="00AF3A24" w:rsidRDefault="0063073B" w:rsidP="00EC4D2A">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casino gam</w:t>
            </w:r>
            <w:r w:rsidR="00EC4D2A">
              <w:rPr>
                <w:rFonts w:asciiTheme="minorHAnsi" w:hAnsiTheme="minorHAnsi" w:cstheme="minorHAnsi"/>
                <w:sz w:val="16"/>
                <w:szCs w:val="16"/>
              </w:rPr>
              <w:t>bling (tables or gam</w:t>
            </w:r>
            <w:r w:rsidRPr="00AF3A24">
              <w:rPr>
                <w:rFonts w:asciiTheme="minorHAnsi" w:hAnsiTheme="minorHAnsi" w:cstheme="minorHAnsi"/>
                <w:sz w:val="16"/>
                <w:szCs w:val="16"/>
              </w:rPr>
              <w:t>ing machines)</w:t>
            </w:r>
          </w:p>
        </w:tc>
        <w:tc>
          <w:tcPr>
            <w:tcW w:w="720" w:type="dxa"/>
            <w:tcBorders>
              <w:top w:val="nil"/>
              <w:left w:val="nil"/>
              <w:bottom w:val="dashed" w:sz="8" w:space="0" w:color="auto"/>
              <w:right w:val="nil"/>
            </w:tcBorders>
            <w:shd w:val="clear" w:color="auto" w:fill="DAEEF3" w:themeFill="accent5" w:themeFillTint="33"/>
            <w:vAlign w:val="center"/>
          </w:tcPr>
          <w:p w14:paraId="331FDEFF"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482</w:t>
            </w:r>
          </w:p>
        </w:tc>
        <w:tc>
          <w:tcPr>
            <w:tcW w:w="1080" w:type="dxa"/>
            <w:tcBorders>
              <w:top w:val="nil"/>
              <w:left w:val="nil"/>
              <w:bottom w:val="dashed" w:sz="8" w:space="0" w:color="auto"/>
              <w:right w:val="single" w:sz="4" w:space="0" w:color="auto"/>
            </w:tcBorders>
            <w:shd w:val="clear" w:color="auto" w:fill="DAEEF3" w:themeFill="accent5" w:themeFillTint="33"/>
            <w:vAlign w:val="center"/>
          </w:tcPr>
          <w:p w14:paraId="68BAA46A"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9.1</w:t>
            </w:r>
            <w:r w:rsidRPr="00097F58">
              <w:rPr>
                <w:rFonts w:asciiTheme="minorHAnsi" w:hAnsiTheme="minorHAnsi"/>
                <w:bCs/>
                <w:color w:val="000000"/>
                <w:sz w:val="16"/>
                <w:szCs w:val="16"/>
              </w:rPr>
              <w:br/>
              <w:t>(8.0 - 10.1)</w:t>
            </w:r>
          </w:p>
        </w:tc>
        <w:tc>
          <w:tcPr>
            <w:tcW w:w="720" w:type="dxa"/>
            <w:tcBorders>
              <w:top w:val="nil"/>
              <w:left w:val="nil"/>
              <w:bottom w:val="dashed" w:sz="8" w:space="0" w:color="auto"/>
              <w:right w:val="nil"/>
            </w:tcBorders>
            <w:shd w:val="clear" w:color="auto" w:fill="DAEEF3" w:themeFill="accent5" w:themeFillTint="33"/>
            <w:vAlign w:val="center"/>
          </w:tcPr>
          <w:p w14:paraId="5B427729"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65</w:t>
            </w:r>
          </w:p>
        </w:tc>
        <w:tc>
          <w:tcPr>
            <w:tcW w:w="1080" w:type="dxa"/>
            <w:tcBorders>
              <w:top w:val="nil"/>
              <w:left w:val="nil"/>
              <w:bottom w:val="dashed" w:sz="8" w:space="0" w:color="auto"/>
              <w:right w:val="single" w:sz="4" w:space="0" w:color="auto"/>
            </w:tcBorders>
            <w:shd w:val="clear" w:color="auto" w:fill="DAEEF3" w:themeFill="accent5" w:themeFillTint="33"/>
            <w:vAlign w:val="center"/>
          </w:tcPr>
          <w:p w14:paraId="1FE23504"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27.3</w:t>
            </w:r>
            <w:r w:rsidRPr="00097F58">
              <w:rPr>
                <w:rFonts w:asciiTheme="minorHAnsi" w:hAnsiTheme="minorHAnsi"/>
                <w:bCs/>
                <w:color w:val="000000"/>
                <w:sz w:val="16"/>
                <w:szCs w:val="16"/>
              </w:rPr>
              <w:br/>
              <w:t>(20.5 - 34.2)</w:t>
            </w:r>
          </w:p>
        </w:tc>
        <w:tc>
          <w:tcPr>
            <w:tcW w:w="720" w:type="dxa"/>
            <w:tcBorders>
              <w:top w:val="nil"/>
              <w:left w:val="nil"/>
              <w:bottom w:val="dashed" w:sz="8" w:space="0" w:color="auto"/>
              <w:right w:val="nil"/>
            </w:tcBorders>
            <w:shd w:val="clear" w:color="auto" w:fill="DAEEF3" w:themeFill="accent5" w:themeFillTint="33"/>
            <w:vAlign w:val="center"/>
          </w:tcPr>
          <w:p w14:paraId="44189B1E"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54</w:t>
            </w:r>
          </w:p>
        </w:tc>
        <w:tc>
          <w:tcPr>
            <w:tcW w:w="1069" w:type="dxa"/>
            <w:tcBorders>
              <w:top w:val="nil"/>
              <w:left w:val="nil"/>
              <w:bottom w:val="dashed" w:sz="8" w:space="0" w:color="auto"/>
              <w:right w:val="single" w:sz="4" w:space="0" w:color="auto"/>
            </w:tcBorders>
            <w:shd w:val="clear" w:color="auto" w:fill="DAEEF3" w:themeFill="accent5" w:themeFillTint="33"/>
            <w:vAlign w:val="center"/>
          </w:tcPr>
          <w:p w14:paraId="7F039E5E"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32.5</w:t>
            </w:r>
            <w:r w:rsidRPr="00097F58">
              <w:rPr>
                <w:rFonts w:asciiTheme="minorHAnsi" w:hAnsiTheme="minorHAnsi"/>
                <w:bCs/>
                <w:color w:val="000000"/>
                <w:sz w:val="16"/>
                <w:szCs w:val="16"/>
              </w:rPr>
              <w:br/>
              <w:t>(23.0 - 41.9)</w:t>
            </w:r>
          </w:p>
        </w:tc>
      </w:tr>
      <w:tr w:rsidR="0063073B" w:rsidRPr="00AF3A24" w14:paraId="3F1B4975" w14:textId="77777777" w:rsidTr="0045616C">
        <w:trPr>
          <w:jc w:val="center"/>
        </w:trPr>
        <w:tc>
          <w:tcPr>
            <w:tcW w:w="4010" w:type="dxa"/>
            <w:tcBorders>
              <w:top w:val="dashed" w:sz="8" w:space="0" w:color="auto"/>
              <w:bottom w:val="nil"/>
            </w:tcBorders>
            <w:shd w:val="clear" w:color="auto" w:fill="DAEEF3" w:themeFill="accent5" w:themeFillTint="33"/>
            <w:vAlign w:val="center"/>
          </w:tcPr>
          <w:p w14:paraId="412B1503" w14:textId="77777777" w:rsidR="0063073B" w:rsidRPr="00AF3A24" w:rsidRDefault="0063073B"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(including ‘Strike’, ‘Powerball’ and ‘Big Wednesday’)</w:t>
            </w:r>
          </w:p>
        </w:tc>
        <w:tc>
          <w:tcPr>
            <w:tcW w:w="720" w:type="dxa"/>
            <w:tcBorders>
              <w:top w:val="dashed" w:sz="8" w:space="0" w:color="auto"/>
              <w:left w:val="nil"/>
              <w:bottom w:val="nil"/>
              <w:right w:val="nil"/>
            </w:tcBorders>
            <w:shd w:val="clear" w:color="auto" w:fill="DAEEF3" w:themeFill="accent5" w:themeFillTint="33"/>
            <w:vAlign w:val="center"/>
          </w:tcPr>
          <w:p w14:paraId="2CD1E0D1"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w:t>
            </w:r>
            <w:r>
              <w:rPr>
                <w:rFonts w:asciiTheme="minorHAnsi" w:hAnsiTheme="minorHAnsi"/>
                <w:bCs/>
                <w:color w:val="000000"/>
                <w:sz w:val="16"/>
                <w:szCs w:val="16"/>
              </w:rPr>
              <w:t>,</w:t>
            </w:r>
            <w:r w:rsidRPr="00097F58">
              <w:rPr>
                <w:rFonts w:asciiTheme="minorHAnsi" w:hAnsiTheme="minorHAnsi"/>
                <w:bCs/>
                <w:color w:val="000000"/>
                <w:sz w:val="16"/>
                <w:szCs w:val="16"/>
              </w:rPr>
              <w:t>339</w:t>
            </w:r>
          </w:p>
        </w:tc>
        <w:tc>
          <w:tcPr>
            <w:tcW w:w="1080" w:type="dxa"/>
            <w:tcBorders>
              <w:top w:val="dashed" w:sz="8" w:space="0" w:color="auto"/>
              <w:left w:val="nil"/>
              <w:bottom w:val="nil"/>
              <w:right w:val="single" w:sz="4" w:space="0" w:color="auto"/>
            </w:tcBorders>
            <w:shd w:val="clear" w:color="auto" w:fill="DAEEF3" w:themeFill="accent5" w:themeFillTint="33"/>
            <w:vAlign w:val="center"/>
          </w:tcPr>
          <w:p w14:paraId="0AAA8BC5"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87.1</w:t>
            </w:r>
            <w:r w:rsidRPr="00097F58">
              <w:rPr>
                <w:rFonts w:asciiTheme="minorHAnsi" w:hAnsiTheme="minorHAnsi"/>
                <w:bCs/>
                <w:color w:val="000000"/>
                <w:sz w:val="16"/>
                <w:szCs w:val="16"/>
              </w:rPr>
              <w:br/>
              <w:t>(85.8 - 88.3)</w:t>
            </w:r>
          </w:p>
        </w:tc>
        <w:tc>
          <w:tcPr>
            <w:tcW w:w="720" w:type="dxa"/>
            <w:tcBorders>
              <w:top w:val="dashed" w:sz="8" w:space="0" w:color="auto"/>
              <w:left w:val="nil"/>
              <w:bottom w:val="nil"/>
              <w:right w:val="nil"/>
            </w:tcBorders>
            <w:shd w:val="clear" w:color="auto" w:fill="DAEEF3" w:themeFill="accent5" w:themeFillTint="33"/>
            <w:vAlign w:val="center"/>
          </w:tcPr>
          <w:p w14:paraId="4BC0AFE0"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212</w:t>
            </w:r>
          </w:p>
        </w:tc>
        <w:tc>
          <w:tcPr>
            <w:tcW w:w="1080" w:type="dxa"/>
            <w:tcBorders>
              <w:top w:val="dashed" w:sz="8" w:space="0" w:color="auto"/>
              <w:left w:val="nil"/>
              <w:bottom w:val="nil"/>
              <w:right w:val="single" w:sz="4" w:space="0" w:color="auto"/>
            </w:tcBorders>
            <w:shd w:val="clear" w:color="auto" w:fill="DAEEF3" w:themeFill="accent5" w:themeFillTint="33"/>
            <w:vAlign w:val="center"/>
          </w:tcPr>
          <w:p w14:paraId="3A27FDC4"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74.8</w:t>
            </w:r>
            <w:r w:rsidRPr="00097F58">
              <w:rPr>
                <w:rFonts w:asciiTheme="minorHAnsi" w:hAnsiTheme="minorHAnsi"/>
                <w:bCs/>
                <w:color w:val="000000"/>
                <w:sz w:val="16"/>
                <w:szCs w:val="16"/>
              </w:rPr>
              <w:br/>
              <w:t>(67.9 - 81.8)</w:t>
            </w:r>
          </w:p>
        </w:tc>
        <w:tc>
          <w:tcPr>
            <w:tcW w:w="720" w:type="dxa"/>
            <w:tcBorders>
              <w:top w:val="dashed" w:sz="8" w:space="0" w:color="auto"/>
              <w:left w:val="nil"/>
              <w:bottom w:val="nil"/>
              <w:right w:val="nil"/>
            </w:tcBorders>
            <w:shd w:val="clear" w:color="auto" w:fill="DAEEF3" w:themeFill="accent5" w:themeFillTint="33"/>
            <w:vAlign w:val="center"/>
          </w:tcPr>
          <w:p w14:paraId="2B3F166E"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141</w:t>
            </w:r>
          </w:p>
        </w:tc>
        <w:tc>
          <w:tcPr>
            <w:tcW w:w="1069" w:type="dxa"/>
            <w:tcBorders>
              <w:top w:val="dashed" w:sz="8" w:space="0" w:color="auto"/>
              <w:left w:val="nil"/>
              <w:bottom w:val="nil"/>
              <w:right w:val="single" w:sz="4" w:space="0" w:color="auto"/>
            </w:tcBorders>
            <w:shd w:val="clear" w:color="auto" w:fill="DAEEF3" w:themeFill="accent5" w:themeFillTint="33"/>
            <w:vAlign w:val="center"/>
          </w:tcPr>
          <w:p w14:paraId="2E4C45B7"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78.0</w:t>
            </w:r>
            <w:r w:rsidRPr="00097F58">
              <w:rPr>
                <w:rFonts w:asciiTheme="minorHAnsi" w:hAnsiTheme="minorHAnsi"/>
                <w:bCs/>
                <w:color w:val="000000"/>
                <w:sz w:val="16"/>
                <w:szCs w:val="16"/>
              </w:rPr>
              <w:br/>
              <w:t>(70.3 - 85.7)</w:t>
            </w:r>
          </w:p>
        </w:tc>
      </w:tr>
      <w:tr w:rsidR="0063073B" w:rsidRPr="00AF3A24" w14:paraId="5E49CE65" w14:textId="77777777" w:rsidTr="0045616C">
        <w:trPr>
          <w:jc w:val="center"/>
        </w:trPr>
        <w:tc>
          <w:tcPr>
            <w:tcW w:w="4010" w:type="dxa"/>
            <w:tcBorders>
              <w:top w:val="nil"/>
              <w:bottom w:val="nil"/>
            </w:tcBorders>
            <w:shd w:val="clear" w:color="auto" w:fill="DAEEF3" w:themeFill="accent5" w:themeFillTint="33"/>
            <w:vAlign w:val="center"/>
          </w:tcPr>
          <w:p w14:paraId="14DDEE64" w14:textId="77777777" w:rsidR="0063073B" w:rsidRPr="00AF3A24" w:rsidRDefault="0063073B"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Instant Kiwi or other scratch tickets</w:t>
            </w:r>
          </w:p>
        </w:tc>
        <w:tc>
          <w:tcPr>
            <w:tcW w:w="720" w:type="dxa"/>
            <w:tcBorders>
              <w:top w:val="nil"/>
              <w:left w:val="nil"/>
              <w:bottom w:val="nil"/>
              <w:right w:val="nil"/>
            </w:tcBorders>
            <w:shd w:val="clear" w:color="auto" w:fill="DAEEF3" w:themeFill="accent5" w:themeFillTint="33"/>
            <w:vAlign w:val="center"/>
          </w:tcPr>
          <w:p w14:paraId="210F207C"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w:t>
            </w:r>
            <w:r>
              <w:rPr>
                <w:rFonts w:asciiTheme="minorHAnsi" w:hAnsiTheme="minorHAnsi"/>
                <w:bCs/>
                <w:color w:val="000000"/>
                <w:sz w:val="16"/>
                <w:szCs w:val="16"/>
              </w:rPr>
              <w:t>,</w:t>
            </w:r>
            <w:r w:rsidRPr="00097F58">
              <w:rPr>
                <w:rFonts w:asciiTheme="minorHAnsi" w:hAnsiTheme="minorHAnsi"/>
                <w:bCs/>
                <w:color w:val="000000"/>
                <w:sz w:val="16"/>
                <w:szCs w:val="16"/>
              </w:rPr>
              <w:t>500</w:t>
            </w:r>
          </w:p>
        </w:tc>
        <w:tc>
          <w:tcPr>
            <w:tcW w:w="1080" w:type="dxa"/>
            <w:tcBorders>
              <w:top w:val="nil"/>
              <w:left w:val="nil"/>
              <w:bottom w:val="nil"/>
              <w:right w:val="single" w:sz="4" w:space="0" w:color="auto"/>
            </w:tcBorders>
            <w:shd w:val="clear" w:color="auto" w:fill="DAEEF3" w:themeFill="accent5" w:themeFillTint="33"/>
            <w:vAlign w:val="center"/>
          </w:tcPr>
          <w:p w14:paraId="5C5E0AB0"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24.9</w:t>
            </w:r>
            <w:r w:rsidRPr="00097F58">
              <w:rPr>
                <w:rFonts w:asciiTheme="minorHAnsi" w:hAnsiTheme="minorHAnsi"/>
                <w:bCs/>
                <w:color w:val="000000"/>
                <w:sz w:val="16"/>
                <w:szCs w:val="16"/>
              </w:rPr>
              <w:br/>
              <w:t>(23.3 - 26.5)</w:t>
            </w:r>
          </w:p>
        </w:tc>
        <w:tc>
          <w:tcPr>
            <w:tcW w:w="720" w:type="dxa"/>
            <w:tcBorders>
              <w:top w:val="nil"/>
              <w:left w:val="nil"/>
              <w:bottom w:val="nil"/>
              <w:right w:val="nil"/>
            </w:tcBorders>
            <w:shd w:val="clear" w:color="auto" w:fill="DAEEF3" w:themeFill="accent5" w:themeFillTint="33"/>
            <w:vAlign w:val="center"/>
          </w:tcPr>
          <w:p w14:paraId="1ECCF362"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101</w:t>
            </w:r>
          </w:p>
        </w:tc>
        <w:tc>
          <w:tcPr>
            <w:tcW w:w="1080" w:type="dxa"/>
            <w:tcBorders>
              <w:top w:val="nil"/>
              <w:left w:val="nil"/>
              <w:bottom w:val="nil"/>
              <w:right w:val="single" w:sz="4" w:space="0" w:color="auto"/>
            </w:tcBorders>
            <w:shd w:val="clear" w:color="auto" w:fill="DAEEF3" w:themeFill="accent5" w:themeFillTint="33"/>
            <w:vAlign w:val="center"/>
          </w:tcPr>
          <w:p w14:paraId="37A1AA3A"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40.0</w:t>
            </w:r>
            <w:r w:rsidRPr="00097F58">
              <w:rPr>
                <w:rFonts w:asciiTheme="minorHAnsi" w:hAnsiTheme="minorHAnsi"/>
                <w:bCs/>
                <w:color w:val="000000"/>
                <w:sz w:val="16"/>
                <w:szCs w:val="16"/>
              </w:rPr>
              <w:br/>
              <w:t>(32.3 - 47.7)</w:t>
            </w:r>
          </w:p>
        </w:tc>
        <w:tc>
          <w:tcPr>
            <w:tcW w:w="720" w:type="dxa"/>
            <w:tcBorders>
              <w:top w:val="nil"/>
              <w:left w:val="nil"/>
              <w:bottom w:val="nil"/>
              <w:right w:val="nil"/>
            </w:tcBorders>
            <w:shd w:val="clear" w:color="auto" w:fill="DAEEF3" w:themeFill="accent5" w:themeFillTint="33"/>
            <w:vAlign w:val="center"/>
          </w:tcPr>
          <w:p w14:paraId="500C52AE"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75</w:t>
            </w:r>
          </w:p>
        </w:tc>
        <w:tc>
          <w:tcPr>
            <w:tcW w:w="1069" w:type="dxa"/>
            <w:tcBorders>
              <w:top w:val="nil"/>
              <w:left w:val="nil"/>
              <w:bottom w:val="nil"/>
              <w:right w:val="single" w:sz="4" w:space="0" w:color="auto"/>
            </w:tcBorders>
            <w:shd w:val="clear" w:color="auto" w:fill="DAEEF3" w:themeFill="accent5" w:themeFillTint="33"/>
            <w:vAlign w:val="center"/>
          </w:tcPr>
          <w:p w14:paraId="03CCAE5D"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44.4</w:t>
            </w:r>
            <w:r w:rsidRPr="00097F58">
              <w:rPr>
                <w:rFonts w:asciiTheme="minorHAnsi" w:hAnsiTheme="minorHAnsi"/>
                <w:bCs/>
                <w:color w:val="000000"/>
                <w:sz w:val="16"/>
                <w:szCs w:val="16"/>
              </w:rPr>
              <w:br/>
              <w:t>(34.2 - 54.5)</w:t>
            </w:r>
          </w:p>
        </w:tc>
      </w:tr>
      <w:tr w:rsidR="0063073B" w:rsidRPr="00AF3A24" w14:paraId="6279C6F3" w14:textId="77777777" w:rsidTr="0045616C">
        <w:trPr>
          <w:jc w:val="center"/>
        </w:trPr>
        <w:tc>
          <w:tcPr>
            <w:tcW w:w="4010" w:type="dxa"/>
            <w:tcBorders>
              <w:top w:val="nil"/>
              <w:bottom w:val="nil"/>
            </w:tcBorders>
            <w:shd w:val="clear" w:color="auto" w:fill="DAEEF3" w:themeFill="accent5" w:themeFillTint="33"/>
            <w:vAlign w:val="center"/>
          </w:tcPr>
          <w:p w14:paraId="507FE3C3" w14:textId="77777777" w:rsidR="0063073B" w:rsidRPr="00AF3A24" w:rsidRDefault="0063073B" w:rsidP="003B575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Non-casino gaming machines</w:t>
            </w:r>
          </w:p>
        </w:tc>
        <w:tc>
          <w:tcPr>
            <w:tcW w:w="720" w:type="dxa"/>
            <w:tcBorders>
              <w:top w:val="nil"/>
              <w:left w:val="nil"/>
              <w:bottom w:val="nil"/>
              <w:right w:val="nil"/>
            </w:tcBorders>
            <w:shd w:val="clear" w:color="auto" w:fill="DAEEF3" w:themeFill="accent5" w:themeFillTint="33"/>
            <w:vAlign w:val="center"/>
          </w:tcPr>
          <w:p w14:paraId="55519F55"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598</w:t>
            </w:r>
          </w:p>
        </w:tc>
        <w:tc>
          <w:tcPr>
            <w:tcW w:w="1080" w:type="dxa"/>
            <w:tcBorders>
              <w:top w:val="nil"/>
              <w:left w:val="nil"/>
              <w:bottom w:val="nil"/>
              <w:right w:val="single" w:sz="4" w:space="0" w:color="auto"/>
            </w:tcBorders>
            <w:shd w:val="clear" w:color="auto" w:fill="DAEEF3" w:themeFill="accent5" w:themeFillTint="33"/>
            <w:vAlign w:val="center"/>
          </w:tcPr>
          <w:p w14:paraId="375A6482"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9.5</w:t>
            </w:r>
            <w:r w:rsidRPr="00097F58">
              <w:rPr>
                <w:rFonts w:asciiTheme="minorHAnsi" w:hAnsiTheme="minorHAnsi"/>
                <w:bCs/>
                <w:color w:val="000000"/>
                <w:sz w:val="16"/>
                <w:szCs w:val="16"/>
              </w:rPr>
              <w:br/>
              <w:t>(8.5 - 10.5)</w:t>
            </w:r>
          </w:p>
        </w:tc>
        <w:tc>
          <w:tcPr>
            <w:tcW w:w="720" w:type="dxa"/>
            <w:tcBorders>
              <w:top w:val="nil"/>
              <w:left w:val="nil"/>
              <w:bottom w:val="nil"/>
              <w:right w:val="nil"/>
            </w:tcBorders>
            <w:shd w:val="clear" w:color="auto" w:fill="DAEEF3" w:themeFill="accent5" w:themeFillTint="33"/>
            <w:vAlign w:val="center"/>
          </w:tcPr>
          <w:p w14:paraId="21CEA6E5"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93</w:t>
            </w:r>
          </w:p>
        </w:tc>
        <w:tc>
          <w:tcPr>
            <w:tcW w:w="1080" w:type="dxa"/>
            <w:tcBorders>
              <w:top w:val="nil"/>
              <w:left w:val="nil"/>
              <w:bottom w:val="nil"/>
              <w:right w:val="single" w:sz="4" w:space="0" w:color="auto"/>
            </w:tcBorders>
            <w:shd w:val="clear" w:color="auto" w:fill="DAEEF3" w:themeFill="accent5" w:themeFillTint="33"/>
            <w:vAlign w:val="center"/>
          </w:tcPr>
          <w:p w14:paraId="0FE5669A"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35.5</w:t>
            </w:r>
            <w:r w:rsidRPr="00097F58">
              <w:rPr>
                <w:rFonts w:asciiTheme="minorHAnsi" w:hAnsiTheme="minorHAnsi"/>
                <w:bCs/>
                <w:color w:val="000000"/>
                <w:sz w:val="16"/>
                <w:szCs w:val="16"/>
              </w:rPr>
              <w:br/>
              <w:t>(28.4 - 42.7)</w:t>
            </w:r>
          </w:p>
        </w:tc>
        <w:tc>
          <w:tcPr>
            <w:tcW w:w="720" w:type="dxa"/>
            <w:tcBorders>
              <w:top w:val="nil"/>
              <w:left w:val="nil"/>
              <w:bottom w:val="nil"/>
              <w:right w:val="nil"/>
            </w:tcBorders>
            <w:shd w:val="clear" w:color="auto" w:fill="DAEEF3" w:themeFill="accent5" w:themeFillTint="33"/>
            <w:vAlign w:val="center"/>
          </w:tcPr>
          <w:p w14:paraId="6E9DD964"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111</w:t>
            </w:r>
          </w:p>
        </w:tc>
        <w:tc>
          <w:tcPr>
            <w:tcW w:w="1069" w:type="dxa"/>
            <w:tcBorders>
              <w:top w:val="nil"/>
              <w:left w:val="nil"/>
              <w:bottom w:val="nil"/>
              <w:right w:val="single" w:sz="4" w:space="0" w:color="auto"/>
            </w:tcBorders>
            <w:shd w:val="clear" w:color="auto" w:fill="DAEEF3" w:themeFill="accent5" w:themeFillTint="33"/>
            <w:vAlign w:val="center"/>
          </w:tcPr>
          <w:p w14:paraId="38A9BB0D"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59.3</w:t>
            </w:r>
            <w:r w:rsidRPr="00097F58">
              <w:rPr>
                <w:rFonts w:asciiTheme="minorHAnsi" w:hAnsiTheme="minorHAnsi"/>
                <w:bCs/>
                <w:color w:val="000000"/>
                <w:sz w:val="16"/>
                <w:szCs w:val="16"/>
              </w:rPr>
              <w:br/>
              <w:t>(49.6 - 69.0)</w:t>
            </w:r>
          </w:p>
        </w:tc>
      </w:tr>
      <w:tr w:rsidR="0063073B" w:rsidRPr="00AF3A24" w14:paraId="7779EE3C" w14:textId="77777777" w:rsidTr="0045616C">
        <w:trPr>
          <w:jc w:val="center"/>
        </w:trPr>
        <w:tc>
          <w:tcPr>
            <w:tcW w:w="4010" w:type="dxa"/>
            <w:tcBorders>
              <w:top w:val="nil"/>
              <w:bottom w:val="nil"/>
            </w:tcBorders>
            <w:shd w:val="clear" w:color="auto" w:fill="DAEEF3" w:themeFill="accent5" w:themeFillTint="33"/>
            <w:vAlign w:val="center"/>
          </w:tcPr>
          <w:p w14:paraId="74D24153" w14:textId="77777777" w:rsidR="0063073B" w:rsidRPr="00AF3A24" w:rsidRDefault="0063073B"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Track betting</w:t>
            </w:r>
          </w:p>
        </w:tc>
        <w:tc>
          <w:tcPr>
            <w:tcW w:w="720" w:type="dxa"/>
            <w:tcBorders>
              <w:top w:val="nil"/>
              <w:left w:val="nil"/>
              <w:bottom w:val="nil"/>
              <w:right w:val="nil"/>
            </w:tcBorders>
            <w:shd w:val="clear" w:color="auto" w:fill="DAEEF3" w:themeFill="accent5" w:themeFillTint="33"/>
            <w:vAlign w:val="center"/>
          </w:tcPr>
          <w:p w14:paraId="41210051"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633</w:t>
            </w:r>
          </w:p>
        </w:tc>
        <w:tc>
          <w:tcPr>
            <w:tcW w:w="1080" w:type="dxa"/>
            <w:tcBorders>
              <w:top w:val="nil"/>
              <w:left w:val="nil"/>
              <w:bottom w:val="nil"/>
              <w:right w:val="single" w:sz="4" w:space="0" w:color="auto"/>
            </w:tcBorders>
            <w:shd w:val="clear" w:color="auto" w:fill="DAEEF3" w:themeFill="accent5" w:themeFillTint="33"/>
            <w:vAlign w:val="center"/>
          </w:tcPr>
          <w:p w14:paraId="2A16044F"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10.7</w:t>
            </w:r>
            <w:r w:rsidRPr="00097F58">
              <w:rPr>
                <w:rFonts w:asciiTheme="minorHAnsi" w:hAnsiTheme="minorHAnsi"/>
                <w:bCs/>
                <w:color w:val="000000"/>
                <w:sz w:val="16"/>
                <w:szCs w:val="16"/>
              </w:rPr>
              <w:br/>
              <w:t>(9.6 - 11.7)</w:t>
            </w:r>
          </w:p>
        </w:tc>
        <w:tc>
          <w:tcPr>
            <w:tcW w:w="720" w:type="dxa"/>
            <w:tcBorders>
              <w:top w:val="nil"/>
              <w:left w:val="nil"/>
              <w:bottom w:val="nil"/>
              <w:right w:val="nil"/>
            </w:tcBorders>
            <w:shd w:val="clear" w:color="auto" w:fill="DAEEF3" w:themeFill="accent5" w:themeFillTint="33"/>
            <w:vAlign w:val="center"/>
          </w:tcPr>
          <w:p w14:paraId="29B01F38"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66</w:t>
            </w:r>
          </w:p>
        </w:tc>
        <w:tc>
          <w:tcPr>
            <w:tcW w:w="1080" w:type="dxa"/>
            <w:tcBorders>
              <w:top w:val="nil"/>
              <w:left w:val="nil"/>
              <w:bottom w:val="nil"/>
              <w:right w:val="single" w:sz="4" w:space="0" w:color="auto"/>
            </w:tcBorders>
            <w:shd w:val="clear" w:color="auto" w:fill="DAEEF3" w:themeFill="accent5" w:themeFillTint="33"/>
            <w:vAlign w:val="center"/>
          </w:tcPr>
          <w:p w14:paraId="64AA7CFC"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26.8</w:t>
            </w:r>
            <w:r w:rsidRPr="00097F58">
              <w:rPr>
                <w:rFonts w:asciiTheme="minorHAnsi" w:hAnsiTheme="minorHAnsi"/>
                <w:bCs/>
                <w:color w:val="000000"/>
                <w:sz w:val="16"/>
                <w:szCs w:val="16"/>
              </w:rPr>
              <w:br/>
              <w:t>(20.1 - 33.5)</w:t>
            </w:r>
          </w:p>
        </w:tc>
        <w:tc>
          <w:tcPr>
            <w:tcW w:w="720" w:type="dxa"/>
            <w:tcBorders>
              <w:top w:val="nil"/>
              <w:left w:val="nil"/>
              <w:bottom w:val="nil"/>
              <w:right w:val="nil"/>
            </w:tcBorders>
            <w:shd w:val="clear" w:color="auto" w:fill="DAEEF3" w:themeFill="accent5" w:themeFillTint="33"/>
            <w:vAlign w:val="center"/>
          </w:tcPr>
          <w:p w14:paraId="7B89C0FC"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47</w:t>
            </w:r>
          </w:p>
        </w:tc>
        <w:tc>
          <w:tcPr>
            <w:tcW w:w="1069" w:type="dxa"/>
            <w:tcBorders>
              <w:top w:val="nil"/>
              <w:left w:val="nil"/>
              <w:bottom w:val="nil"/>
              <w:right w:val="single" w:sz="4" w:space="0" w:color="auto"/>
            </w:tcBorders>
            <w:shd w:val="clear" w:color="auto" w:fill="DAEEF3" w:themeFill="accent5" w:themeFillTint="33"/>
            <w:vAlign w:val="center"/>
          </w:tcPr>
          <w:p w14:paraId="6EBD83E6"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23.5</w:t>
            </w:r>
            <w:r w:rsidRPr="00097F58">
              <w:rPr>
                <w:rFonts w:asciiTheme="minorHAnsi" w:hAnsiTheme="minorHAnsi"/>
                <w:bCs/>
                <w:color w:val="000000"/>
                <w:sz w:val="16"/>
                <w:szCs w:val="16"/>
              </w:rPr>
              <w:br/>
              <w:t>(15.7 - 31.4)</w:t>
            </w:r>
          </w:p>
        </w:tc>
      </w:tr>
      <w:tr w:rsidR="0063073B" w:rsidRPr="00AF3A24" w14:paraId="265A9541" w14:textId="77777777" w:rsidTr="0045616C">
        <w:trPr>
          <w:jc w:val="center"/>
        </w:trPr>
        <w:tc>
          <w:tcPr>
            <w:tcW w:w="4010" w:type="dxa"/>
            <w:tcBorders>
              <w:top w:val="nil"/>
              <w:bottom w:val="nil"/>
            </w:tcBorders>
            <w:shd w:val="clear" w:color="auto" w:fill="DAEEF3" w:themeFill="accent5" w:themeFillTint="33"/>
            <w:vAlign w:val="center"/>
          </w:tcPr>
          <w:p w14:paraId="1BB5725A" w14:textId="77777777" w:rsidR="0063073B" w:rsidRPr="00AF3A24" w:rsidRDefault="0063073B" w:rsidP="00EC4D2A">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gaming machines</w:t>
            </w:r>
          </w:p>
        </w:tc>
        <w:tc>
          <w:tcPr>
            <w:tcW w:w="720" w:type="dxa"/>
            <w:tcBorders>
              <w:top w:val="nil"/>
              <w:left w:val="nil"/>
              <w:bottom w:val="nil"/>
              <w:right w:val="nil"/>
            </w:tcBorders>
            <w:shd w:val="clear" w:color="auto" w:fill="DAEEF3" w:themeFill="accent5" w:themeFillTint="33"/>
            <w:vAlign w:val="center"/>
          </w:tcPr>
          <w:p w14:paraId="1AF0B898"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396</w:t>
            </w:r>
          </w:p>
        </w:tc>
        <w:tc>
          <w:tcPr>
            <w:tcW w:w="1080" w:type="dxa"/>
            <w:tcBorders>
              <w:top w:val="nil"/>
              <w:left w:val="nil"/>
              <w:bottom w:val="nil"/>
              <w:right w:val="single" w:sz="4" w:space="0" w:color="auto"/>
            </w:tcBorders>
            <w:shd w:val="clear" w:color="auto" w:fill="DAEEF3" w:themeFill="accent5" w:themeFillTint="33"/>
            <w:vAlign w:val="center"/>
          </w:tcPr>
          <w:p w14:paraId="1FE66727"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7.0</w:t>
            </w:r>
            <w:r w:rsidRPr="00097F58">
              <w:rPr>
                <w:rFonts w:asciiTheme="minorHAnsi" w:hAnsiTheme="minorHAnsi"/>
                <w:bCs/>
                <w:color w:val="000000"/>
                <w:sz w:val="16"/>
                <w:szCs w:val="16"/>
              </w:rPr>
              <w:br/>
              <w:t>(6.1 - 7.8)</w:t>
            </w:r>
          </w:p>
        </w:tc>
        <w:tc>
          <w:tcPr>
            <w:tcW w:w="720" w:type="dxa"/>
            <w:tcBorders>
              <w:top w:val="nil"/>
              <w:left w:val="nil"/>
              <w:bottom w:val="nil"/>
              <w:right w:val="nil"/>
            </w:tcBorders>
            <w:shd w:val="clear" w:color="auto" w:fill="DAEEF3" w:themeFill="accent5" w:themeFillTint="33"/>
            <w:vAlign w:val="center"/>
          </w:tcPr>
          <w:p w14:paraId="65100507"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53</w:t>
            </w:r>
          </w:p>
        </w:tc>
        <w:tc>
          <w:tcPr>
            <w:tcW w:w="1080" w:type="dxa"/>
            <w:tcBorders>
              <w:top w:val="nil"/>
              <w:left w:val="nil"/>
              <w:bottom w:val="nil"/>
              <w:right w:val="single" w:sz="4" w:space="0" w:color="auto"/>
            </w:tcBorders>
            <w:shd w:val="clear" w:color="auto" w:fill="DAEEF3" w:themeFill="accent5" w:themeFillTint="33"/>
            <w:vAlign w:val="center"/>
          </w:tcPr>
          <w:p w14:paraId="329DD0C9"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20.5</w:t>
            </w:r>
            <w:r w:rsidRPr="00097F58">
              <w:rPr>
                <w:rFonts w:asciiTheme="minorHAnsi" w:hAnsiTheme="minorHAnsi"/>
                <w:bCs/>
                <w:color w:val="000000"/>
                <w:sz w:val="16"/>
                <w:szCs w:val="16"/>
              </w:rPr>
              <w:br/>
              <w:t>(14.4 - 26.5)</w:t>
            </w:r>
          </w:p>
        </w:tc>
        <w:tc>
          <w:tcPr>
            <w:tcW w:w="720" w:type="dxa"/>
            <w:tcBorders>
              <w:top w:val="nil"/>
              <w:left w:val="nil"/>
              <w:bottom w:val="nil"/>
              <w:right w:val="nil"/>
            </w:tcBorders>
            <w:shd w:val="clear" w:color="auto" w:fill="DAEEF3" w:themeFill="accent5" w:themeFillTint="33"/>
            <w:vAlign w:val="center"/>
          </w:tcPr>
          <w:p w14:paraId="6B5F706E"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50</w:t>
            </w:r>
          </w:p>
        </w:tc>
        <w:tc>
          <w:tcPr>
            <w:tcW w:w="1069" w:type="dxa"/>
            <w:tcBorders>
              <w:top w:val="nil"/>
              <w:left w:val="nil"/>
              <w:bottom w:val="nil"/>
              <w:right w:val="single" w:sz="4" w:space="0" w:color="auto"/>
            </w:tcBorders>
            <w:shd w:val="clear" w:color="auto" w:fill="DAEEF3" w:themeFill="accent5" w:themeFillTint="33"/>
            <w:vAlign w:val="center"/>
          </w:tcPr>
          <w:p w14:paraId="47691BC1" w14:textId="77777777" w:rsidR="0063073B" w:rsidRPr="00097F58" w:rsidRDefault="0063073B"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30.0</w:t>
            </w:r>
            <w:r w:rsidRPr="00097F58">
              <w:rPr>
                <w:rFonts w:asciiTheme="minorHAnsi" w:hAnsiTheme="minorHAnsi"/>
                <w:bCs/>
                <w:color w:val="000000"/>
                <w:sz w:val="16"/>
                <w:szCs w:val="16"/>
              </w:rPr>
              <w:br/>
              <w:t>(20.7 - 39.2)</w:t>
            </w:r>
          </w:p>
        </w:tc>
      </w:tr>
      <w:tr w:rsidR="00980823" w:rsidRPr="00AF3A24" w14:paraId="7FFF0357" w14:textId="77777777" w:rsidTr="0045616C">
        <w:trPr>
          <w:jc w:val="center"/>
        </w:trPr>
        <w:tc>
          <w:tcPr>
            <w:tcW w:w="4010" w:type="dxa"/>
            <w:tcBorders>
              <w:top w:val="nil"/>
              <w:bottom w:val="nil"/>
            </w:tcBorders>
            <w:shd w:val="clear" w:color="auto" w:fill="DAEEF3" w:themeFill="accent5" w:themeFillTint="33"/>
            <w:vAlign w:val="center"/>
          </w:tcPr>
          <w:p w14:paraId="7C1CA5CB" w14:textId="77777777" w:rsidR="00980823" w:rsidRPr="00AF3A24" w:rsidRDefault="00980823"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Sports betting</w:t>
            </w:r>
          </w:p>
        </w:tc>
        <w:tc>
          <w:tcPr>
            <w:tcW w:w="720" w:type="dxa"/>
            <w:tcBorders>
              <w:top w:val="nil"/>
              <w:left w:val="nil"/>
              <w:bottom w:val="nil"/>
              <w:right w:val="nil"/>
            </w:tcBorders>
            <w:shd w:val="clear" w:color="auto" w:fill="DAEEF3" w:themeFill="accent5" w:themeFillTint="33"/>
            <w:vAlign w:val="center"/>
          </w:tcPr>
          <w:p w14:paraId="72114C03"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211</w:t>
            </w:r>
          </w:p>
        </w:tc>
        <w:tc>
          <w:tcPr>
            <w:tcW w:w="1080" w:type="dxa"/>
            <w:tcBorders>
              <w:top w:val="nil"/>
              <w:left w:val="nil"/>
              <w:bottom w:val="nil"/>
              <w:right w:val="single" w:sz="4" w:space="0" w:color="auto"/>
            </w:tcBorders>
            <w:shd w:val="clear" w:color="auto" w:fill="DAEEF3" w:themeFill="accent5" w:themeFillTint="33"/>
            <w:vAlign w:val="center"/>
          </w:tcPr>
          <w:p w14:paraId="1C9E0541"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4.2</w:t>
            </w:r>
            <w:r w:rsidRPr="00097F58">
              <w:rPr>
                <w:rFonts w:asciiTheme="minorHAnsi" w:hAnsiTheme="minorHAnsi"/>
                <w:bCs/>
                <w:color w:val="000000"/>
                <w:sz w:val="16"/>
                <w:szCs w:val="16"/>
              </w:rPr>
              <w:br/>
              <w:t>(3.5 - 4.9)</w:t>
            </w:r>
          </w:p>
        </w:tc>
        <w:tc>
          <w:tcPr>
            <w:tcW w:w="720" w:type="dxa"/>
            <w:tcBorders>
              <w:top w:val="nil"/>
              <w:left w:val="nil"/>
              <w:bottom w:val="nil"/>
              <w:right w:val="nil"/>
            </w:tcBorders>
            <w:shd w:val="clear" w:color="auto" w:fill="DAEEF3" w:themeFill="accent5" w:themeFillTint="33"/>
            <w:vAlign w:val="center"/>
          </w:tcPr>
          <w:p w14:paraId="753C5352"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40</w:t>
            </w:r>
          </w:p>
        </w:tc>
        <w:tc>
          <w:tcPr>
            <w:tcW w:w="1080" w:type="dxa"/>
            <w:tcBorders>
              <w:top w:val="nil"/>
              <w:left w:val="nil"/>
              <w:bottom w:val="nil"/>
              <w:right w:val="single" w:sz="4" w:space="0" w:color="auto"/>
            </w:tcBorders>
            <w:shd w:val="clear" w:color="auto" w:fill="DAEEF3" w:themeFill="accent5" w:themeFillTint="33"/>
            <w:vAlign w:val="center"/>
          </w:tcPr>
          <w:p w14:paraId="26556049"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17.7</w:t>
            </w:r>
            <w:r w:rsidRPr="00097F58">
              <w:rPr>
                <w:rFonts w:asciiTheme="minorHAnsi" w:hAnsiTheme="minorHAnsi"/>
                <w:bCs/>
                <w:color w:val="000000"/>
                <w:sz w:val="16"/>
                <w:szCs w:val="16"/>
              </w:rPr>
              <w:br/>
              <w:t>(11.1 - 24.3)</w:t>
            </w:r>
          </w:p>
        </w:tc>
        <w:tc>
          <w:tcPr>
            <w:tcW w:w="720" w:type="dxa"/>
            <w:tcBorders>
              <w:top w:val="nil"/>
              <w:left w:val="nil"/>
              <w:bottom w:val="nil"/>
              <w:right w:val="nil"/>
            </w:tcBorders>
            <w:shd w:val="clear" w:color="auto" w:fill="DAEEF3" w:themeFill="accent5" w:themeFillTint="33"/>
            <w:vAlign w:val="center"/>
          </w:tcPr>
          <w:p w14:paraId="345B8EC9"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37818CB0"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980823" w:rsidRPr="00AF3A24" w14:paraId="3227CF38" w14:textId="77777777" w:rsidTr="0045616C">
        <w:trPr>
          <w:jc w:val="center"/>
        </w:trPr>
        <w:tc>
          <w:tcPr>
            <w:tcW w:w="4010" w:type="dxa"/>
            <w:tcBorders>
              <w:top w:val="nil"/>
              <w:bottom w:val="nil"/>
            </w:tcBorders>
            <w:shd w:val="clear" w:color="auto" w:fill="DAEEF3" w:themeFill="accent5" w:themeFillTint="33"/>
            <w:vAlign w:val="center"/>
          </w:tcPr>
          <w:p w14:paraId="753024C7" w14:textId="77777777" w:rsidR="00980823" w:rsidRPr="00AF3A24" w:rsidRDefault="00980823"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tables</w:t>
            </w:r>
          </w:p>
        </w:tc>
        <w:tc>
          <w:tcPr>
            <w:tcW w:w="720" w:type="dxa"/>
            <w:tcBorders>
              <w:top w:val="nil"/>
              <w:left w:val="nil"/>
              <w:bottom w:val="nil"/>
              <w:right w:val="nil"/>
            </w:tcBorders>
            <w:shd w:val="clear" w:color="auto" w:fill="DAEEF3" w:themeFill="accent5" w:themeFillTint="33"/>
            <w:vAlign w:val="center"/>
          </w:tcPr>
          <w:p w14:paraId="52FFD004"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144</w:t>
            </w:r>
          </w:p>
        </w:tc>
        <w:tc>
          <w:tcPr>
            <w:tcW w:w="1080" w:type="dxa"/>
            <w:tcBorders>
              <w:top w:val="nil"/>
              <w:left w:val="nil"/>
              <w:bottom w:val="nil"/>
              <w:right w:val="single" w:sz="4" w:space="0" w:color="auto"/>
            </w:tcBorders>
            <w:shd w:val="clear" w:color="auto" w:fill="DAEEF3" w:themeFill="accent5" w:themeFillTint="33"/>
            <w:vAlign w:val="center"/>
          </w:tcPr>
          <w:p w14:paraId="3ADC0EAF"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3.3</w:t>
            </w:r>
            <w:r w:rsidRPr="00097F58">
              <w:rPr>
                <w:rFonts w:asciiTheme="minorHAnsi" w:hAnsiTheme="minorHAnsi"/>
                <w:bCs/>
                <w:color w:val="000000"/>
                <w:sz w:val="16"/>
                <w:szCs w:val="16"/>
              </w:rPr>
              <w:br/>
              <w:t>(2.6 - 4.0)</w:t>
            </w:r>
          </w:p>
        </w:tc>
        <w:tc>
          <w:tcPr>
            <w:tcW w:w="720" w:type="dxa"/>
            <w:tcBorders>
              <w:top w:val="nil"/>
              <w:left w:val="nil"/>
              <w:bottom w:val="nil"/>
              <w:right w:val="nil"/>
            </w:tcBorders>
            <w:shd w:val="clear" w:color="auto" w:fill="DAEEF3" w:themeFill="accent5" w:themeFillTint="33"/>
            <w:vAlign w:val="center"/>
          </w:tcPr>
          <w:p w14:paraId="272C1243"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60C56124"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0F2C82E4"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39A60C04"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980823" w:rsidRPr="00AF3A24" w14:paraId="1DB184CC" w14:textId="77777777" w:rsidTr="0045616C">
        <w:trPr>
          <w:jc w:val="center"/>
        </w:trPr>
        <w:tc>
          <w:tcPr>
            <w:tcW w:w="4010" w:type="dxa"/>
            <w:tcBorders>
              <w:top w:val="nil"/>
              <w:bottom w:val="nil"/>
            </w:tcBorders>
            <w:shd w:val="clear" w:color="auto" w:fill="DAEEF3" w:themeFill="accent5" w:themeFillTint="33"/>
            <w:vAlign w:val="center"/>
          </w:tcPr>
          <w:p w14:paraId="3C45620C" w14:textId="77777777" w:rsidR="00980823" w:rsidRPr="00AF3A24" w:rsidRDefault="00980823" w:rsidP="00763B75">
            <w:pPr>
              <w:spacing w:before="0" w:line="240" w:lineRule="auto"/>
              <w:ind w:left="78"/>
              <w:jc w:val="left"/>
              <w:rPr>
                <w:rFonts w:asciiTheme="minorHAnsi" w:hAnsiTheme="minorHAnsi" w:cstheme="minorHAnsi"/>
                <w:sz w:val="16"/>
                <w:szCs w:val="16"/>
                <w:highlight w:val="green"/>
              </w:rPr>
            </w:pPr>
            <w:r w:rsidRPr="00AF3A24">
              <w:rPr>
                <w:rFonts w:asciiTheme="minorHAnsi" w:hAnsiTheme="minorHAnsi" w:cstheme="minorHAnsi"/>
                <w:sz w:val="16"/>
                <w:szCs w:val="16"/>
              </w:rPr>
              <w:t>Other form of gambling (including Internet-based gambling)</w:t>
            </w:r>
          </w:p>
        </w:tc>
        <w:tc>
          <w:tcPr>
            <w:tcW w:w="720" w:type="dxa"/>
            <w:tcBorders>
              <w:top w:val="nil"/>
              <w:left w:val="nil"/>
              <w:bottom w:val="nil"/>
              <w:right w:val="nil"/>
            </w:tcBorders>
            <w:shd w:val="clear" w:color="auto" w:fill="DAEEF3" w:themeFill="accent5" w:themeFillTint="33"/>
            <w:vAlign w:val="center"/>
          </w:tcPr>
          <w:p w14:paraId="4CCF43DF"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140</w:t>
            </w:r>
          </w:p>
        </w:tc>
        <w:tc>
          <w:tcPr>
            <w:tcW w:w="1080" w:type="dxa"/>
            <w:tcBorders>
              <w:top w:val="nil"/>
              <w:left w:val="nil"/>
              <w:bottom w:val="nil"/>
              <w:right w:val="single" w:sz="4" w:space="0" w:color="auto"/>
            </w:tcBorders>
            <w:shd w:val="clear" w:color="auto" w:fill="DAEEF3" w:themeFill="accent5" w:themeFillTint="33"/>
            <w:vAlign w:val="center"/>
          </w:tcPr>
          <w:p w14:paraId="466B8FDD"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3.1</w:t>
            </w:r>
            <w:r w:rsidRPr="00097F58">
              <w:rPr>
                <w:rFonts w:asciiTheme="minorHAnsi" w:hAnsiTheme="minorHAnsi"/>
                <w:bCs/>
                <w:color w:val="000000"/>
                <w:sz w:val="16"/>
                <w:szCs w:val="16"/>
              </w:rPr>
              <w:br/>
              <w:t>(2.4 - 3.8)</w:t>
            </w:r>
          </w:p>
        </w:tc>
        <w:tc>
          <w:tcPr>
            <w:tcW w:w="720" w:type="dxa"/>
            <w:tcBorders>
              <w:top w:val="nil"/>
              <w:left w:val="nil"/>
              <w:bottom w:val="nil"/>
              <w:right w:val="nil"/>
            </w:tcBorders>
            <w:shd w:val="clear" w:color="auto" w:fill="DAEEF3" w:themeFill="accent5" w:themeFillTint="33"/>
            <w:vAlign w:val="center"/>
          </w:tcPr>
          <w:p w14:paraId="277AE090"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3005AE88"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6505766A"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1D9CA6A3"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980823" w:rsidRPr="00AF3A24" w14:paraId="4D9C881A" w14:textId="77777777" w:rsidTr="0045616C">
        <w:trPr>
          <w:jc w:val="center"/>
        </w:trPr>
        <w:tc>
          <w:tcPr>
            <w:tcW w:w="4010" w:type="dxa"/>
            <w:tcBorders>
              <w:top w:val="nil"/>
              <w:bottom w:val="nil"/>
            </w:tcBorders>
            <w:shd w:val="clear" w:color="auto" w:fill="DAEEF3" w:themeFill="accent5" w:themeFillTint="33"/>
            <w:vAlign w:val="center"/>
          </w:tcPr>
          <w:p w14:paraId="3E4047D2" w14:textId="77777777" w:rsidR="00980823" w:rsidRPr="00AF3A24" w:rsidRDefault="00980823"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Keno (not in a casino)</w:t>
            </w:r>
          </w:p>
        </w:tc>
        <w:tc>
          <w:tcPr>
            <w:tcW w:w="720" w:type="dxa"/>
            <w:tcBorders>
              <w:top w:val="nil"/>
              <w:left w:val="nil"/>
              <w:bottom w:val="nil"/>
              <w:right w:val="nil"/>
            </w:tcBorders>
            <w:shd w:val="clear" w:color="auto" w:fill="DAEEF3" w:themeFill="accent5" w:themeFillTint="33"/>
            <w:vAlign w:val="center"/>
          </w:tcPr>
          <w:p w14:paraId="43102898"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116</w:t>
            </w:r>
          </w:p>
        </w:tc>
        <w:tc>
          <w:tcPr>
            <w:tcW w:w="1080" w:type="dxa"/>
            <w:tcBorders>
              <w:top w:val="nil"/>
              <w:left w:val="nil"/>
              <w:bottom w:val="nil"/>
              <w:right w:val="single" w:sz="4" w:space="0" w:color="auto"/>
            </w:tcBorders>
            <w:shd w:val="clear" w:color="auto" w:fill="DAEEF3" w:themeFill="accent5" w:themeFillTint="33"/>
            <w:vAlign w:val="center"/>
          </w:tcPr>
          <w:p w14:paraId="5DF218DF"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1.5</w:t>
            </w:r>
            <w:r w:rsidRPr="00097F58">
              <w:rPr>
                <w:rFonts w:asciiTheme="minorHAnsi" w:hAnsiTheme="minorHAnsi"/>
                <w:bCs/>
                <w:color w:val="000000"/>
                <w:sz w:val="16"/>
                <w:szCs w:val="16"/>
              </w:rPr>
              <w:br/>
              <w:t>(1.1 - 1.8)</w:t>
            </w:r>
          </w:p>
        </w:tc>
        <w:tc>
          <w:tcPr>
            <w:tcW w:w="720" w:type="dxa"/>
            <w:tcBorders>
              <w:top w:val="nil"/>
              <w:left w:val="nil"/>
              <w:bottom w:val="nil"/>
              <w:right w:val="nil"/>
            </w:tcBorders>
            <w:shd w:val="clear" w:color="auto" w:fill="DAEEF3" w:themeFill="accent5" w:themeFillTint="33"/>
            <w:vAlign w:val="center"/>
          </w:tcPr>
          <w:p w14:paraId="2BB1120F"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430E8445"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1EF51519"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3B37253E"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980823" w:rsidRPr="00AF3A24" w14:paraId="21EBB397" w14:textId="77777777" w:rsidTr="0045616C">
        <w:trPr>
          <w:jc w:val="center"/>
        </w:trPr>
        <w:tc>
          <w:tcPr>
            <w:tcW w:w="4010" w:type="dxa"/>
            <w:tcBorders>
              <w:top w:val="nil"/>
              <w:bottom w:val="single" w:sz="8" w:space="0" w:color="auto"/>
            </w:tcBorders>
            <w:shd w:val="clear" w:color="auto" w:fill="DAEEF3" w:themeFill="accent5" w:themeFillTint="33"/>
            <w:vAlign w:val="center"/>
          </w:tcPr>
          <w:p w14:paraId="091E195A" w14:textId="77777777" w:rsidR="00980823" w:rsidRPr="00AF3A24" w:rsidRDefault="00980823" w:rsidP="00763B75">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Housie</w:t>
            </w:r>
          </w:p>
        </w:tc>
        <w:tc>
          <w:tcPr>
            <w:tcW w:w="720" w:type="dxa"/>
            <w:tcBorders>
              <w:top w:val="nil"/>
              <w:left w:val="nil"/>
              <w:bottom w:val="single" w:sz="8" w:space="0" w:color="auto"/>
              <w:right w:val="nil"/>
            </w:tcBorders>
            <w:shd w:val="clear" w:color="auto" w:fill="DAEEF3" w:themeFill="accent5" w:themeFillTint="33"/>
            <w:vAlign w:val="center"/>
          </w:tcPr>
          <w:p w14:paraId="62BF453F"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113</w:t>
            </w:r>
          </w:p>
        </w:tc>
        <w:tc>
          <w:tcPr>
            <w:tcW w:w="1080" w:type="dxa"/>
            <w:tcBorders>
              <w:top w:val="nil"/>
              <w:left w:val="nil"/>
              <w:bottom w:val="single" w:sz="8" w:space="0" w:color="auto"/>
              <w:right w:val="single" w:sz="4" w:space="0" w:color="auto"/>
            </w:tcBorders>
            <w:shd w:val="clear" w:color="auto" w:fill="DAEEF3" w:themeFill="accent5" w:themeFillTint="33"/>
            <w:vAlign w:val="center"/>
          </w:tcPr>
          <w:p w14:paraId="5ED05A86" w14:textId="77777777" w:rsidR="00980823" w:rsidRPr="00097F58" w:rsidRDefault="00980823" w:rsidP="00097F58">
            <w:pPr>
              <w:spacing w:before="0" w:line="240" w:lineRule="auto"/>
              <w:jc w:val="center"/>
              <w:rPr>
                <w:rFonts w:asciiTheme="minorHAnsi" w:hAnsiTheme="minorHAnsi"/>
                <w:bCs/>
                <w:color w:val="000000"/>
                <w:sz w:val="16"/>
                <w:szCs w:val="16"/>
              </w:rPr>
            </w:pPr>
            <w:r w:rsidRPr="00097F58">
              <w:rPr>
                <w:rFonts w:asciiTheme="minorHAnsi" w:hAnsiTheme="minorHAnsi"/>
                <w:bCs/>
                <w:color w:val="000000"/>
                <w:sz w:val="16"/>
                <w:szCs w:val="16"/>
              </w:rPr>
              <w:t>1.1</w:t>
            </w:r>
            <w:r w:rsidRPr="00097F58">
              <w:rPr>
                <w:rFonts w:asciiTheme="minorHAnsi" w:hAnsiTheme="minorHAnsi"/>
                <w:bCs/>
                <w:color w:val="000000"/>
                <w:sz w:val="16"/>
                <w:szCs w:val="16"/>
              </w:rPr>
              <w:br/>
              <w:t>(0.8 - 1.4)</w:t>
            </w:r>
          </w:p>
        </w:tc>
        <w:tc>
          <w:tcPr>
            <w:tcW w:w="720" w:type="dxa"/>
            <w:tcBorders>
              <w:top w:val="nil"/>
              <w:left w:val="nil"/>
              <w:bottom w:val="single" w:sz="8" w:space="0" w:color="auto"/>
              <w:right w:val="nil"/>
            </w:tcBorders>
            <w:shd w:val="clear" w:color="auto" w:fill="DAEEF3" w:themeFill="accent5" w:themeFillTint="33"/>
            <w:vAlign w:val="center"/>
          </w:tcPr>
          <w:p w14:paraId="7A2DC24F"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single" w:sz="8" w:space="0" w:color="auto"/>
              <w:right w:val="single" w:sz="4" w:space="0" w:color="auto"/>
            </w:tcBorders>
            <w:shd w:val="clear" w:color="auto" w:fill="DAEEF3" w:themeFill="accent5" w:themeFillTint="33"/>
            <w:vAlign w:val="center"/>
          </w:tcPr>
          <w:p w14:paraId="488445A9"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single" w:sz="8" w:space="0" w:color="auto"/>
              <w:right w:val="nil"/>
            </w:tcBorders>
            <w:shd w:val="clear" w:color="auto" w:fill="DAEEF3" w:themeFill="accent5" w:themeFillTint="33"/>
            <w:vAlign w:val="center"/>
          </w:tcPr>
          <w:p w14:paraId="15715311"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single" w:sz="8" w:space="0" w:color="auto"/>
              <w:right w:val="single" w:sz="4" w:space="0" w:color="auto"/>
            </w:tcBorders>
            <w:shd w:val="clear" w:color="auto" w:fill="DAEEF3" w:themeFill="accent5" w:themeFillTint="33"/>
            <w:vAlign w:val="center"/>
          </w:tcPr>
          <w:p w14:paraId="378C7184" w14:textId="77777777" w:rsidR="00980823" w:rsidRPr="00980823" w:rsidRDefault="00980823"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bl>
    <w:p w14:paraId="6A556B24" w14:textId="77777777" w:rsidR="008858E4" w:rsidRPr="00AF3A24" w:rsidRDefault="008858E4" w:rsidP="008858E4">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69FC2243" w14:textId="77777777" w:rsidR="008858E4" w:rsidRPr="00AF3A24" w:rsidRDefault="008858E4" w:rsidP="006A0B0E">
      <w:pPr>
        <w:pStyle w:val="ListParagraph"/>
        <w:numPr>
          <w:ilvl w:val="0"/>
          <w:numId w:val="40"/>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08BB4A8C" w14:textId="77777777" w:rsidR="008858E4" w:rsidRDefault="008858E4" w:rsidP="006A0B0E">
      <w:pPr>
        <w:pStyle w:val="ListParagraph"/>
        <w:numPr>
          <w:ilvl w:val="0"/>
          <w:numId w:val="40"/>
        </w:numPr>
        <w:spacing w:line="240" w:lineRule="auto"/>
        <w:rPr>
          <w:rFonts w:asciiTheme="minorHAnsi" w:hAnsiTheme="minorHAnsi" w:cstheme="minorHAnsi"/>
          <w:sz w:val="16"/>
        </w:rPr>
      </w:pPr>
      <w:r w:rsidRPr="00AF3A24">
        <w:rPr>
          <w:rFonts w:asciiTheme="minorHAnsi" w:hAnsiTheme="minorHAnsi" w:cstheme="minorHAnsi"/>
          <w:sz w:val="16"/>
        </w:rPr>
        <w:t xml:space="preserve">Participants could choose more than one activity / response option. </w:t>
      </w:r>
    </w:p>
    <w:p w14:paraId="1427870C" w14:textId="77777777" w:rsidR="003A6F37" w:rsidRPr="0063073B" w:rsidRDefault="00097F58" w:rsidP="006A0B0E">
      <w:pPr>
        <w:pStyle w:val="ListParagraph"/>
        <w:numPr>
          <w:ilvl w:val="0"/>
          <w:numId w:val="40"/>
        </w:numPr>
        <w:spacing w:line="240" w:lineRule="auto"/>
        <w:ind w:right="425"/>
        <w:rPr>
          <w:rFonts w:asciiTheme="minorHAnsi" w:hAnsiTheme="minorHAnsi" w:cstheme="minorHAnsi"/>
          <w:sz w:val="16"/>
        </w:rPr>
      </w:pPr>
      <w:r>
        <w:rPr>
          <w:rFonts w:asciiTheme="minorHAnsi" w:hAnsiTheme="minorHAnsi" w:cstheme="minorHAnsi"/>
          <w:sz w:val="16"/>
        </w:rPr>
        <w:t>Due to small cell sizes/</w:t>
      </w:r>
      <w:r w:rsidRPr="00AF3A24">
        <w:rPr>
          <w:rFonts w:asciiTheme="minorHAnsi" w:hAnsiTheme="minorHAnsi" w:cstheme="minorHAnsi"/>
          <w:sz w:val="16"/>
        </w:rPr>
        <w:t>denominators (n&lt;30), the ‘problem’ and ‘moderate-risk’ categories have been combined to enable their inclusion in these analyses.</w:t>
      </w:r>
    </w:p>
    <w:p w14:paraId="4B7494F3" w14:textId="77777777" w:rsidR="00D75112" w:rsidRDefault="00D75112" w:rsidP="00D75112">
      <w:pPr>
        <w:spacing w:before="0" w:after="200" w:line="276" w:lineRule="auto"/>
        <w:jc w:val="left"/>
        <w:rPr>
          <w:rFonts w:asciiTheme="minorHAnsi" w:hAnsiTheme="minorHAnsi" w:cstheme="minorHAnsi"/>
          <w:b/>
          <w:bCs/>
          <w:iCs/>
          <w:color w:val="1F497D"/>
          <w:szCs w:val="22"/>
        </w:rPr>
      </w:pPr>
    </w:p>
    <w:p w14:paraId="528313F4" w14:textId="77777777" w:rsidR="00683785" w:rsidRPr="00174600" w:rsidRDefault="00174600" w:rsidP="00174600">
      <w:pPr>
        <w:rPr>
          <w:rFonts w:asciiTheme="minorHAnsi" w:hAnsiTheme="minorHAnsi"/>
        </w:rPr>
      </w:pPr>
      <w:r>
        <w:rPr>
          <w:rFonts w:asciiTheme="minorHAnsi" w:hAnsiTheme="minorHAnsi"/>
        </w:rPr>
        <w:t>Significance testing was undertaken to examine associations between problem gambling status and participation in gambling activities</w:t>
      </w:r>
      <w:r w:rsidR="0064021C">
        <w:rPr>
          <w:rFonts w:asciiTheme="minorHAnsi" w:hAnsiTheme="minorHAnsi"/>
        </w:rPr>
        <w:t xml:space="preserve"> (see </w:t>
      </w:r>
      <w:r w:rsidR="000738F0">
        <w:rPr>
          <w:rFonts w:asciiTheme="minorHAnsi" w:hAnsiTheme="minorHAnsi"/>
        </w:rPr>
        <w:t>T</w:t>
      </w:r>
      <w:r w:rsidR="00563D18">
        <w:rPr>
          <w:rFonts w:asciiTheme="minorHAnsi" w:hAnsiTheme="minorHAnsi"/>
        </w:rPr>
        <w:t>able 14</w:t>
      </w:r>
      <w:r w:rsidR="0064021C">
        <w:rPr>
          <w:rFonts w:asciiTheme="minorHAnsi" w:hAnsiTheme="minorHAnsi"/>
        </w:rPr>
        <w:t xml:space="preserve"> for o</w:t>
      </w:r>
      <w:r>
        <w:rPr>
          <w:rFonts w:asciiTheme="minorHAnsi" w:hAnsiTheme="minorHAnsi"/>
        </w:rPr>
        <w:t>dds ratios and p-values</w:t>
      </w:r>
      <w:r w:rsidR="0064021C">
        <w:rPr>
          <w:rFonts w:asciiTheme="minorHAnsi" w:hAnsiTheme="minorHAnsi"/>
        </w:rPr>
        <w:t>)</w:t>
      </w:r>
      <w:r>
        <w:rPr>
          <w:rFonts w:asciiTheme="minorHAnsi" w:hAnsiTheme="minorHAnsi"/>
        </w:rPr>
        <w:t xml:space="preserve">.  </w:t>
      </w:r>
      <w:r w:rsidR="00775924">
        <w:rPr>
          <w:rFonts w:asciiTheme="minorHAnsi" w:hAnsiTheme="minorHAnsi"/>
        </w:rPr>
        <w:t xml:space="preserve"> </w:t>
      </w:r>
      <w:r>
        <w:rPr>
          <w:rFonts w:asciiTheme="minorHAnsi" w:hAnsiTheme="minorHAnsi"/>
        </w:rPr>
        <w:t>With the exception of ‘Other’, s</w:t>
      </w:r>
      <w:r w:rsidRPr="00174600">
        <w:rPr>
          <w:rFonts w:asciiTheme="minorHAnsi" w:hAnsiTheme="minorHAnsi"/>
        </w:rPr>
        <w:t xml:space="preserve">ignificant </w:t>
      </w:r>
      <w:r>
        <w:rPr>
          <w:rFonts w:asciiTheme="minorHAnsi" w:hAnsiTheme="minorHAnsi"/>
        </w:rPr>
        <w:t xml:space="preserve">interactions were observed between participation in </w:t>
      </w:r>
      <w:r w:rsidRPr="00174600">
        <w:rPr>
          <w:rFonts w:asciiTheme="minorHAnsi" w:hAnsiTheme="minorHAnsi"/>
        </w:rPr>
        <w:t xml:space="preserve">each mode of gambling </w:t>
      </w:r>
      <w:r>
        <w:rPr>
          <w:rFonts w:asciiTheme="minorHAnsi" w:hAnsiTheme="minorHAnsi"/>
        </w:rPr>
        <w:t xml:space="preserve">and severity of gambling problems. </w:t>
      </w:r>
      <w:r w:rsidRPr="00174600">
        <w:rPr>
          <w:rFonts w:asciiTheme="minorHAnsi" w:hAnsiTheme="minorHAnsi"/>
        </w:rPr>
        <w:t xml:space="preserve"> </w:t>
      </w:r>
      <w:r w:rsidR="00570263">
        <w:rPr>
          <w:rFonts w:asciiTheme="minorHAnsi" w:hAnsiTheme="minorHAnsi"/>
        </w:rPr>
        <w:t xml:space="preserve">EGMs </w:t>
      </w:r>
      <w:r w:rsidR="00683785">
        <w:rPr>
          <w:rFonts w:asciiTheme="minorHAnsi" w:hAnsiTheme="minorHAnsi"/>
        </w:rPr>
        <w:t xml:space="preserve">were associated with a much higher </w:t>
      </w:r>
      <w:r w:rsidR="00907017">
        <w:rPr>
          <w:rFonts w:asciiTheme="minorHAnsi" w:hAnsiTheme="minorHAnsi"/>
        </w:rPr>
        <w:t>likelihood</w:t>
      </w:r>
      <w:r w:rsidR="00683785">
        <w:rPr>
          <w:rFonts w:asciiTheme="minorHAnsi" w:hAnsiTheme="minorHAnsi"/>
        </w:rPr>
        <w:t xml:space="preserve"> of </w:t>
      </w:r>
      <w:r w:rsidR="00775924">
        <w:rPr>
          <w:rFonts w:asciiTheme="minorHAnsi" w:hAnsiTheme="minorHAnsi"/>
        </w:rPr>
        <w:t>moderate-risk</w:t>
      </w:r>
      <w:r w:rsidR="00AD74C6">
        <w:rPr>
          <w:rFonts w:asciiTheme="minorHAnsi" w:hAnsiTheme="minorHAnsi"/>
        </w:rPr>
        <w:t>/problem</w:t>
      </w:r>
      <w:r w:rsidR="00683785">
        <w:rPr>
          <w:rFonts w:asciiTheme="minorHAnsi" w:hAnsiTheme="minorHAnsi"/>
        </w:rPr>
        <w:t xml:space="preserve"> gambling than other activities. </w:t>
      </w:r>
      <w:r w:rsidR="00775924">
        <w:rPr>
          <w:rFonts w:asciiTheme="minorHAnsi" w:hAnsiTheme="minorHAnsi"/>
        </w:rPr>
        <w:t xml:space="preserve"> </w:t>
      </w:r>
      <w:r w:rsidR="00683785">
        <w:rPr>
          <w:rFonts w:asciiTheme="minorHAnsi" w:hAnsiTheme="minorHAnsi"/>
        </w:rPr>
        <w:t xml:space="preserve">Moderate-risk/problem gamblers were 14 times more likely to have gambled on any </w:t>
      </w:r>
      <w:r w:rsidR="00570263">
        <w:rPr>
          <w:rFonts w:asciiTheme="minorHAnsi" w:hAnsiTheme="minorHAnsi"/>
        </w:rPr>
        <w:t xml:space="preserve">EGM </w:t>
      </w:r>
      <w:r w:rsidR="00183477" w:rsidRPr="00420119">
        <w:rPr>
          <w:rFonts w:asciiTheme="minorHAnsi" w:hAnsiTheme="minorHAnsi"/>
        </w:rPr>
        <w:t>(casino or non-casino)</w:t>
      </w:r>
      <w:r w:rsidR="00183477">
        <w:rPr>
          <w:rFonts w:asciiTheme="minorHAnsi" w:hAnsiTheme="minorHAnsi"/>
        </w:rPr>
        <w:t xml:space="preserve"> </w:t>
      </w:r>
      <w:r w:rsidR="00E8623E">
        <w:rPr>
          <w:rFonts w:asciiTheme="minorHAnsi" w:hAnsiTheme="minorHAnsi"/>
        </w:rPr>
        <w:t>(p&lt;</w:t>
      </w:r>
      <w:r w:rsidR="000514B9">
        <w:rPr>
          <w:rFonts w:asciiTheme="minorHAnsi" w:hAnsiTheme="minorHAnsi"/>
        </w:rPr>
        <w:t>0</w:t>
      </w:r>
      <w:r w:rsidR="00E8623E">
        <w:rPr>
          <w:rFonts w:asciiTheme="minorHAnsi" w:hAnsiTheme="minorHAnsi"/>
        </w:rPr>
        <w:t>.0001</w:t>
      </w:r>
      <w:r w:rsidR="00775924">
        <w:rPr>
          <w:rFonts w:asciiTheme="minorHAnsi" w:hAnsiTheme="minorHAnsi"/>
        </w:rPr>
        <w:t>, OR 13.8</w:t>
      </w:r>
      <w:r w:rsidR="00683785">
        <w:rPr>
          <w:rFonts w:asciiTheme="minorHAnsi" w:hAnsiTheme="minorHAnsi"/>
        </w:rPr>
        <w:t xml:space="preserve">) and 13 times more likely to have gambled on non-casino </w:t>
      </w:r>
      <w:r w:rsidR="00570263">
        <w:rPr>
          <w:rFonts w:asciiTheme="minorHAnsi" w:hAnsiTheme="minorHAnsi"/>
        </w:rPr>
        <w:t xml:space="preserve">EGMs </w:t>
      </w:r>
      <w:r w:rsidR="00E8623E">
        <w:rPr>
          <w:rFonts w:asciiTheme="minorHAnsi" w:hAnsiTheme="minorHAnsi"/>
        </w:rPr>
        <w:t>(&lt;</w:t>
      </w:r>
      <w:r w:rsidR="000514B9">
        <w:rPr>
          <w:rFonts w:asciiTheme="minorHAnsi" w:hAnsiTheme="minorHAnsi"/>
        </w:rPr>
        <w:t>0</w:t>
      </w:r>
      <w:r w:rsidR="00E8623E">
        <w:rPr>
          <w:rFonts w:asciiTheme="minorHAnsi" w:hAnsiTheme="minorHAnsi"/>
        </w:rPr>
        <w:t>.0001</w:t>
      </w:r>
      <w:r w:rsidR="00775924">
        <w:rPr>
          <w:rFonts w:asciiTheme="minorHAnsi" w:hAnsiTheme="minorHAnsi"/>
        </w:rPr>
        <w:t>, OR 13.3</w:t>
      </w:r>
      <w:r w:rsidR="00E8623E">
        <w:rPr>
          <w:rFonts w:asciiTheme="minorHAnsi" w:hAnsiTheme="minorHAnsi"/>
        </w:rPr>
        <w:t>)</w:t>
      </w:r>
      <w:r w:rsidR="00683785">
        <w:rPr>
          <w:rFonts w:asciiTheme="minorHAnsi" w:hAnsiTheme="minorHAnsi"/>
        </w:rPr>
        <w:t xml:space="preserve"> than non-problem/recreational gamblers. </w:t>
      </w:r>
    </w:p>
    <w:p w14:paraId="09A16424" w14:textId="48134DC0" w:rsidR="00E551F7" w:rsidRPr="00AF3A24" w:rsidRDefault="00E551F7" w:rsidP="00E551F7">
      <w:pPr>
        <w:pStyle w:val="Caption"/>
        <w:keepNext/>
        <w:spacing w:line="276" w:lineRule="auto"/>
        <w:ind w:left="993" w:hanging="993"/>
        <w:rPr>
          <w:rFonts w:asciiTheme="minorHAnsi" w:hAnsiTheme="minorHAnsi" w:cstheme="minorHAnsi"/>
          <w:i/>
        </w:rPr>
      </w:pPr>
      <w:bookmarkStart w:id="118" w:name="_Ref396993249"/>
      <w:bookmarkStart w:id="119" w:name="_Toc425426881"/>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14</w:t>
      </w:r>
      <w:r w:rsidRPr="00AF3A24">
        <w:rPr>
          <w:rFonts w:asciiTheme="minorHAnsi" w:hAnsiTheme="minorHAnsi"/>
          <w:i/>
        </w:rPr>
        <w:fldChar w:fldCharType="end"/>
      </w:r>
      <w:bookmarkEnd w:id="118"/>
      <w:r w:rsidRPr="00AF3A24">
        <w:rPr>
          <w:rFonts w:asciiTheme="minorHAnsi" w:hAnsiTheme="minorHAnsi"/>
          <w:i/>
        </w:rPr>
        <w:t>:</w:t>
      </w:r>
      <w:r w:rsidRPr="00AF3A24">
        <w:rPr>
          <w:rFonts w:asciiTheme="minorHAnsi" w:hAnsiTheme="minorHAnsi" w:cstheme="minorHAnsi"/>
          <w:i/>
        </w:rPr>
        <w:tab/>
        <w:t xml:space="preserve">Past year participation in specific types of gambling activities, </w:t>
      </w:r>
      <w:r>
        <w:rPr>
          <w:rFonts w:asciiTheme="minorHAnsi" w:hAnsiTheme="minorHAnsi" w:cstheme="minorHAnsi"/>
          <w:i/>
        </w:rPr>
        <w:t>by PGSI categorisatio</w:t>
      </w:r>
      <w:r w:rsidR="008E703D">
        <w:rPr>
          <w:rFonts w:asciiTheme="minorHAnsi" w:hAnsiTheme="minorHAnsi" w:cstheme="minorHAnsi"/>
          <w:i/>
        </w:rPr>
        <w:t>n (</w:t>
      </w:r>
      <w:r>
        <w:rPr>
          <w:rFonts w:asciiTheme="minorHAnsi" w:hAnsiTheme="minorHAnsi" w:cstheme="minorHAnsi"/>
          <w:i/>
        </w:rPr>
        <w:t>past-year gamblers</w:t>
      </w:r>
      <w:r w:rsidR="00A919A0">
        <w:rPr>
          <w:rFonts w:asciiTheme="minorHAnsi" w:hAnsiTheme="minorHAnsi" w:cstheme="minorHAnsi"/>
          <w:i/>
        </w:rPr>
        <w:t xml:space="preserve">; </w:t>
      </w:r>
      <w:r w:rsidR="00A919A0" w:rsidRPr="00F412E7">
        <w:rPr>
          <w:rFonts w:asciiTheme="minorHAnsi" w:hAnsiTheme="minorHAnsi" w:cstheme="minorHAnsi"/>
          <w:i/>
        </w:rPr>
        <w:t>N=6,549</w:t>
      </w:r>
      <w:r w:rsidR="008E703D" w:rsidRPr="00F412E7">
        <w:rPr>
          <w:rFonts w:asciiTheme="minorHAnsi" w:hAnsiTheme="minorHAnsi" w:cstheme="minorHAnsi"/>
          <w:i/>
        </w:rPr>
        <w:t>)</w:t>
      </w:r>
      <w:r w:rsidRPr="00AF3A24">
        <w:rPr>
          <w:rFonts w:asciiTheme="minorHAnsi" w:hAnsiTheme="minorHAnsi" w:cstheme="minorHAnsi"/>
          <w:i/>
        </w:rPr>
        <w:t xml:space="preserve"> </w:t>
      </w:r>
      <w:r>
        <w:rPr>
          <w:rFonts w:asciiTheme="minorHAnsi" w:hAnsiTheme="minorHAnsi" w:cstheme="minorHAnsi"/>
          <w:i/>
        </w:rPr>
        <w:t xml:space="preserve">- </w:t>
      </w:r>
      <w:r w:rsidRPr="00AF3A24">
        <w:rPr>
          <w:rFonts w:asciiTheme="minorHAnsi" w:hAnsiTheme="minorHAnsi" w:cstheme="minorHAnsi"/>
          <w:i/>
        </w:rPr>
        <w:t xml:space="preserve">Odds ratios and p-values </w:t>
      </w:r>
      <w:r w:rsidRPr="00AF3A24">
        <w:rPr>
          <w:rFonts w:asciiTheme="minorHAnsi" w:hAnsiTheme="minorHAnsi" w:cstheme="minorHAnsi"/>
          <w:i/>
          <w:vertAlign w:val="superscript"/>
        </w:rPr>
        <w:t>1</w:t>
      </w:r>
      <w:bookmarkEnd w:id="119"/>
    </w:p>
    <w:tbl>
      <w:tblPr>
        <w:tblStyle w:val="TableGrid"/>
        <w:tblW w:w="9582" w:type="dxa"/>
        <w:jc w:val="center"/>
        <w:tblLayout w:type="fixed"/>
        <w:tblLook w:val="04A0" w:firstRow="1" w:lastRow="0" w:firstColumn="1" w:lastColumn="0" w:noHBand="0" w:noVBand="1"/>
      </w:tblPr>
      <w:tblGrid>
        <w:gridCol w:w="3628"/>
        <w:gridCol w:w="1606"/>
        <w:gridCol w:w="1607"/>
        <w:gridCol w:w="1607"/>
        <w:gridCol w:w="1134"/>
      </w:tblGrid>
      <w:tr w:rsidR="00990A1C" w:rsidRPr="00AF3A24" w14:paraId="4C21CC12" w14:textId="77777777" w:rsidTr="00D56FCC">
        <w:trPr>
          <w:trHeight w:val="386"/>
          <w:jc w:val="center"/>
        </w:trPr>
        <w:tc>
          <w:tcPr>
            <w:tcW w:w="3628" w:type="dxa"/>
            <w:vMerge w:val="restart"/>
            <w:shd w:val="clear" w:color="auto" w:fill="92CDDC" w:themeFill="accent5" w:themeFillTint="99"/>
            <w:vAlign w:val="center"/>
          </w:tcPr>
          <w:p w14:paraId="0F8B6D28" w14:textId="77777777" w:rsidR="00990A1C" w:rsidRPr="00AF3A24" w:rsidRDefault="00E551F7" w:rsidP="00E551F7">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GAMBLING ACTIVITY</w:t>
            </w:r>
            <w:r>
              <w:rPr>
                <w:rFonts w:asciiTheme="minorHAnsi" w:hAnsiTheme="minorHAnsi" w:cstheme="minorHAnsi"/>
                <w:b/>
                <w:sz w:val="18"/>
                <w:szCs w:val="18"/>
              </w:rPr>
              <w:t xml:space="preserve"> </w:t>
            </w:r>
            <w:r w:rsidRPr="008858E4">
              <w:rPr>
                <w:rFonts w:asciiTheme="minorHAnsi" w:hAnsiTheme="minorHAnsi" w:cstheme="minorHAnsi"/>
                <w:b/>
                <w:sz w:val="18"/>
                <w:szCs w:val="18"/>
                <w:vertAlign w:val="superscript"/>
              </w:rPr>
              <w:t>2</w:t>
            </w:r>
          </w:p>
        </w:tc>
        <w:tc>
          <w:tcPr>
            <w:tcW w:w="4820" w:type="dxa"/>
            <w:gridSpan w:val="3"/>
            <w:tcBorders>
              <w:bottom w:val="single" w:sz="4" w:space="0" w:color="auto"/>
            </w:tcBorders>
            <w:shd w:val="clear" w:color="auto" w:fill="92CDDC" w:themeFill="accent5" w:themeFillTint="99"/>
            <w:vAlign w:val="center"/>
          </w:tcPr>
          <w:p w14:paraId="72E75438"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1134" w:type="dxa"/>
            <w:vMerge w:val="restart"/>
            <w:shd w:val="clear" w:color="auto" w:fill="92CDDC" w:themeFill="accent5" w:themeFillTint="99"/>
            <w:vAlign w:val="center"/>
          </w:tcPr>
          <w:p w14:paraId="2F96ED7E"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4</w:t>
            </w:r>
          </w:p>
        </w:tc>
      </w:tr>
      <w:tr w:rsidR="00990A1C" w:rsidRPr="00AF3A24" w14:paraId="5A33C9F8" w14:textId="77777777" w:rsidTr="00D56FCC">
        <w:trPr>
          <w:trHeight w:val="386"/>
          <w:jc w:val="center"/>
        </w:trPr>
        <w:tc>
          <w:tcPr>
            <w:tcW w:w="3628" w:type="dxa"/>
            <w:vMerge/>
            <w:shd w:val="clear" w:color="auto" w:fill="92CDDC" w:themeFill="accent5" w:themeFillTint="99"/>
          </w:tcPr>
          <w:p w14:paraId="479EAB73" w14:textId="77777777" w:rsidR="00990A1C" w:rsidRPr="00AF3A24" w:rsidRDefault="00990A1C" w:rsidP="00661C7D">
            <w:pPr>
              <w:spacing w:before="0" w:line="240" w:lineRule="auto"/>
              <w:jc w:val="left"/>
              <w:rPr>
                <w:rFonts w:asciiTheme="minorHAnsi" w:hAnsiTheme="minorHAnsi" w:cstheme="minorHAnsi"/>
                <w:b/>
                <w:sz w:val="18"/>
                <w:szCs w:val="18"/>
              </w:rPr>
            </w:pPr>
          </w:p>
        </w:tc>
        <w:tc>
          <w:tcPr>
            <w:tcW w:w="1606" w:type="dxa"/>
            <w:tcBorders>
              <w:bottom w:val="single" w:sz="4" w:space="0" w:color="auto"/>
            </w:tcBorders>
            <w:shd w:val="clear" w:color="auto" w:fill="92CDDC" w:themeFill="accent5" w:themeFillTint="99"/>
            <w:vAlign w:val="center"/>
          </w:tcPr>
          <w:p w14:paraId="2D243D9C" w14:textId="77777777" w:rsidR="00990A1C" w:rsidRPr="00AF3A24" w:rsidRDefault="00990A1C"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Non-problem / r</w:t>
            </w:r>
            <w:r w:rsidRPr="00AF3A24">
              <w:rPr>
                <w:rFonts w:asciiTheme="minorHAnsi" w:hAnsiTheme="minorHAnsi" w:cstheme="minorHAnsi"/>
                <w:b/>
                <w:sz w:val="18"/>
                <w:szCs w:val="18"/>
              </w:rPr>
              <w:t>ecreational</w:t>
            </w:r>
          </w:p>
        </w:tc>
        <w:tc>
          <w:tcPr>
            <w:tcW w:w="1607" w:type="dxa"/>
            <w:shd w:val="clear" w:color="auto" w:fill="92CDDC" w:themeFill="accent5" w:themeFillTint="99"/>
            <w:vAlign w:val="center"/>
          </w:tcPr>
          <w:p w14:paraId="625C538D" w14:textId="77777777" w:rsidR="00990A1C" w:rsidRPr="00AF3A24" w:rsidRDefault="00990A1C" w:rsidP="00990A1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Low-risk </w:t>
            </w:r>
          </w:p>
        </w:tc>
        <w:tc>
          <w:tcPr>
            <w:tcW w:w="1607" w:type="dxa"/>
            <w:shd w:val="clear" w:color="auto" w:fill="92CDDC" w:themeFill="accent5" w:themeFillTint="99"/>
            <w:vAlign w:val="center"/>
          </w:tcPr>
          <w:p w14:paraId="0AFE25D0" w14:textId="77777777" w:rsidR="00990A1C" w:rsidRPr="00AF3A24" w:rsidRDefault="00990A1C" w:rsidP="005F1F6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8E0AFA">
              <w:rPr>
                <w:rFonts w:asciiTheme="minorHAnsi" w:hAnsiTheme="minorHAnsi" w:cstheme="minorHAnsi"/>
                <w:b/>
                <w:sz w:val="18"/>
                <w:szCs w:val="18"/>
              </w:rPr>
              <w:t>moderate-risk and</w:t>
            </w:r>
            <w:r w:rsidR="005F1F64">
              <w:rPr>
                <w:rFonts w:asciiTheme="minorHAnsi" w:hAnsiTheme="minorHAnsi" w:cstheme="minorHAnsi"/>
                <w:b/>
                <w:sz w:val="18"/>
                <w:szCs w:val="18"/>
              </w:rPr>
              <w:t xml:space="preserve"> </w:t>
            </w:r>
            <w:r w:rsidR="008E0AFA">
              <w:rPr>
                <w:rFonts w:asciiTheme="minorHAnsi" w:hAnsiTheme="minorHAnsi" w:cstheme="minorHAnsi"/>
                <w:b/>
                <w:sz w:val="18"/>
                <w:szCs w:val="18"/>
              </w:rPr>
              <w:t>p</w:t>
            </w:r>
            <w:r w:rsidR="00AD74C6">
              <w:rPr>
                <w:rFonts w:asciiTheme="minorHAnsi" w:hAnsiTheme="minorHAnsi" w:cstheme="minorHAnsi"/>
                <w:b/>
                <w:sz w:val="18"/>
                <w:szCs w:val="18"/>
              </w:rPr>
              <w:t>roblem</w:t>
            </w:r>
            <w:r w:rsidRPr="00AF3A24">
              <w:rPr>
                <w:rFonts w:asciiTheme="minorHAnsi" w:hAnsiTheme="minorHAnsi" w:cstheme="minorHAnsi"/>
                <w:b/>
                <w:sz w:val="18"/>
                <w:szCs w:val="18"/>
              </w:rPr>
              <w:t xml:space="preserve"> </w:t>
            </w:r>
            <w:r w:rsidRPr="00AF3A24">
              <w:rPr>
                <w:rFonts w:asciiTheme="minorHAnsi" w:hAnsiTheme="minorHAnsi" w:cstheme="minorHAnsi"/>
                <w:b/>
                <w:sz w:val="18"/>
                <w:szCs w:val="18"/>
                <w:vertAlign w:val="superscript"/>
              </w:rPr>
              <w:t>3</w:t>
            </w:r>
          </w:p>
        </w:tc>
        <w:tc>
          <w:tcPr>
            <w:tcW w:w="1134" w:type="dxa"/>
            <w:vMerge/>
            <w:shd w:val="clear" w:color="auto" w:fill="92CDDC" w:themeFill="accent5" w:themeFillTint="99"/>
            <w:vAlign w:val="center"/>
          </w:tcPr>
          <w:p w14:paraId="52FD4B04" w14:textId="77777777" w:rsidR="00990A1C" w:rsidRPr="00AF3A24" w:rsidRDefault="00990A1C" w:rsidP="00661C7D">
            <w:pPr>
              <w:spacing w:before="0" w:line="240" w:lineRule="auto"/>
              <w:jc w:val="center"/>
              <w:rPr>
                <w:rFonts w:asciiTheme="minorHAnsi" w:hAnsiTheme="minorHAnsi" w:cstheme="minorHAnsi"/>
                <w:b/>
                <w:sz w:val="18"/>
                <w:szCs w:val="18"/>
              </w:rPr>
            </w:pPr>
          </w:p>
        </w:tc>
      </w:tr>
      <w:tr w:rsidR="00990A1C" w:rsidRPr="00AF3A24" w14:paraId="3148BB6B" w14:textId="77777777" w:rsidTr="00D56FCC">
        <w:trPr>
          <w:trHeight w:val="386"/>
          <w:jc w:val="center"/>
        </w:trPr>
        <w:tc>
          <w:tcPr>
            <w:tcW w:w="3628" w:type="dxa"/>
            <w:vMerge/>
            <w:tcBorders>
              <w:bottom w:val="single" w:sz="4" w:space="0" w:color="auto"/>
            </w:tcBorders>
            <w:shd w:val="clear" w:color="auto" w:fill="92CDDC" w:themeFill="accent5" w:themeFillTint="99"/>
          </w:tcPr>
          <w:p w14:paraId="0FD8100E" w14:textId="77777777" w:rsidR="00990A1C" w:rsidRPr="00AF3A24" w:rsidRDefault="00990A1C" w:rsidP="00661C7D">
            <w:pPr>
              <w:spacing w:before="0" w:line="240" w:lineRule="auto"/>
              <w:jc w:val="left"/>
              <w:rPr>
                <w:rFonts w:asciiTheme="minorHAnsi" w:hAnsiTheme="minorHAnsi" w:cstheme="minorHAnsi"/>
                <w:b/>
                <w:sz w:val="18"/>
                <w:szCs w:val="18"/>
              </w:rPr>
            </w:pPr>
          </w:p>
        </w:tc>
        <w:tc>
          <w:tcPr>
            <w:tcW w:w="1606" w:type="dxa"/>
            <w:tcBorders>
              <w:bottom w:val="single" w:sz="4" w:space="0" w:color="auto"/>
            </w:tcBorders>
            <w:shd w:val="clear" w:color="auto" w:fill="92CDDC" w:themeFill="accent5" w:themeFillTint="99"/>
            <w:vAlign w:val="center"/>
          </w:tcPr>
          <w:p w14:paraId="6EEC9E35"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067E4F25"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607" w:type="dxa"/>
            <w:tcBorders>
              <w:bottom w:val="single" w:sz="4" w:space="0" w:color="auto"/>
            </w:tcBorders>
            <w:shd w:val="clear" w:color="auto" w:fill="92CDDC" w:themeFill="accent5" w:themeFillTint="99"/>
            <w:vAlign w:val="center"/>
          </w:tcPr>
          <w:p w14:paraId="36AEE388"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6E5BAEDF"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607" w:type="dxa"/>
            <w:tcBorders>
              <w:bottom w:val="single" w:sz="4" w:space="0" w:color="auto"/>
            </w:tcBorders>
            <w:shd w:val="clear" w:color="auto" w:fill="92CDDC" w:themeFill="accent5" w:themeFillTint="99"/>
            <w:vAlign w:val="center"/>
          </w:tcPr>
          <w:p w14:paraId="4E509261"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040C6656" w14:textId="77777777" w:rsidR="00990A1C" w:rsidRPr="00AF3A24" w:rsidRDefault="00990A1C"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134" w:type="dxa"/>
            <w:vMerge/>
            <w:tcBorders>
              <w:bottom w:val="single" w:sz="4" w:space="0" w:color="auto"/>
            </w:tcBorders>
            <w:shd w:val="clear" w:color="auto" w:fill="92CDDC" w:themeFill="accent5" w:themeFillTint="99"/>
            <w:vAlign w:val="center"/>
          </w:tcPr>
          <w:p w14:paraId="6ABEB593" w14:textId="77777777" w:rsidR="00990A1C" w:rsidRPr="00AF3A24" w:rsidRDefault="00990A1C" w:rsidP="00661C7D">
            <w:pPr>
              <w:spacing w:before="0" w:line="240" w:lineRule="auto"/>
              <w:jc w:val="center"/>
              <w:rPr>
                <w:rFonts w:asciiTheme="minorHAnsi" w:hAnsiTheme="minorHAnsi" w:cstheme="minorHAnsi"/>
                <w:b/>
                <w:sz w:val="18"/>
                <w:szCs w:val="18"/>
              </w:rPr>
            </w:pPr>
          </w:p>
        </w:tc>
      </w:tr>
      <w:tr w:rsidR="00C8462E" w:rsidRPr="00AF3A24" w14:paraId="3D2F7FBD" w14:textId="77777777" w:rsidTr="00D56FCC">
        <w:trPr>
          <w:jc w:val="center"/>
        </w:trPr>
        <w:tc>
          <w:tcPr>
            <w:tcW w:w="3628" w:type="dxa"/>
            <w:tcBorders>
              <w:top w:val="single" w:sz="4" w:space="0" w:color="auto"/>
              <w:bottom w:val="nil"/>
            </w:tcBorders>
            <w:shd w:val="clear" w:color="auto" w:fill="DAEEF3" w:themeFill="accent5" w:themeFillTint="33"/>
            <w:vAlign w:val="center"/>
          </w:tcPr>
          <w:p w14:paraId="4E4ACABE" w14:textId="77777777" w:rsidR="00C8462E" w:rsidRPr="00AF3A24" w:rsidRDefault="00C8462E" w:rsidP="00661C7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only</w:t>
            </w:r>
          </w:p>
        </w:tc>
        <w:tc>
          <w:tcPr>
            <w:tcW w:w="1606" w:type="dxa"/>
            <w:tcBorders>
              <w:left w:val="nil"/>
              <w:bottom w:val="nil"/>
              <w:right w:val="single" w:sz="4" w:space="0" w:color="auto"/>
            </w:tcBorders>
            <w:shd w:val="clear" w:color="auto" w:fill="DAEEF3" w:themeFill="accent5" w:themeFillTint="33"/>
            <w:vAlign w:val="center"/>
          </w:tcPr>
          <w:p w14:paraId="2650B0D1" w14:textId="77777777" w:rsidR="00C8462E" w:rsidRPr="00AF3A24" w:rsidRDefault="00C8462E" w:rsidP="00661C7D">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w:t>
            </w:r>
          </w:p>
        </w:tc>
        <w:tc>
          <w:tcPr>
            <w:tcW w:w="1607" w:type="dxa"/>
            <w:tcBorders>
              <w:left w:val="nil"/>
              <w:bottom w:val="nil"/>
              <w:right w:val="single" w:sz="4" w:space="0" w:color="auto"/>
            </w:tcBorders>
            <w:shd w:val="clear" w:color="auto" w:fill="DAEEF3" w:themeFill="accent5" w:themeFillTint="33"/>
            <w:vAlign w:val="center"/>
          </w:tcPr>
          <w:p w14:paraId="009C1AF2" w14:textId="77777777" w:rsidR="00C8462E" w:rsidRPr="00C8462E" w:rsidRDefault="00C8462E" w:rsidP="00C8462E">
            <w:pPr>
              <w:spacing w:before="0" w:line="240" w:lineRule="auto"/>
              <w:jc w:val="center"/>
              <w:rPr>
                <w:rFonts w:asciiTheme="minorHAnsi" w:hAnsiTheme="minorHAnsi"/>
                <w:bCs/>
                <w:color w:val="000000"/>
                <w:sz w:val="16"/>
                <w:szCs w:val="16"/>
              </w:rPr>
            </w:pPr>
            <w:r w:rsidRPr="00C8462E">
              <w:rPr>
                <w:rFonts w:asciiTheme="minorHAnsi" w:hAnsiTheme="minorHAnsi"/>
                <w:bCs/>
                <w:color w:val="000000"/>
                <w:sz w:val="16"/>
                <w:szCs w:val="16"/>
              </w:rPr>
              <w:t>0.2</w:t>
            </w:r>
            <w:r w:rsidRPr="00C8462E">
              <w:rPr>
                <w:rFonts w:asciiTheme="minorHAnsi" w:hAnsiTheme="minorHAnsi"/>
                <w:bCs/>
                <w:color w:val="000000"/>
                <w:sz w:val="16"/>
                <w:szCs w:val="16"/>
              </w:rPr>
              <w:br/>
              <w:t>(0.1 - 0.3)</w:t>
            </w:r>
          </w:p>
        </w:tc>
        <w:tc>
          <w:tcPr>
            <w:tcW w:w="1607" w:type="dxa"/>
            <w:tcBorders>
              <w:left w:val="single" w:sz="4" w:space="0" w:color="auto"/>
              <w:bottom w:val="nil"/>
              <w:right w:val="single" w:sz="4" w:space="0" w:color="auto"/>
            </w:tcBorders>
            <w:shd w:val="clear" w:color="auto" w:fill="DAEEF3" w:themeFill="accent5" w:themeFillTint="33"/>
            <w:vAlign w:val="center"/>
          </w:tcPr>
          <w:p w14:paraId="7FC2614B" w14:textId="77777777" w:rsidR="00C8462E" w:rsidRPr="00C8462E" w:rsidRDefault="00C8462E" w:rsidP="00C8462E">
            <w:pPr>
              <w:spacing w:before="0" w:line="240" w:lineRule="auto"/>
              <w:jc w:val="center"/>
              <w:rPr>
                <w:rFonts w:asciiTheme="minorHAnsi" w:hAnsiTheme="minorHAnsi"/>
                <w:bCs/>
                <w:color w:val="000000"/>
                <w:sz w:val="16"/>
                <w:szCs w:val="16"/>
              </w:rPr>
            </w:pPr>
            <w:r w:rsidRPr="00C8462E">
              <w:rPr>
                <w:rFonts w:asciiTheme="minorHAnsi" w:hAnsiTheme="minorHAnsi"/>
                <w:bCs/>
                <w:color w:val="000000"/>
                <w:sz w:val="16"/>
                <w:szCs w:val="16"/>
              </w:rPr>
              <w:t>0.1</w:t>
            </w:r>
            <w:r w:rsidRPr="00C8462E">
              <w:rPr>
                <w:rFonts w:asciiTheme="minorHAnsi" w:hAnsiTheme="minorHAnsi"/>
                <w:bCs/>
                <w:color w:val="000000"/>
                <w:sz w:val="16"/>
                <w:szCs w:val="16"/>
              </w:rPr>
              <w:br/>
              <w:t>(0.0 - 0.1)</w:t>
            </w:r>
          </w:p>
        </w:tc>
        <w:tc>
          <w:tcPr>
            <w:tcW w:w="1134" w:type="dxa"/>
            <w:tcBorders>
              <w:left w:val="single" w:sz="4" w:space="0" w:color="auto"/>
              <w:bottom w:val="nil"/>
              <w:right w:val="single" w:sz="4" w:space="0" w:color="auto"/>
            </w:tcBorders>
            <w:shd w:val="clear" w:color="auto" w:fill="DAEEF3" w:themeFill="accent5" w:themeFillTint="33"/>
            <w:vAlign w:val="center"/>
          </w:tcPr>
          <w:p w14:paraId="5F1B80F7" w14:textId="77777777" w:rsidR="00C8462E" w:rsidRPr="00C8462E" w:rsidRDefault="00C8462E" w:rsidP="00C8462E">
            <w:pPr>
              <w:spacing w:before="0" w:line="240" w:lineRule="auto"/>
              <w:jc w:val="center"/>
              <w:rPr>
                <w:rFonts w:asciiTheme="minorHAnsi" w:hAnsiTheme="minorHAnsi"/>
                <w:bCs/>
                <w:color w:val="000000"/>
                <w:sz w:val="16"/>
                <w:szCs w:val="16"/>
              </w:rPr>
            </w:pPr>
            <w:r w:rsidRPr="00C8462E">
              <w:rPr>
                <w:rFonts w:asciiTheme="minorHAnsi" w:hAnsiTheme="minorHAnsi"/>
                <w:bCs/>
                <w:color w:val="000000"/>
                <w:sz w:val="16"/>
                <w:szCs w:val="16"/>
              </w:rPr>
              <w:t>&lt;</w:t>
            </w:r>
            <w:r w:rsidR="00F13EA1">
              <w:rPr>
                <w:rFonts w:asciiTheme="minorHAnsi" w:hAnsiTheme="minorHAnsi"/>
                <w:bCs/>
                <w:color w:val="000000"/>
                <w:sz w:val="16"/>
                <w:szCs w:val="16"/>
              </w:rPr>
              <w:t>0</w:t>
            </w:r>
            <w:r w:rsidRPr="00C8462E">
              <w:rPr>
                <w:rFonts w:asciiTheme="minorHAnsi" w:hAnsiTheme="minorHAnsi"/>
                <w:bCs/>
                <w:color w:val="000000"/>
                <w:sz w:val="16"/>
                <w:szCs w:val="16"/>
              </w:rPr>
              <w:t>.0001</w:t>
            </w:r>
          </w:p>
        </w:tc>
      </w:tr>
      <w:tr w:rsidR="00F13EA1" w:rsidRPr="00AF3A24" w14:paraId="534A11EF" w14:textId="77777777" w:rsidTr="00F13EA1">
        <w:trPr>
          <w:jc w:val="center"/>
        </w:trPr>
        <w:tc>
          <w:tcPr>
            <w:tcW w:w="3628" w:type="dxa"/>
            <w:tcBorders>
              <w:top w:val="nil"/>
              <w:bottom w:val="nil"/>
            </w:tcBorders>
            <w:shd w:val="clear" w:color="auto" w:fill="DAEEF3" w:themeFill="accent5" w:themeFillTint="33"/>
            <w:vAlign w:val="center"/>
          </w:tcPr>
          <w:p w14:paraId="624440BD" w14:textId="77777777" w:rsidR="00F13EA1" w:rsidRPr="00AF3A24" w:rsidRDefault="00F13EA1" w:rsidP="00661C7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non-Lotto gambling activity</w:t>
            </w:r>
          </w:p>
        </w:tc>
        <w:tc>
          <w:tcPr>
            <w:tcW w:w="1606" w:type="dxa"/>
            <w:tcBorders>
              <w:top w:val="nil"/>
              <w:left w:val="nil"/>
              <w:bottom w:val="nil"/>
              <w:right w:val="single" w:sz="4" w:space="0" w:color="auto"/>
            </w:tcBorders>
            <w:shd w:val="clear" w:color="auto" w:fill="DAEEF3" w:themeFill="accent5" w:themeFillTint="33"/>
            <w:vAlign w:val="center"/>
          </w:tcPr>
          <w:p w14:paraId="6F746CA5" w14:textId="77777777" w:rsidR="00F13EA1" w:rsidRPr="00AF3A24" w:rsidRDefault="00F13EA1" w:rsidP="00661C7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6078FBE9" w14:textId="77777777" w:rsidR="00F13EA1" w:rsidRPr="00CB72B5" w:rsidRDefault="00F13EA1" w:rsidP="00CB72B5">
            <w:pPr>
              <w:spacing w:before="0" w:line="240" w:lineRule="auto"/>
              <w:jc w:val="center"/>
              <w:rPr>
                <w:rFonts w:asciiTheme="minorHAnsi" w:hAnsiTheme="minorHAnsi"/>
                <w:bCs/>
                <w:color w:val="000000"/>
                <w:sz w:val="16"/>
                <w:szCs w:val="16"/>
              </w:rPr>
            </w:pPr>
            <w:r w:rsidRPr="00CB72B5">
              <w:rPr>
                <w:rFonts w:asciiTheme="minorHAnsi" w:hAnsiTheme="minorHAnsi"/>
                <w:bCs/>
                <w:color w:val="000000"/>
                <w:sz w:val="16"/>
                <w:szCs w:val="16"/>
              </w:rPr>
              <w:t>6.1</w:t>
            </w:r>
            <w:r w:rsidRPr="00CB72B5">
              <w:rPr>
                <w:rFonts w:asciiTheme="minorHAnsi" w:hAnsiTheme="minorHAnsi"/>
                <w:bCs/>
                <w:color w:val="000000"/>
                <w:sz w:val="16"/>
                <w:szCs w:val="16"/>
              </w:rPr>
              <w:br/>
              <w:t>(3.9 - 9.5)</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1C651128" w14:textId="77777777" w:rsidR="00F13EA1" w:rsidRPr="00CB72B5" w:rsidRDefault="00F13EA1" w:rsidP="00CB72B5">
            <w:pPr>
              <w:spacing w:before="0" w:line="240" w:lineRule="auto"/>
              <w:jc w:val="center"/>
              <w:rPr>
                <w:rFonts w:asciiTheme="minorHAnsi" w:hAnsiTheme="minorHAnsi"/>
                <w:bCs/>
                <w:color w:val="000000"/>
                <w:sz w:val="16"/>
                <w:szCs w:val="16"/>
              </w:rPr>
            </w:pPr>
            <w:r w:rsidRPr="00CB72B5">
              <w:rPr>
                <w:rFonts w:asciiTheme="minorHAnsi" w:hAnsiTheme="minorHAnsi"/>
                <w:bCs/>
                <w:color w:val="000000"/>
                <w:sz w:val="16"/>
                <w:szCs w:val="16"/>
              </w:rPr>
              <w:t>20.3</w:t>
            </w:r>
            <w:r w:rsidRPr="00CB72B5">
              <w:rPr>
                <w:rFonts w:asciiTheme="minorHAnsi" w:hAnsiTheme="minorHAnsi"/>
                <w:bCs/>
                <w:color w:val="000000"/>
                <w:sz w:val="16"/>
                <w:szCs w:val="16"/>
              </w:rPr>
              <w:br/>
              <w:t>(8.4 - 49.0)</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6C4FFA81" w14:textId="77777777" w:rsidR="00F13EA1" w:rsidRPr="00F13EA1" w:rsidRDefault="00F13EA1" w:rsidP="00F13EA1">
            <w:pPr>
              <w:spacing w:before="0" w:line="240" w:lineRule="auto"/>
              <w:jc w:val="center"/>
              <w:rPr>
                <w:rFonts w:asciiTheme="minorHAnsi" w:hAnsiTheme="minorHAnsi"/>
                <w:bCs/>
                <w:color w:val="000000"/>
                <w:sz w:val="16"/>
                <w:szCs w:val="16"/>
              </w:rPr>
            </w:pPr>
            <w:r w:rsidRPr="00D35E24">
              <w:rPr>
                <w:rFonts w:asciiTheme="minorHAnsi" w:hAnsiTheme="minorHAnsi"/>
                <w:bCs/>
                <w:color w:val="000000"/>
                <w:sz w:val="16"/>
                <w:szCs w:val="16"/>
              </w:rPr>
              <w:t>&lt;0.0001</w:t>
            </w:r>
          </w:p>
        </w:tc>
      </w:tr>
      <w:tr w:rsidR="00F13EA1" w:rsidRPr="00AF3A24" w14:paraId="0774AA26" w14:textId="77777777" w:rsidTr="00F13EA1">
        <w:trPr>
          <w:jc w:val="center"/>
        </w:trPr>
        <w:tc>
          <w:tcPr>
            <w:tcW w:w="3628" w:type="dxa"/>
            <w:tcBorders>
              <w:top w:val="nil"/>
              <w:bottom w:val="nil"/>
            </w:tcBorders>
            <w:shd w:val="clear" w:color="auto" w:fill="DAEEF3" w:themeFill="accent5" w:themeFillTint="33"/>
            <w:vAlign w:val="center"/>
          </w:tcPr>
          <w:p w14:paraId="5B9EED64" w14:textId="77777777" w:rsidR="00F13EA1" w:rsidRPr="00AA3674" w:rsidRDefault="00F13EA1" w:rsidP="00534000">
            <w:pPr>
              <w:spacing w:before="0" w:line="240" w:lineRule="auto"/>
              <w:ind w:left="78"/>
              <w:jc w:val="left"/>
              <w:rPr>
                <w:rFonts w:asciiTheme="minorHAnsi" w:hAnsiTheme="minorHAnsi" w:cstheme="minorHAnsi"/>
                <w:sz w:val="16"/>
                <w:szCs w:val="16"/>
              </w:rPr>
            </w:pPr>
            <w:r w:rsidRPr="00AA3674">
              <w:rPr>
                <w:rFonts w:asciiTheme="minorHAnsi" w:hAnsiTheme="minorHAnsi" w:cstheme="minorHAnsi"/>
                <w:sz w:val="16"/>
                <w:szCs w:val="16"/>
              </w:rPr>
              <w:t>Any gaming machine (casino or non-casino)</w:t>
            </w:r>
          </w:p>
        </w:tc>
        <w:tc>
          <w:tcPr>
            <w:tcW w:w="1606" w:type="dxa"/>
            <w:tcBorders>
              <w:top w:val="nil"/>
              <w:left w:val="nil"/>
              <w:bottom w:val="nil"/>
              <w:right w:val="single" w:sz="4" w:space="0" w:color="auto"/>
            </w:tcBorders>
            <w:shd w:val="clear" w:color="auto" w:fill="DAEEF3" w:themeFill="accent5" w:themeFillTint="33"/>
            <w:vAlign w:val="center"/>
          </w:tcPr>
          <w:p w14:paraId="7B0600EC" w14:textId="77777777" w:rsidR="00F13EA1" w:rsidRPr="00AA3674" w:rsidRDefault="00F13EA1" w:rsidP="00661C7D">
            <w:pPr>
              <w:spacing w:before="0" w:line="240" w:lineRule="auto"/>
              <w:jc w:val="center"/>
              <w:rPr>
                <w:rFonts w:asciiTheme="minorHAnsi" w:hAnsiTheme="minorHAnsi"/>
                <w:bCs/>
                <w:color w:val="000000"/>
                <w:sz w:val="16"/>
                <w:szCs w:val="16"/>
              </w:rPr>
            </w:pPr>
            <w:r w:rsidRPr="00AA3674">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305E57A5" w14:textId="77777777" w:rsidR="00F13EA1" w:rsidRPr="00AA3674" w:rsidRDefault="00F13EA1" w:rsidP="000B0863">
            <w:pPr>
              <w:spacing w:before="0" w:line="240" w:lineRule="auto"/>
              <w:jc w:val="center"/>
              <w:rPr>
                <w:rFonts w:asciiTheme="minorHAnsi" w:hAnsiTheme="minorHAnsi"/>
                <w:bCs/>
                <w:color w:val="000000"/>
                <w:sz w:val="16"/>
                <w:szCs w:val="16"/>
              </w:rPr>
            </w:pPr>
            <w:r w:rsidRPr="00AA3674">
              <w:rPr>
                <w:rFonts w:asciiTheme="minorHAnsi" w:hAnsiTheme="minorHAnsi"/>
                <w:bCs/>
                <w:color w:val="000000"/>
                <w:sz w:val="16"/>
                <w:szCs w:val="16"/>
              </w:rPr>
              <w:t>4.5</w:t>
            </w:r>
            <w:r w:rsidRPr="00AA3674">
              <w:rPr>
                <w:rFonts w:asciiTheme="minorHAnsi" w:hAnsiTheme="minorHAnsi"/>
                <w:bCs/>
                <w:color w:val="000000"/>
                <w:sz w:val="16"/>
                <w:szCs w:val="16"/>
              </w:rPr>
              <w:br/>
              <w:t>(3.3 - 6.2)</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2E551CCD" w14:textId="77777777" w:rsidR="00F13EA1" w:rsidRPr="00AA3674" w:rsidRDefault="00F13EA1" w:rsidP="000B0863">
            <w:pPr>
              <w:spacing w:before="0" w:line="240" w:lineRule="auto"/>
              <w:jc w:val="center"/>
              <w:rPr>
                <w:rFonts w:asciiTheme="minorHAnsi" w:hAnsiTheme="minorHAnsi"/>
                <w:bCs/>
                <w:color w:val="000000"/>
                <w:sz w:val="16"/>
                <w:szCs w:val="16"/>
              </w:rPr>
            </w:pPr>
            <w:r w:rsidRPr="00AA3674">
              <w:rPr>
                <w:rFonts w:asciiTheme="minorHAnsi" w:hAnsiTheme="minorHAnsi"/>
                <w:bCs/>
                <w:color w:val="000000"/>
                <w:sz w:val="16"/>
                <w:szCs w:val="16"/>
              </w:rPr>
              <w:t>13.8</w:t>
            </w:r>
            <w:r w:rsidRPr="00AA3674">
              <w:rPr>
                <w:rFonts w:asciiTheme="minorHAnsi" w:hAnsiTheme="minorHAnsi"/>
                <w:bCs/>
                <w:color w:val="000000"/>
                <w:sz w:val="16"/>
                <w:szCs w:val="16"/>
              </w:rPr>
              <w:br/>
              <w:t>(8.6 - 22.2)</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123E9F5F" w14:textId="77777777" w:rsidR="00F13EA1" w:rsidRPr="00AA3674" w:rsidRDefault="00F13EA1" w:rsidP="00F13EA1">
            <w:pPr>
              <w:spacing w:before="0" w:line="240" w:lineRule="auto"/>
              <w:jc w:val="center"/>
              <w:rPr>
                <w:rFonts w:asciiTheme="minorHAnsi" w:hAnsiTheme="minorHAnsi"/>
                <w:bCs/>
                <w:color w:val="000000"/>
                <w:sz w:val="16"/>
                <w:szCs w:val="16"/>
              </w:rPr>
            </w:pPr>
            <w:r w:rsidRPr="00AA3674">
              <w:rPr>
                <w:rFonts w:asciiTheme="minorHAnsi" w:hAnsiTheme="minorHAnsi"/>
                <w:bCs/>
                <w:color w:val="000000"/>
                <w:sz w:val="16"/>
                <w:szCs w:val="16"/>
              </w:rPr>
              <w:t>&lt;0.0001</w:t>
            </w:r>
          </w:p>
        </w:tc>
      </w:tr>
      <w:tr w:rsidR="00F13EA1" w:rsidRPr="00AF3A24" w14:paraId="72135481" w14:textId="77777777" w:rsidTr="00F13EA1">
        <w:trPr>
          <w:jc w:val="center"/>
        </w:trPr>
        <w:tc>
          <w:tcPr>
            <w:tcW w:w="3628" w:type="dxa"/>
            <w:tcBorders>
              <w:top w:val="nil"/>
              <w:bottom w:val="dashed" w:sz="8" w:space="0" w:color="auto"/>
            </w:tcBorders>
            <w:shd w:val="clear" w:color="auto" w:fill="DAEEF3" w:themeFill="accent5" w:themeFillTint="33"/>
            <w:vAlign w:val="center"/>
          </w:tcPr>
          <w:p w14:paraId="21B034D8" w14:textId="77777777" w:rsidR="00F13EA1" w:rsidRPr="0064021C" w:rsidRDefault="00F13EA1" w:rsidP="00534000">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Any casino gambling (tables or gaming machines)</w:t>
            </w:r>
          </w:p>
        </w:tc>
        <w:tc>
          <w:tcPr>
            <w:tcW w:w="1606" w:type="dxa"/>
            <w:tcBorders>
              <w:top w:val="nil"/>
              <w:left w:val="nil"/>
              <w:bottom w:val="dashed" w:sz="8" w:space="0" w:color="auto"/>
              <w:right w:val="single" w:sz="4" w:space="0" w:color="auto"/>
            </w:tcBorders>
            <w:shd w:val="clear" w:color="auto" w:fill="DAEEF3" w:themeFill="accent5" w:themeFillTint="33"/>
            <w:vAlign w:val="center"/>
          </w:tcPr>
          <w:p w14:paraId="7FE80F6B"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dashed" w:sz="8" w:space="0" w:color="auto"/>
              <w:right w:val="single" w:sz="4" w:space="0" w:color="auto"/>
            </w:tcBorders>
            <w:shd w:val="clear" w:color="auto" w:fill="DAEEF3" w:themeFill="accent5" w:themeFillTint="33"/>
            <w:vAlign w:val="center"/>
          </w:tcPr>
          <w:p w14:paraId="04A46A9E" w14:textId="77777777" w:rsidR="00F13EA1" w:rsidRPr="0064021C" w:rsidRDefault="00F13EA1" w:rsidP="00F8346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3.8</w:t>
            </w:r>
            <w:r w:rsidRPr="0064021C">
              <w:rPr>
                <w:rFonts w:asciiTheme="minorHAnsi" w:hAnsiTheme="minorHAnsi"/>
                <w:bCs/>
                <w:color w:val="000000"/>
                <w:sz w:val="16"/>
                <w:szCs w:val="16"/>
              </w:rPr>
              <w:br/>
              <w:t>(2.6 - 5.5)</w:t>
            </w:r>
          </w:p>
        </w:tc>
        <w:tc>
          <w:tcPr>
            <w:tcW w:w="1607" w:type="dxa"/>
            <w:tcBorders>
              <w:top w:val="nil"/>
              <w:left w:val="single" w:sz="4" w:space="0" w:color="auto"/>
              <w:bottom w:val="dashed" w:sz="8" w:space="0" w:color="auto"/>
              <w:right w:val="single" w:sz="4" w:space="0" w:color="auto"/>
            </w:tcBorders>
            <w:shd w:val="clear" w:color="auto" w:fill="DAEEF3" w:themeFill="accent5" w:themeFillTint="33"/>
            <w:vAlign w:val="center"/>
          </w:tcPr>
          <w:p w14:paraId="329AF4DC" w14:textId="77777777" w:rsidR="00F13EA1" w:rsidRPr="0064021C" w:rsidRDefault="00F13EA1" w:rsidP="00F8346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5.0</w:t>
            </w:r>
            <w:r w:rsidRPr="0064021C">
              <w:rPr>
                <w:rFonts w:asciiTheme="minorHAnsi" w:hAnsiTheme="minorHAnsi"/>
                <w:bCs/>
                <w:color w:val="000000"/>
                <w:sz w:val="16"/>
                <w:szCs w:val="16"/>
              </w:rPr>
              <w:br/>
              <w:t>(3.1 - 7.9)</w:t>
            </w:r>
          </w:p>
        </w:tc>
        <w:tc>
          <w:tcPr>
            <w:tcW w:w="1134" w:type="dxa"/>
            <w:tcBorders>
              <w:top w:val="nil"/>
              <w:left w:val="single" w:sz="4" w:space="0" w:color="auto"/>
              <w:bottom w:val="dashed" w:sz="8" w:space="0" w:color="auto"/>
              <w:right w:val="single" w:sz="4" w:space="0" w:color="auto"/>
            </w:tcBorders>
            <w:shd w:val="clear" w:color="auto" w:fill="DAEEF3" w:themeFill="accent5" w:themeFillTint="33"/>
            <w:vAlign w:val="center"/>
          </w:tcPr>
          <w:p w14:paraId="7DB05E01" w14:textId="77777777" w:rsidR="00F13EA1" w:rsidRPr="00F13EA1" w:rsidRDefault="00F13EA1" w:rsidP="00F13EA1">
            <w:pPr>
              <w:spacing w:before="0" w:line="240" w:lineRule="auto"/>
              <w:jc w:val="center"/>
              <w:rPr>
                <w:rFonts w:asciiTheme="minorHAnsi" w:hAnsiTheme="minorHAnsi"/>
                <w:bCs/>
                <w:color w:val="000000"/>
                <w:sz w:val="16"/>
                <w:szCs w:val="16"/>
              </w:rPr>
            </w:pPr>
            <w:r w:rsidRPr="00D35E24">
              <w:rPr>
                <w:rFonts w:asciiTheme="minorHAnsi" w:hAnsiTheme="minorHAnsi"/>
                <w:bCs/>
                <w:color w:val="000000"/>
                <w:sz w:val="16"/>
                <w:szCs w:val="16"/>
              </w:rPr>
              <w:t>&lt;0.0001</w:t>
            </w:r>
          </w:p>
        </w:tc>
      </w:tr>
      <w:tr w:rsidR="004D2BF7" w:rsidRPr="00AF3A24" w14:paraId="16DEFD0E" w14:textId="77777777" w:rsidTr="00F13EA1">
        <w:trPr>
          <w:jc w:val="center"/>
        </w:trPr>
        <w:tc>
          <w:tcPr>
            <w:tcW w:w="3628" w:type="dxa"/>
            <w:tcBorders>
              <w:top w:val="dashed" w:sz="8" w:space="0" w:color="auto"/>
              <w:bottom w:val="nil"/>
            </w:tcBorders>
            <w:shd w:val="clear" w:color="auto" w:fill="DAEEF3" w:themeFill="accent5" w:themeFillTint="33"/>
            <w:vAlign w:val="center"/>
          </w:tcPr>
          <w:p w14:paraId="6A9DDAB6" w14:textId="77777777" w:rsidR="004D2BF7" w:rsidRPr="0064021C" w:rsidRDefault="004D2BF7"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Lotto (including ‘Strike’, ‘Powerball’ and ‘Big Wednesday’)</w:t>
            </w:r>
          </w:p>
        </w:tc>
        <w:tc>
          <w:tcPr>
            <w:tcW w:w="1606" w:type="dxa"/>
            <w:tcBorders>
              <w:top w:val="dashed" w:sz="8" w:space="0" w:color="auto"/>
              <w:left w:val="nil"/>
              <w:bottom w:val="nil"/>
              <w:right w:val="single" w:sz="4" w:space="0" w:color="auto"/>
            </w:tcBorders>
            <w:shd w:val="clear" w:color="auto" w:fill="DAEEF3" w:themeFill="accent5" w:themeFillTint="33"/>
            <w:vAlign w:val="center"/>
          </w:tcPr>
          <w:p w14:paraId="44DC7014" w14:textId="77777777" w:rsidR="004D2BF7" w:rsidRPr="0064021C" w:rsidRDefault="004D2BF7"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dashed" w:sz="8" w:space="0" w:color="auto"/>
              <w:left w:val="nil"/>
              <w:bottom w:val="nil"/>
              <w:right w:val="single" w:sz="4" w:space="0" w:color="auto"/>
            </w:tcBorders>
            <w:shd w:val="clear" w:color="auto" w:fill="DAEEF3" w:themeFill="accent5" w:themeFillTint="33"/>
            <w:vAlign w:val="center"/>
          </w:tcPr>
          <w:p w14:paraId="57C481B0" w14:textId="77777777" w:rsidR="004D2BF7" w:rsidRPr="0064021C" w:rsidRDefault="004D2BF7" w:rsidP="004D2BF7">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0.5</w:t>
            </w:r>
            <w:r w:rsidRPr="0064021C">
              <w:rPr>
                <w:rFonts w:asciiTheme="minorHAnsi" w:hAnsiTheme="minorHAnsi"/>
                <w:bCs/>
                <w:color w:val="000000"/>
                <w:sz w:val="16"/>
                <w:szCs w:val="16"/>
              </w:rPr>
              <w:br/>
              <w:t>(0.3 - 0.7)</w:t>
            </w:r>
          </w:p>
        </w:tc>
        <w:tc>
          <w:tcPr>
            <w:tcW w:w="1607" w:type="dxa"/>
            <w:tcBorders>
              <w:top w:val="dashed" w:sz="8" w:space="0" w:color="auto"/>
              <w:left w:val="single" w:sz="4" w:space="0" w:color="auto"/>
              <w:bottom w:val="nil"/>
              <w:right w:val="single" w:sz="4" w:space="0" w:color="auto"/>
            </w:tcBorders>
            <w:shd w:val="clear" w:color="auto" w:fill="DAEEF3" w:themeFill="accent5" w:themeFillTint="33"/>
            <w:vAlign w:val="center"/>
          </w:tcPr>
          <w:p w14:paraId="28B00F49" w14:textId="77777777" w:rsidR="004D2BF7" w:rsidRPr="0064021C" w:rsidRDefault="004D2BF7" w:rsidP="004D2BF7">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0.7</w:t>
            </w:r>
            <w:r w:rsidRPr="0064021C">
              <w:rPr>
                <w:rFonts w:asciiTheme="minorHAnsi" w:hAnsiTheme="minorHAnsi"/>
                <w:bCs/>
                <w:color w:val="000000"/>
                <w:sz w:val="16"/>
                <w:szCs w:val="16"/>
              </w:rPr>
              <w:br/>
              <w:t>(0.4 - 1.2)</w:t>
            </w:r>
          </w:p>
        </w:tc>
        <w:tc>
          <w:tcPr>
            <w:tcW w:w="1134" w:type="dxa"/>
            <w:tcBorders>
              <w:top w:val="dashed" w:sz="8" w:space="0" w:color="auto"/>
              <w:left w:val="single" w:sz="4" w:space="0" w:color="auto"/>
              <w:bottom w:val="nil"/>
              <w:right w:val="single" w:sz="4" w:space="0" w:color="auto"/>
            </w:tcBorders>
            <w:shd w:val="clear" w:color="auto" w:fill="DAEEF3" w:themeFill="accent5" w:themeFillTint="33"/>
            <w:vAlign w:val="center"/>
          </w:tcPr>
          <w:p w14:paraId="05472EE7" w14:textId="77777777" w:rsidR="004D2BF7" w:rsidRPr="004D2BF7" w:rsidRDefault="004D2BF7" w:rsidP="00F13EA1">
            <w:pPr>
              <w:spacing w:before="0" w:line="240" w:lineRule="auto"/>
              <w:jc w:val="center"/>
              <w:rPr>
                <w:rFonts w:asciiTheme="minorHAnsi" w:hAnsiTheme="minorHAnsi"/>
                <w:bCs/>
                <w:color w:val="000000"/>
                <w:sz w:val="16"/>
                <w:szCs w:val="16"/>
              </w:rPr>
            </w:pPr>
            <w:r w:rsidRPr="004D2BF7">
              <w:rPr>
                <w:rFonts w:asciiTheme="minorHAnsi" w:hAnsiTheme="minorHAnsi"/>
                <w:bCs/>
                <w:color w:val="000000"/>
                <w:sz w:val="16"/>
                <w:szCs w:val="16"/>
              </w:rPr>
              <w:t>0.0009</w:t>
            </w:r>
          </w:p>
        </w:tc>
      </w:tr>
      <w:tr w:rsidR="00F13EA1" w:rsidRPr="00AF3A24" w14:paraId="74730F92" w14:textId="77777777" w:rsidTr="00F13EA1">
        <w:trPr>
          <w:jc w:val="center"/>
        </w:trPr>
        <w:tc>
          <w:tcPr>
            <w:tcW w:w="3628" w:type="dxa"/>
            <w:tcBorders>
              <w:top w:val="nil"/>
              <w:bottom w:val="nil"/>
            </w:tcBorders>
            <w:shd w:val="clear" w:color="auto" w:fill="DAEEF3" w:themeFill="accent5" w:themeFillTint="33"/>
            <w:vAlign w:val="center"/>
          </w:tcPr>
          <w:p w14:paraId="039ED137"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Instant Kiwi or other scratch tickets</w:t>
            </w:r>
          </w:p>
        </w:tc>
        <w:tc>
          <w:tcPr>
            <w:tcW w:w="1606" w:type="dxa"/>
            <w:tcBorders>
              <w:top w:val="nil"/>
              <w:left w:val="nil"/>
              <w:bottom w:val="nil"/>
              <w:right w:val="single" w:sz="4" w:space="0" w:color="auto"/>
            </w:tcBorders>
            <w:shd w:val="clear" w:color="auto" w:fill="DAEEF3" w:themeFill="accent5" w:themeFillTint="33"/>
            <w:vAlign w:val="center"/>
          </w:tcPr>
          <w:p w14:paraId="7ECCD742"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136B0C98"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1.8</w:t>
            </w:r>
            <w:r w:rsidRPr="0064021C">
              <w:rPr>
                <w:rFonts w:asciiTheme="minorHAnsi" w:hAnsiTheme="minorHAnsi"/>
                <w:bCs/>
                <w:color w:val="000000"/>
                <w:sz w:val="16"/>
                <w:szCs w:val="16"/>
              </w:rPr>
              <w:br/>
              <w:t>(1.3 - 2.6)</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0CCEE263"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2.3</w:t>
            </w:r>
            <w:r w:rsidRPr="0064021C">
              <w:rPr>
                <w:rFonts w:asciiTheme="minorHAnsi" w:hAnsiTheme="minorHAnsi"/>
                <w:bCs/>
                <w:color w:val="000000"/>
                <w:sz w:val="16"/>
                <w:szCs w:val="16"/>
              </w:rPr>
              <w:br/>
              <w:t>(1.5 - 3.7)</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77CFA828"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F13EA1" w:rsidRPr="00AF3A24" w14:paraId="5E176D4F" w14:textId="77777777" w:rsidTr="00F13EA1">
        <w:trPr>
          <w:jc w:val="center"/>
        </w:trPr>
        <w:tc>
          <w:tcPr>
            <w:tcW w:w="3628" w:type="dxa"/>
            <w:tcBorders>
              <w:top w:val="nil"/>
              <w:bottom w:val="nil"/>
            </w:tcBorders>
            <w:shd w:val="clear" w:color="auto" w:fill="DAEEF3" w:themeFill="accent5" w:themeFillTint="33"/>
            <w:vAlign w:val="center"/>
          </w:tcPr>
          <w:p w14:paraId="7D295CC8" w14:textId="77777777" w:rsidR="00F13EA1" w:rsidRPr="0064021C" w:rsidRDefault="00F13EA1" w:rsidP="003B0CDB">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Non-casino gaming machines</w:t>
            </w:r>
          </w:p>
        </w:tc>
        <w:tc>
          <w:tcPr>
            <w:tcW w:w="1606" w:type="dxa"/>
            <w:tcBorders>
              <w:top w:val="nil"/>
              <w:left w:val="nil"/>
              <w:bottom w:val="nil"/>
              <w:right w:val="single" w:sz="4" w:space="0" w:color="auto"/>
            </w:tcBorders>
            <w:shd w:val="clear" w:color="auto" w:fill="DAEEF3" w:themeFill="accent5" w:themeFillTint="33"/>
            <w:vAlign w:val="center"/>
          </w:tcPr>
          <w:p w14:paraId="36D95187"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4A197F09" w14:textId="77777777" w:rsidR="00F13EA1" w:rsidRPr="0064021C" w:rsidRDefault="00F13EA1" w:rsidP="00345CFE">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5.0</w:t>
            </w:r>
            <w:r w:rsidRPr="0064021C">
              <w:rPr>
                <w:rFonts w:asciiTheme="minorHAnsi" w:hAnsiTheme="minorHAnsi"/>
                <w:bCs/>
                <w:color w:val="000000"/>
                <w:sz w:val="16"/>
                <w:szCs w:val="16"/>
              </w:rPr>
              <w:br/>
              <w:t>(3.6 - 7.1)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4F2B51B0" w14:textId="77777777" w:rsidR="00F13EA1" w:rsidRPr="0064021C" w:rsidRDefault="00F13EA1" w:rsidP="00345CFE">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13.3</w:t>
            </w:r>
            <w:r w:rsidRPr="0064021C">
              <w:rPr>
                <w:rFonts w:asciiTheme="minorHAnsi" w:hAnsiTheme="minorHAnsi"/>
                <w:bCs/>
                <w:color w:val="000000"/>
                <w:sz w:val="16"/>
                <w:szCs w:val="16"/>
              </w:rPr>
              <w:br/>
              <w:t>(8.6 - 20.5)</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4BE9A979"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F13EA1" w:rsidRPr="00AF3A24" w14:paraId="7F4C55B3" w14:textId="77777777" w:rsidTr="00F13EA1">
        <w:trPr>
          <w:jc w:val="center"/>
        </w:trPr>
        <w:tc>
          <w:tcPr>
            <w:tcW w:w="3628" w:type="dxa"/>
            <w:tcBorders>
              <w:top w:val="nil"/>
              <w:bottom w:val="nil"/>
            </w:tcBorders>
            <w:shd w:val="clear" w:color="auto" w:fill="DAEEF3" w:themeFill="accent5" w:themeFillTint="33"/>
            <w:vAlign w:val="center"/>
          </w:tcPr>
          <w:p w14:paraId="43C94E2F"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Track betting</w:t>
            </w:r>
          </w:p>
        </w:tc>
        <w:tc>
          <w:tcPr>
            <w:tcW w:w="1606" w:type="dxa"/>
            <w:tcBorders>
              <w:top w:val="nil"/>
              <w:left w:val="nil"/>
              <w:bottom w:val="nil"/>
              <w:right w:val="single" w:sz="4" w:space="0" w:color="auto"/>
            </w:tcBorders>
            <w:shd w:val="clear" w:color="auto" w:fill="DAEEF3" w:themeFill="accent5" w:themeFillTint="33"/>
            <w:vAlign w:val="center"/>
          </w:tcPr>
          <w:p w14:paraId="1CC93CCA"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6F2DD172"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3.7</w:t>
            </w:r>
            <w:r w:rsidRPr="0064021C">
              <w:rPr>
                <w:rFonts w:asciiTheme="minorHAnsi" w:hAnsiTheme="minorHAnsi"/>
                <w:bCs/>
                <w:color w:val="000000"/>
                <w:sz w:val="16"/>
                <w:szCs w:val="16"/>
              </w:rPr>
              <w:br/>
              <w:t>(2.5 - 5.5)</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4BC8E7DE"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2.9</w:t>
            </w:r>
            <w:r w:rsidRPr="0064021C">
              <w:rPr>
                <w:rFonts w:asciiTheme="minorHAnsi" w:hAnsiTheme="minorHAnsi"/>
                <w:bCs/>
                <w:color w:val="000000"/>
                <w:sz w:val="16"/>
                <w:szCs w:val="16"/>
              </w:rPr>
              <w:br/>
              <w:t>(1.8 - 4.7)</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75740763"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F13EA1" w:rsidRPr="00AF3A24" w14:paraId="709BDADD" w14:textId="77777777" w:rsidTr="00F13EA1">
        <w:trPr>
          <w:jc w:val="center"/>
        </w:trPr>
        <w:tc>
          <w:tcPr>
            <w:tcW w:w="3628" w:type="dxa"/>
            <w:tcBorders>
              <w:top w:val="nil"/>
              <w:bottom w:val="nil"/>
            </w:tcBorders>
            <w:shd w:val="clear" w:color="auto" w:fill="DAEEF3" w:themeFill="accent5" w:themeFillTint="33"/>
            <w:vAlign w:val="center"/>
          </w:tcPr>
          <w:p w14:paraId="2E80B43B" w14:textId="77777777" w:rsidR="00F13EA1" w:rsidRPr="0064021C" w:rsidRDefault="00F13EA1" w:rsidP="003B0CDB">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Casino gaming machines</w:t>
            </w:r>
          </w:p>
        </w:tc>
        <w:tc>
          <w:tcPr>
            <w:tcW w:w="1606" w:type="dxa"/>
            <w:tcBorders>
              <w:top w:val="nil"/>
              <w:left w:val="nil"/>
              <w:bottom w:val="nil"/>
              <w:right w:val="single" w:sz="4" w:space="0" w:color="auto"/>
            </w:tcBorders>
            <w:shd w:val="clear" w:color="auto" w:fill="DAEEF3" w:themeFill="accent5" w:themeFillTint="33"/>
            <w:vAlign w:val="center"/>
          </w:tcPr>
          <w:p w14:paraId="1A8F0D2F"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7CF97E11"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3.5</w:t>
            </w:r>
            <w:r w:rsidRPr="0064021C">
              <w:rPr>
                <w:rFonts w:asciiTheme="minorHAnsi" w:hAnsiTheme="minorHAnsi"/>
                <w:bCs/>
                <w:color w:val="000000"/>
                <w:sz w:val="16"/>
                <w:szCs w:val="16"/>
              </w:rPr>
              <w:br/>
              <w:t>(2.3 - 5.1)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0A6642A6"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5.9</w:t>
            </w:r>
            <w:r w:rsidRPr="0064021C">
              <w:rPr>
                <w:rFonts w:asciiTheme="minorHAnsi" w:hAnsiTheme="minorHAnsi"/>
                <w:bCs/>
                <w:color w:val="000000"/>
                <w:sz w:val="16"/>
                <w:szCs w:val="16"/>
              </w:rPr>
              <w:br/>
              <w:t>(3.6 - 9.4)</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10178026"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F13EA1" w:rsidRPr="00AF3A24" w14:paraId="62A841F5" w14:textId="77777777" w:rsidTr="00F13EA1">
        <w:trPr>
          <w:jc w:val="center"/>
        </w:trPr>
        <w:tc>
          <w:tcPr>
            <w:tcW w:w="3628" w:type="dxa"/>
            <w:tcBorders>
              <w:top w:val="nil"/>
              <w:bottom w:val="nil"/>
            </w:tcBorders>
            <w:shd w:val="clear" w:color="auto" w:fill="DAEEF3" w:themeFill="accent5" w:themeFillTint="33"/>
            <w:vAlign w:val="center"/>
          </w:tcPr>
          <w:p w14:paraId="26283ECE"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Sports betting</w:t>
            </w:r>
          </w:p>
        </w:tc>
        <w:tc>
          <w:tcPr>
            <w:tcW w:w="1606" w:type="dxa"/>
            <w:tcBorders>
              <w:top w:val="nil"/>
              <w:left w:val="nil"/>
              <w:bottom w:val="nil"/>
              <w:right w:val="single" w:sz="4" w:space="0" w:color="auto"/>
            </w:tcBorders>
            <w:shd w:val="clear" w:color="auto" w:fill="DAEEF3" w:themeFill="accent5" w:themeFillTint="33"/>
            <w:vAlign w:val="center"/>
          </w:tcPr>
          <w:p w14:paraId="70FE3BAD"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644449B1"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4.8</w:t>
            </w:r>
            <w:r w:rsidRPr="0064021C">
              <w:rPr>
                <w:rFonts w:asciiTheme="minorHAnsi" w:hAnsiTheme="minorHAnsi"/>
                <w:bCs/>
                <w:color w:val="000000"/>
                <w:sz w:val="16"/>
                <w:szCs w:val="16"/>
              </w:rPr>
              <w:br/>
              <w:t>(2.8 - 8.2)</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2ACBF03B"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4.7</w:t>
            </w:r>
            <w:r w:rsidRPr="0064021C">
              <w:rPr>
                <w:rFonts w:asciiTheme="minorHAnsi" w:hAnsiTheme="minorHAnsi"/>
                <w:bCs/>
                <w:color w:val="000000"/>
                <w:sz w:val="16"/>
                <w:szCs w:val="16"/>
              </w:rPr>
              <w:br/>
              <w:t>(2.5 - 8.8)</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6CCBD49B"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F13EA1" w:rsidRPr="00AF3A24" w14:paraId="453B5D20" w14:textId="77777777" w:rsidTr="00F13EA1">
        <w:trPr>
          <w:jc w:val="center"/>
        </w:trPr>
        <w:tc>
          <w:tcPr>
            <w:tcW w:w="3628" w:type="dxa"/>
            <w:tcBorders>
              <w:top w:val="nil"/>
              <w:bottom w:val="nil"/>
            </w:tcBorders>
            <w:shd w:val="clear" w:color="auto" w:fill="DAEEF3" w:themeFill="accent5" w:themeFillTint="33"/>
            <w:vAlign w:val="center"/>
          </w:tcPr>
          <w:p w14:paraId="6BF73363"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Casino tables</w:t>
            </w:r>
          </w:p>
        </w:tc>
        <w:tc>
          <w:tcPr>
            <w:tcW w:w="1606" w:type="dxa"/>
            <w:tcBorders>
              <w:top w:val="nil"/>
              <w:left w:val="nil"/>
              <w:bottom w:val="nil"/>
              <w:right w:val="single" w:sz="4" w:space="0" w:color="auto"/>
            </w:tcBorders>
            <w:shd w:val="clear" w:color="auto" w:fill="DAEEF3" w:themeFill="accent5" w:themeFillTint="33"/>
            <w:vAlign w:val="center"/>
          </w:tcPr>
          <w:p w14:paraId="057B3F93"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64429F60"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2.9</w:t>
            </w:r>
            <w:r w:rsidRPr="0064021C">
              <w:rPr>
                <w:rFonts w:asciiTheme="minorHAnsi" w:hAnsiTheme="minorHAnsi"/>
                <w:bCs/>
                <w:color w:val="000000"/>
                <w:sz w:val="16"/>
                <w:szCs w:val="16"/>
              </w:rPr>
              <w:br/>
              <w:t>(1.6 - 5.0)</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6AE90FD2" w14:textId="77777777" w:rsidR="00F13EA1" w:rsidRPr="0064021C" w:rsidRDefault="00F13EA1" w:rsidP="00E74F32">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3.3</w:t>
            </w:r>
            <w:r w:rsidRPr="0064021C">
              <w:rPr>
                <w:rFonts w:asciiTheme="minorHAnsi" w:hAnsiTheme="minorHAnsi"/>
                <w:bCs/>
                <w:color w:val="000000"/>
                <w:sz w:val="16"/>
                <w:szCs w:val="16"/>
              </w:rPr>
              <w:br/>
              <w:t>(1.6 - 7.2)</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0A10E55A" w14:textId="77777777" w:rsidR="00F13EA1" w:rsidRPr="00F13EA1" w:rsidRDefault="00F13EA1" w:rsidP="00F13EA1">
            <w:pPr>
              <w:spacing w:before="0" w:line="240" w:lineRule="auto"/>
              <w:jc w:val="center"/>
              <w:rPr>
                <w:rFonts w:asciiTheme="minorHAnsi" w:hAnsiTheme="minorHAnsi"/>
                <w:bCs/>
                <w:color w:val="000000"/>
                <w:sz w:val="16"/>
                <w:szCs w:val="16"/>
              </w:rPr>
            </w:pPr>
            <w:r w:rsidRPr="0079779E">
              <w:rPr>
                <w:rFonts w:asciiTheme="minorHAnsi" w:hAnsiTheme="minorHAnsi"/>
                <w:bCs/>
                <w:color w:val="000000"/>
                <w:sz w:val="16"/>
                <w:szCs w:val="16"/>
              </w:rPr>
              <w:t>&lt;0.0001</w:t>
            </w:r>
          </w:p>
        </w:tc>
      </w:tr>
      <w:tr w:rsidR="00345CFE" w:rsidRPr="00AF3A24" w14:paraId="430EBD34" w14:textId="77777777" w:rsidTr="00F13EA1">
        <w:trPr>
          <w:jc w:val="center"/>
        </w:trPr>
        <w:tc>
          <w:tcPr>
            <w:tcW w:w="3628" w:type="dxa"/>
            <w:tcBorders>
              <w:top w:val="nil"/>
              <w:bottom w:val="nil"/>
            </w:tcBorders>
            <w:shd w:val="clear" w:color="auto" w:fill="DAEEF3" w:themeFill="accent5" w:themeFillTint="33"/>
            <w:vAlign w:val="center"/>
          </w:tcPr>
          <w:p w14:paraId="11706DA5" w14:textId="77777777" w:rsidR="00345CFE" w:rsidRPr="0064021C" w:rsidRDefault="00345CFE"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Other form of gambling (including Internet-based gambling)</w:t>
            </w:r>
          </w:p>
        </w:tc>
        <w:tc>
          <w:tcPr>
            <w:tcW w:w="1606" w:type="dxa"/>
            <w:tcBorders>
              <w:top w:val="nil"/>
              <w:left w:val="nil"/>
              <w:bottom w:val="nil"/>
              <w:right w:val="single" w:sz="4" w:space="0" w:color="auto"/>
            </w:tcBorders>
            <w:shd w:val="clear" w:color="auto" w:fill="DAEEF3" w:themeFill="accent5" w:themeFillTint="33"/>
            <w:vAlign w:val="center"/>
          </w:tcPr>
          <w:p w14:paraId="212AFE54" w14:textId="77777777" w:rsidR="00345CFE" w:rsidRPr="0064021C" w:rsidRDefault="00345CFE"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096B9684" w14:textId="77777777" w:rsidR="00345CFE" w:rsidRPr="0064021C" w:rsidRDefault="00345CFE" w:rsidP="00345CFE">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1.7</w:t>
            </w:r>
            <w:r w:rsidRPr="0064021C">
              <w:rPr>
                <w:rFonts w:asciiTheme="minorHAnsi" w:hAnsiTheme="minorHAnsi"/>
                <w:bCs/>
                <w:color w:val="000000"/>
                <w:sz w:val="16"/>
                <w:szCs w:val="16"/>
              </w:rPr>
              <w:br/>
              <w:t>(0.8 - 3.7)</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7F79E9B1" w14:textId="77777777" w:rsidR="00345CFE" w:rsidRPr="0064021C" w:rsidRDefault="00345CFE" w:rsidP="00345CFE">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1.1</w:t>
            </w:r>
            <w:r w:rsidRPr="0064021C">
              <w:rPr>
                <w:rFonts w:asciiTheme="minorHAnsi" w:hAnsiTheme="minorHAnsi"/>
                <w:bCs/>
                <w:color w:val="000000"/>
                <w:sz w:val="16"/>
                <w:szCs w:val="16"/>
              </w:rPr>
              <w:br/>
              <w:t>(0.4 - 2.9)</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03071DCC" w14:textId="77777777" w:rsidR="00345CFE" w:rsidRPr="00345CFE" w:rsidRDefault="00345CFE" w:rsidP="00F13EA1">
            <w:pPr>
              <w:spacing w:before="0" w:line="240" w:lineRule="auto"/>
              <w:jc w:val="center"/>
              <w:rPr>
                <w:rFonts w:asciiTheme="minorHAnsi" w:hAnsiTheme="minorHAnsi"/>
                <w:bCs/>
                <w:color w:val="000000"/>
                <w:sz w:val="16"/>
                <w:szCs w:val="16"/>
              </w:rPr>
            </w:pPr>
            <w:r w:rsidRPr="00345CFE">
              <w:rPr>
                <w:rFonts w:asciiTheme="minorHAnsi" w:hAnsiTheme="minorHAnsi"/>
                <w:bCs/>
                <w:color w:val="000000"/>
                <w:sz w:val="16"/>
                <w:szCs w:val="16"/>
              </w:rPr>
              <w:t>0.3981</w:t>
            </w:r>
          </w:p>
        </w:tc>
      </w:tr>
      <w:tr w:rsidR="00F13EA1" w:rsidRPr="00AF3A24" w14:paraId="04213758" w14:textId="77777777" w:rsidTr="00F13EA1">
        <w:trPr>
          <w:jc w:val="center"/>
        </w:trPr>
        <w:tc>
          <w:tcPr>
            <w:tcW w:w="3628" w:type="dxa"/>
            <w:tcBorders>
              <w:top w:val="nil"/>
              <w:bottom w:val="nil"/>
            </w:tcBorders>
            <w:shd w:val="clear" w:color="auto" w:fill="DAEEF3" w:themeFill="accent5" w:themeFillTint="33"/>
            <w:vAlign w:val="center"/>
          </w:tcPr>
          <w:p w14:paraId="277D402C"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Keno (not in a casino)</w:t>
            </w:r>
          </w:p>
        </w:tc>
        <w:tc>
          <w:tcPr>
            <w:tcW w:w="1606" w:type="dxa"/>
            <w:tcBorders>
              <w:top w:val="nil"/>
              <w:left w:val="nil"/>
              <w:bottom w:val="nil"/>
              <w:right w:val="single" w:sz="4" w:space="0" w:color="auto"/>
            </w:tcBorders>
            <w:shd w:val="clear" w:color="auto" w:fill="DAEEF3" w:themeFill="accent5" w:themeFillTint="33"/>
            <w:vAlign w:val="center"/>
          </w:tcPr>
          <w:p w14:paraId="0B139F05"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nil"/>
              <w:right w:val="single" w:sz="4" w:space="0" w:color="auto"/>
            </w:tcBorders>
            <w:shd w:val="clear" w:color="auto" w:fill="DAEEF3" w:themeFill="accent5" w:themeFillTint="33"/>
            <w:vAlign w:val="center"/>
          </w:tcPr>
          <w:p w14:paraId="0AC83DCA"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1.7</w:t>
            </w:r>
            <w:r w:rsidRPr="0064021C">
              <w:rPr>
                <w:rFonts w:asciiTheme="minorHAnsi" w:hAnsiTheme="minorHAnsi"/>
                <w:bCs/>
                <w:color w:val="000000"/>
                <w:sz w:val="16"/>
                <w:szCs w:val="16"/>
              </w:rPr>
              <w:br/>
              <w:t>(0.8 - 3.6)</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3EF71FFC"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5.5</w:t>
            </w:r>
            <w:r w:rsidRPr="0064021C">
              <w:rPr>
                <w:rFonts w:asciiTheme="minorHAnsi" w:hAnsiTheme="minorHAnsi"/>
                <w:bCs/>
                <w:color w:val="000000"/>
                <w:sz w:val="16"/>
                <w:szCs w:val="16"/>
              </w:rPr>
              <w:br/>
              <w:t>(2.8 - 10.9)</w:t>
            </w:r>
          </w:p>
        </w:tc>
        <w:tc>
          <w:tcPr>
            <w:tcW w:w="1134" w:type="dxa"/>
            <w:tcBorders>
              <w:top w:val="nil"/>
              <w:left w:val="single" w:sz="4" w:space="0" w:color="auto"/>
              <w:bottom w:val="nil"/>
              <w:right w:val="single" w:sz="4" w:space="0" w:color="auto"/>
            </w:tcBorders>
            <w:shd w:val="clear" w:color="auto" w:fill="DAEEF3" w:themeFill="accent5" w:themeFillTint="33"/>
            <w:vAlign w:val="center"/>
          </w:tcPr>
          <w:p w14:paraId="2992E9D4" w14:textId="77777777" w:rsidR="00F13EA1" w:rsidRPr="00F13EA1" w:rsidRDefault="00F13EA1" w:rsidP="00F13EA1">
            <w:pPr>
              <w:spacing w:before="0" w:line="240" w:lineRule="auto"/>
              <w:jc w:val="center"/>
              <w:rPr>
                <w:rFonts w:asciiTheme="minorHAnsi" w:hAnsiTheme="minorHAnsi"/>
                <w:bCs/>
                <w:color w:val="000000"/>
                <w:sz w:val="16"/>
                <w:szCs w:val="16"/>
              </w:rPr>
            </w:pPr>
            <w:r w:rsidRPr="007E06E8">
              <w:rPr>
                <w:rFonts w:asciiTheme="minorHAnsi" w:hAnsiTheme="minorHAnsi"/>
                <w:bCs/>
                <w:color w:val="000000"/>
                <w:sz w:val="16"/>
                <w:szCs w:val="16"/>
              </w:rPr>
              <w:t>&lt;0.0001</w:t>
            </w:r>
          </w:p>
        </w:tc>
      </w:tr>
      <w:tr w:rsidR="00F13EA1" w:rsidRPr="00AF3A24" w14:paraId="14723EEA" w14:textId="77777777" w:rsidTr="00F13EA1">
        <w:trPr>
          <w:jc w:val="center"/>
        </w:trPr>
        <w:tc>
          <w:tcPr>
            <w:tcW w:w="3628" w:type="dxa"/>
            <w:tcBorders>
              <w:top w:val="nil"/>
              <w:bottom w:val="single" w:sz="4" w:space="0" w:color="auto"/>
            </w:tcBorders>
            <w:shd w:val="clear" w:color="auto" w:fill="DAEEF3" w:themeFill="accent5" w:themeFillTint="33"/>
            <w:vAlign w:val="center"/>
          </w:tcPr>
          <w:p w14:paraId="0954EFD5" w14:textId="77777777" w:rsidR="00F13EA1" w:rsidRPr="0064021C" w:rsidRDefault="00F13EA1" w:rsidP="00661C7D">
            <w:pPr>
              <w:spacing w:before="0" w:line="240" w:lineRule="auto"/>
              <w:ind w:left="78"/>
              <w:jc w:val="left"/>
              <w:rPr>
                <w:rFonts w:asciiTheme="minorHAnsi" w:hAnsiTheme="minorHAnsi" w:cstheme="minorHAnsi"/>
                <w:sz w:val="16"/>
                <w:szCs w:val="16"/>
              </w:rPr>
            </w:pPr>
            <w:r w:rsidRPr="0064021C">
              <w:rPr>
                <w:rFonts w:asciiTheme="minorHAnsi" w:hAnsiTheme="minorHAnsi" w:cstheme="minorHAnsi"/>
                <w:sz w:val="16"/>
                <w:szCs w:val="16"/>
              </w:rPr>
              <w:t>Housie</w:t>
            </w:r>
          </w:p>
        </w:tc>
        <w:tc>
          <w:tcPr>
            <w:tcW w:w="1606" w:type="dxa"/>
            <w:tcBorders>
              <w:top w:val="nil"/>
              <w:left w:val="nil"/>
              <w:bottom w:val="single" w:sz="4" w:space="0" w:color="auto"/>
              <w:right w:val="single" w:sz="4" w:space="0" w:color="auto"/>
            </w:tcBorders>
            <w:shd w:val="clear" w:color="auto" w:fill="DAEEF3" w:themeFill="accent5" w:themeFillTint="33"/>
            <w:vAlign w:val="center"/>
          </w:tcPr>
          <w:p w14:paraId="1A816F16" w14:textId="77777777" w:rsidR="00F13EA1" w:rsidRPr="0064021C" w:rsidRDefault="00F13EA1" w:rsidP="00661C7D">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1</w:t>
            </w:r>
          </w:p>
        </w:tc>
        <w:tc>
          <w:tcPr>
            <w:tcW w:w="1607" w:type="dxa"/>
            <w:tcBorders>
              <w:top w:val="nil"/>
              <w:left w:val="nil"/>
              <w:bottom w:val="single" w:sz="4" w:space="0" w:color="auto"/>
              <w:right w:val="single" w:sz="4" w:space="0" w:color="auto"/>
            </w:tcBorders>
            <w:shd w:val="clear" w:color="auto" w:fill="DAEEF3" w:themeFill="accent5" w:themeFillTint="33"/>
            <w:vAlign w:val="center"/>
          </w:tcPr>
          <w:p w14:paraId="728F5503"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6.0</w:t>
            </w:r>
            <w:r w:rsidRPr="0064021C">
              <w:rPr>
                <w:rFonts w:asciiTheme="minorHAnsi" w:hAnsiTheme="minorHAnsi"/>
                <w:bCs/>
                <w:color w:val="000000"/>
                <w:sz w:val="16"/>
                <w:szCs w:val="16"/>
              </w:rPr>
              <w:br/>
              <w:t>(3.3 - 11.0)</w:t>
            </w:r>
          </w:p>
        </w:tc>
        <w:tc>
          <w:tcPr>
            <w:tcW w:w="1607"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7FBD52DD" w14:textId="77777777" w:rsidR="00F13EA1" w:rsidRPr="0064021C" w:rsidRDefault="00F13EA1" w:rsidP="0033453C">
            <w:pPr>
              <w:spacing w:before="0" w:line="240" w:lineRule="auto"/>
              <w:jc w:val="center"/>
              <w:rPr>
                <w:rFonts w:asciiTheme="minorHAnsi" w:hAnsiTheme="minorHAnsi"/>
                <w:bCs/>
                <w:color w:val="000000"/>
                <w:sz w:val="16"/>
                <w:szCs w:val="16"/>
              </w:rPr>
            </w:pPr>
            <w:r w:rsidRPr="0064021C">
              <w:rPr>
                <w:rFonts w:asciiTheme="minorHAnsi" w:hAnsiTheme="minorHAnsi"/>
                <w:bCs/>
                <w:color w:val="000000"/>
                <w:sz w:val="16"/>
                <w:szCs w:val="16"/>
              </w:rPr>
              <w:t>9.5</w:t>
            </w:r>
            <w:r w:rsidRPr="0064021C">
              <w:rPr>
                <w:rFonts w:asciiTheme="minorHAnsi" w:hAnsiTheme="minorHAnsi"/>
                <w:bCs/>
                <w:color w:val="000000"/>
                <w:sz w:val="16"/>
                <w:szCs w:val="16"/>
              </w:rPr>
              <w:br/>
              <w:t>(4.2 - 21.7)</w:t>
            </w:r>
          </w:p>
        </w:tc>
        <w:tc>
          <w:tcPr>
            <w:tcW w:w="1134"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1D20F561" w14:textId="77777777" w:rsidR="00F13EA1" w:rsidRPr="00F13EA1" w:rsidRDefault="00F13EA1" w:rsidP="00F13EA1">
            <w:pPr>
              <w:spacing w:before="0" w:line="240" w:lineRule="auto"/>
              <w:jc w:val="center"/>
              <w:rPr>
                <w:rFonts w:asciiTheme="minorHAnsi" w:hAnsiTheme="minorHAnsi"/>
                <w:bCs/>
                <w:color w:val="000000"/>
                <w:sz w:val="16"/>
                <w:szCs w:val="16"/>
              </w:rPr>
            </w:pPr>
            <w:r w:rsidRPr="007E06E8">
              <w:rPr>
                <w:rFonts w:asciiTheme="minorHAnsi" w:hAnsiTheme="minorHAnsi"/>
                <w:bCs/>
                <w:color w:val="000000"/>
                <w:sz w:val="16"/>
                <w:szCs w:val="16"/>
              </w:rPr>
              <w:t>&lt;0.0001</w:t>
            </w:r>
          </w:p>
        </w:tc>
      </w:tr>
    </w:tbl>
    <w:p w14:paraId="7DE46514" w14:textId="77777777" w:rsidR="00E551F7" w:rsidRPr="00AF3A24" w:rsidRDefault="00E551F7" w:rsidP="00E551F7">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3E06BACF" w14:textId="77777777" w:rsidR="00E551F7" w:rsidRPr="00AF3A24" w:rsidRDefault="00E551F7" w:rsidP="006A0B0E">
      <w:pPr>
        <w:pStyle w:val="ListParagraph"/>
        <w:numPr>
          <w:ilvl w:val="0"/>
          <w:numId w:val="41"/>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23396B7F" w14:textId="77777777" w:rsidR="00E551F7" w:rsidRDefault="00E551F7" w:rsidP="006A0B0E">
      <w:pPr>
        <w:pStyle w:val="ListParagraph"/>
        <w:numPr>
          <w:ilvl w:val="0"/>
          <w:numId w:val="41"/>
        </w:numPr>
        <w:spacing w:line="240" w:lineRule="auto"/>
        <w:rPr>
          <w:rFonts w:asciiTheme="minorHAnsi" w:hAnsiTheme="minorHAnsi" w:cstheme="minorHAnsi"/>
          <w:sz w:val="16"/>
        </w:rPr>
      </w:pPr>
      <w:r w:rsidRPr="00AF3A24">
        <w:rPr>
          <w:rFonts w:asciiTheme="minorHAnsi" w:hAnsiTheme="minorHAnsi" w:cstheme="minorHAnsi"/>
          <w:sz w:val="16"/>
        </w:rPr>
        <w:t xml:space="preserve">Participants could choose more than one activity / response option. </w:t>
      </w:r>
    </w:p>
    <w:p w14:paraId="6CDDA7DF" w14:textId="77777777" w:rsidR="00E551F7" w:rsidRDefault="00E551F7" w:rsidP="006A0B0E">
      <w:pPr>
        <w:pStyle w:val="ListParagraph"/>
        <w:numPr>
          <w:ilvl w:val="0"/>
          <w:numId w:val="41"/>
        </w:numPr>
        <w:spacing w:line="240" w:lineRule="auto"/>
        <w:ind w:right="283"/>
        <w:rPr>
          <w:rFonts w:asciiTheme="minorHAnsi" w:hAnsiTheme="minorHAnsi" w:cstheme="minorHAnsi"/>
          <w:sz w:val="16"/>
        </w:rPr>
      </w:pPr>
      <w:r>
        <w:rPr>
          <w:rFonts w:asciiTheme="minorHAnsi" w:hAnsiTheme="minorHAnsi" w:cstheme="minorHAnsi"/>
          <w:sz w:val="16"/>
        </w:rPr>
        <w:t>Due to small cell sizes/</w:t>
      </w:r>
      <w:r w:rsidRPr="00AF3A24">
        <w:rPr>
          <w:rFonts w:asciiTheme="minorHAnsi" w:hAnsiTheme="minorHAnsi" w:cstheme="minorHAnsi"/>
          <w:sz w:val="16"/>
        </w:rPr>
        <w:t>denominators (n&lt;30), the ‘problem’ and ‘moderate-risk’ categories have been combined to enable their inclusion in these analyses.</w:t>
      </w:r>
    </w:p>
    <w:p w14:paraId="0E7E13D2" w14:textId="77777777" w:rsidR="00E551F7" w:rsidRPr="003A6F37" w:rsidRDefault="00E551F7" w:rsidP="006A0B0E">
      <w:pPr>
        <w:pStyle w:val="ListParagraph"/>
        <w:numPr>
          <w:ilvl w:val="0"/>
          <w:numId w:val="41"/>
        </w:numPr>
        <w:spacing w:line="240" w:lineRule="auto"/>
        <w:rPr>
          <w:rFonts w:asciiTheme="minorHAnsi" w:hAnsiTheme="minorHAnsi" w:cstheme="minorHAnsi"/>
          <w:sz w:val="16"/>
        </w:rPr>
      </w:pPr>
      <w:r w:rsidRPr="00AF3A24">
        <w:rPr>
          <w:rFonts w:asciiTheme="minorHAnsi" w:hAnsiTheme="minorHAnsi" w:cstheme="minorHAnsi"/>
          <w:sz w:val="16"/>
        </w:rPr>
        <w:t>Logistic regression analyses have controlled for gender, age, ethnicity, neighbourhood deprivation, and geography (urban/rural).</w:t>
      </w:r>
    </w:p>
    <w:p w14:paraId="15CB11DE" w14:textId="77777777" w:rsidR="00763B75" w:rsidRDefault="00763B75" w:rsidP="00D75112">
      <w:pPr>
        <w:spacing w:before="0" w:after="200" w:line="276" w:lineRule="auto"/>
        <w:jc w:val="left"/>
        <w:rPr>
          <w:rFonts w:asciiTheme="minorHAnsi" w:hAnsiTheme="minorHAnsi" w:cstheme="minorHAnsi"/>
          <w:b/>
          <w:bCs/>
          <w:iCs/>
          <w:color w:val="1F497D"/>
          <w:szCs w:val="22"/>
        </w:rPr>
      </w:pPr>
    </w:p>
    <w:p w14:paraId="2A793C6E" w14:textId="77777777" w:rsidR="00197F03" w:rsidRDefault="00197F03">
      <w:pPr>
        <w:spacing w:before="0" w:after="200" w:line="276" w:lineRule="auto"/>
        <w:jc w:val="left"/>
        <w:rPr>
          <w:rFonts w:asciiTheme="minorHAnsi" w:hAnsiTheme="minorHAnsi"/>
        </w:rPr>
      </w:pPr>
      <w:r>
        <w:rPr>
          <w:rFonts w:asciiTheme="minorHAnsi" w:hAnsiTheme="minorHAnsi"/>
        </w:rPr>
        <w:br w:type="page"/>
      </w:r>
    </w:p>
    <w:p w14:paraId="08100615" w14:textId="77777777" w:rsidR="00420119" w:rsidRPr="00420119" w:rsidRDefault="00563D18" w:rsidP="00420119">
      <w:pPr>
        <w:rPr>
          <w:rFonts w:asciiTheme="minorHAnsi" w:hAnsiTheme="minorHAnsi"/>
        </w:rPr>
      </w:pPr>
      <w:r>
        <w:rPr>
          <w:rFonts w:asciiTheme="minorHAnsi" w:hAnsiTheme="minorHAnsi"/>
        </w:rPr>
        <w:lastRenderedPageBreak/>
        <w:t>Figure 21</w:t>
      </w:r>
      <w:r w:rsidR="00420119" w:rsidRPr="00420119">
        <w:rPr>
          <w:rFonts w:asciiTheme="minorHAnsi" w:hAnsiTheme="minorHAnsi"/>
        </w:rPr>
        <w:t xml:space="preserve"> plots the odds ratios for gambling on any EGM (casino or non-casino) by gambling status.  This</w:t>
      </w:r>
      <w:r w:rsidR="00420119">
        <w:rPr>
          <w:rFonts w:asciiTheme="minorHAnsi" w:hAnsiTheme="minorHAnsi"/>
        </w:rPr>
        <w:t xml:space="preserve"> illustrates that compared with non-problem/recreational gamblers, people who have gambled on EGMs in the past year had an increased likelihood of gambling at moderate-risk/problem (OR 13.8) and low-risk (OR 4.5) levels (p&lt;0.0001). </w:t>
      </w:r>
    </w:p>
    <w:p w14:paraId="69C5F6FE" w14:textId="77777777" w:rsidR="00F71C2E" w:rsidRPr="00BB11FB" w:rsidRDefault="00BB11FB" w:rsidP="00BB11FB">
      <w:pPr>
        <w:pStyle w:val="Caption"/>
        <w:keepNext/>
        <w:spacing w:after="0" w:line="276" w:lineRule="auto"/>
        <w:ind w:left="993" w:hanging="993"/>
        <w:rPr>
          <w:rFonts w:asciiTheme="minorHAnsi" w:hAnsiTheme="minorHAnsi" w:cstheme="minorHAnsi"/>
          <w:i/>
        </w:rPr>
      </w:pPr>
      <w:bookmarkStart w:id="120" w:name="_Ref403394101"/>
      <w:bookmarkStart w:id="121" w:name="_Toc425426994"/>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21</w:t>
      </w:r>
      <w:r w:rsidRPr="00AF3A24">
        <w:rPr>
          <w:rFonts w:asciiTheme="minorHAnsi" w:hAnsiTheme="minorHAnsi" w:cstheme="minorHAnsi"/>
          <w:i/>
          <w:noProof/>
        </w:rPr>
        <w:fldChar w:fldCharType="end"/>
      </w:r>
      <w:bookmarkEnd w:id="120"/>
      <w:r w:rsidRPr="00AF3A24">
        <w:rPr>
          <w:rFonts w:asciiTheme="minorHAnsi" w:hAnsiTheme="minorHAnsi" w:cstheme="minorHAnsi"/>
          <w:i/>
        </w:rPr>
        <w:t xml:space="preserve">: </w:t>
      </w:r>
      <w:r w:rsidRPr="00AF3A24">
        <w:rPr>
          <w:rFonts w:asciiTheme="minorHAnsi" w:hAnsiTheme="minorHAnsi" w:cstheme="minorHAnsi"/>
          <w:i/>
        </w:rPr>
        <w:tab/>
      </w:r>
      <w:r>
        <w:rPr>
          <w:rFonts w:asciiTheme="minorHAnsi" w:hAnsiTheme="minorHAnsi" w:cstheme="minorHAnsi"/>
          <w:i/>
        </w:rPr>
        <w:t>Gambling on any EGM (casino or non-casino)</w:t>
      </w:r>
      <w:r w:rsidRPr="00AF3A24">
        <w:rPr>
          <w:rFonts w:asciiTheme="minorHAnsi" w:hAnsiTheme="minorHAnsi" w:cstheme="minorHAnsi"/>
          <w:i/>
        </w:rPr>
        <w:t xml:space="preserve">, by </w:t>
      </w:r>
      <w:r>
        <w:rPr>
          <w:rFonts w:asciiTheme="minorHAnsi" w:hAnsiTheme="minorHAnsi" w:cstheme="minorHAnsi"/>
          <w:i/>
        </w:rPr>
        <w:t>gambling status</w:t>
      </w:r>
      <w:r w:rsidRPr="00AF3A24">
        <w:rPr>
          <w:rFonts w:asciiTheme="minorHAnsi" w:hAnsiTheme="minorHAnsi" w:cstheme="minorHAnsi"/>
          <w:i/>
        </w:rPr>
        <w:t>,</w:t>
      </w:r>
      <w:r w:rsidRPr="00AF3A24">
        <w:rPr>
          <w:rFonts w:asciiTheme="minorHAnsi" w:hAnsiTheme="minorHAnsi" w:cstheme="minorHAnsi"/>
          <w:i/>
          <w:lang w:val="en-US"/>
        </w:rPr>
        <w:t xml:space="preserve"> </w:t>
      </w:r>
      <w:r w:rsidRPr="00AF3A24">
        <w:rPr>
          <w:rFonts w:asciiTheme="minorHAnsi" w:hAnsiTheme="minorHAnsi" w:cstheme="minorHAnsi"/>
          <w:i/>
        </w:rPr>
        <w:t>total population aged 15 years and over (unadjusted prevalence; N=12,59</w:t>
      </w:r>
      <w:r>
        <w:rPr>
          <w:rFonts w:asciiTheme="minorHAnsi" w:hAnsiTheme="minorHAnsi" w:cstheme="minorHAnsi"/>
          <w:i/>
        </w:rPr>
        <w:t>4</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21"/>
    </w:p>
    <w:p w14:paraId="6AA16449" w14:textId="77777777" w:rsidR="002E7C5B" w:rsidRDefault="00BB11FB" w:rsidP="00BB11FB">
      <w:pPr>
        <w:spacing w:line="240" w:lineRule="auto"/>
        <w:jc w:val="center"/>
        <w:rPr>
          <w:rFonts w:asciiTheme="minorHAnsi" w:hAnsiTheme="minorHAnsi"/>
        </w:rPr>
      </w:pPr>
      <w:r>
        <w:rPr>
          <w:noProof/>
          <w:lang w:eastAsia="en-NZ"/>
        </w:rPr>
        <w:drawing>
          <wp:inline distT="0" distB="0" distL="0" distR="0" wp14:anchorId="68B21BF8" wp14:editId="13E7F9F9">
            <wp:extent cx="4768257" cy="4246139"/>
            <wp:effectExtent l="0" t="0" r="0" b="2540"/>
            <wp:docPr id="47" name="Picture 47" descr="C:\Users\fros001.000\AppData\Local\Microsoft\Windows\Temporary Internet Files\Content.Word\GamblingStatu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ros001.000\AppData\Local\Microsoft\Windows\Temporary Internet Files\Content.Word\GamblingStatus2.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9406" cy="4247162"/>
                    </a:xfrm>
                    <a:prstGeom prst="rect">
                      <a:avLst/>
                    </a:prstGeom>
                    <a:noFill/>
                    <a:ln>
                      <a:noFill/>
                    </a:ln>
                  </pic:spPr>
                </pic:pic>
              </a:graphicData>
            </a:graphic>
          </wp:inline>
        </w:drawing>
      </w:r>
    </w:p>
    <w:p w14:paraId="4C912194" w14:textId="77777777" w:rsidR="00BB11FB" w:rsidRPr="0045616C" w:rsidRDefault="00BB11FB" w:rsidP="00BB11FB">
      <w:pPr>
        <w:tabs>
          <w:tab w:val="left" w:pos="3081"/>
        </w:tabs>
        <w:spacing w:before="0" w:line="240" w:lineRule="auto"/>
        <w:ind w:left="2127" w:hanging="284"/>
        <w:rPr>
          <w:rFonts w:asciiTheme="minorHAnsi" w:hAnsiTheme="minorHAnsi" w:cstheme="minorHAnsi"/>
          <w:sz w:val="16"/>
        </w:rPr>
      </w:pPr>
      <w:r w:rsidRPr="0045616C">
        <w:rPr>
          <w:rFonts w:asciiTheme="minorHAnsi" w:hAnsiTheme="minorHAnsi" w:cstheme="minorHAnsi"/>
          <w:sz w:val="16"/>
        </w:rPr>
        <w:t>Notes:</w:t>
      </w:r>
      <w:r>
        <w:rPr>
          <w:rFonts w:asciiTheme="minorHAnsi" w:hAnsiTheme="minorHAnsi" w:cstheme="minorHAnsi"/>
          <w:sz w:val="16"/>
        </w:rPr>
        <w:tab/>
      </w:r>
    </w:p>
    <w:p w14:paraId="76C21B88" w14:textId="77777777" w:rsidR="00BB11FB" w:rsidRPr="00BB11FB" w:rsidRDefault="00BB11FB" w:rsidP="004F129A">
      <w:pPr>
        <w:pStyle w:val="ListParagraph"/>
        <w:numPr>
          <w:ilvl w:val="0"/>
          <w:numId w:val="87"/>
        </w:numPr>
        <w:ind w:left="2268"/>
        <w:rPr>
          <w:rFonts w:asciiTheme="minorHAnsi" w:hAnsiTheme="minorHAnsi"/>
        </w:rPr>
      </w:pPr>
      <w:r w:rsidRPr="00BB11FB">
        <w:rPr>
          <w:rFonts w:asciiTheme="minorHAnsi" w:hAnsiTheme="minorHAnsi" w:cstheme="minorHAnsi"/>
          <w:sz w:val="16"/>
        </w:rPr>
        <w:t>Source: 2011/12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0FA71869" w14:textId="77777777" w:rsidR="00BB11FB" w:rsidRDefault="00BB11FB" w:rsidP="00751BE5">
      <w:pPr>
        <w:rPr>
          <w:rFonts w:asciiTheme="minorHAnsi" w:hAnsiTheme="minorHAnsi"/>
        </w:rPr>
      </w:pPr>
    </w:p>
    <w:p w14:paraId="18602C1E" w14:textId="77777777" w:rsidR="00197F03" w:rsidRDefault="00197F03">
      <w:pPr>
        <w:spacing w:before="0" w:after="200" w:line="276" w:lineRule="auto"/>
        <w:jc w:val="left"/>
        <w:rPr>
          <w:rFonts w:asciiTheme="minorHAnsi" w:hAnsiTheme="minorHAnsi" w:cstheme="minorHAnsi"/>
          <w:b/>
          <w:bCs/>
          <w:iCs/>
          <w:color w:val="1F497D"/>
          <w:szCs w:val="22"/>
        </w:rPr>
      </w:pPr>
      <w:bookmarkStart w:id="122" w:name="_Toc403833174"/>
      <w:r>
        <w:br w:type="page"/>
      </w:r>
    </w:p>
    <w:p w14:paraId="3C8948AD" w14:textId="77777777" w:rsidR="00D75112" w:rsidRPr="0061321F" w:rsidRDefault="00D75112" w:rsidP="00F061EF">
      <w:pPr>
        <w:pStyle w:val="Heading2"/>
      </w:pPr>
      <w:r w:rsidRPr="0061321F">
        <w:lastRenderedPageBreak/>
        <w:t>Problem gambling and number of gambling activities</w:t>
      </w:r>
      <w:bookmarkEnd w:id="122"/>
    </w:p>
    <w:p w14:paraId="79B5DD26" w14:textId="77777777" w:rsidR="00BA212C" w:rsidRDefault="00563D18" w:rsidP="00BA212C">
      <w:pPr>
        <w:rPr>
          <w:rFonts w:asciiTheme="minorHAnsi" w:hAnsiTheme="minorHAnsi"/>
        </w:rPr>
      </w:pPr>
      <w:r>
        <w:rPr>
          <w:rFonts w:asciiTheme="minorHAnsi" w:hAnsiTheme="minorHAnsi"/>
        </w:rPr>
        <w:t>Figure 22</w:t>
      </w:r>
      <w:r w:rsidR="00BA212C">
        <w:rPr>
          <w:rFonts w:asciiTheme="minorHAnsi" w:hAnsiTheme="minorHAnsi"/>
        </w:rPr>
        <w:t xml:space="preserve"> illustrates that the prevalence of gambling on ‘four or more’ activities increased with problem gambling severity.  </w:t>
      </w:r>
      <w:r w:rsidR="00E46FAD">
        <w:rPr>
          <w:rFonts w:asciiTheme="minorHAnsi" w:hAnsiTheme="minorHAnsi"/>
        </w:rPr>
        <w:t>O</w:t>
      </w:r>
      <w:r w:rsidR="00BA212C">
        <w:rPr>
          <w:rFonts w:asciiTheme="minorHAnsi" w:hAnsiTheme="minorHAnsi"/>
        </w:rPr>
        <w:t>ne-third (33.4%)</w:t>
      </w:r>
      <w:r w:rsidR="00BA212C" w:rsidRPr="00003305">
        <w:rPr>
          <w:rFonts w:asciiTheme="minorHAnsi" w:hAnsiTheme="minorHAnsi"/>
        </w:rPr>
        <w:t xml:space="preserve"> </w:t>
      </w:r>
      <w:r w:rsidR="00BA212C">
        <w:rPr>
          <w:rFonts w:asciiTheme="minorHAnsi" w:hAnsiTheme="minorHAnsi"/>
        </w:rPr>
        <w:t xml:space="preserve">of moderate-risk/problem gamblers had gambled on ‘four or more’ activities, compared with less than one in 20 (4.0%) non-problem/recreational gamblers. </w:t>
      </w:r>
      <w:r w:rsidR="002D7287">
        <w:rPr>
          <w:rFonts w:asciiTheme="minorHAnsi" w:hAnsiTheme="minorHAnsi"/>
        </w:rPr>
        <w:t xml:space="preserve"> Adults who gamble at moderate-risk/problem and low-risk levels were also more likely than those who gamble at non-problem/recreational levels to have gambled on two or three activities in the past year.</w:t>
      </w:r>
    </w:p>
    <w:p w14:paraId="50F205DF" w14:textId="77777777" w:rsidR="00BA212C" w:rsidRPr="00AF3A24" w:rsidRDefault="00BA212C" w:rsidP="00BA212C">
      <w:pPr>
        <w:pStyle w:val="Caption"/>
        <w:keepNext/>
        <w:spacing w:after="0" w:line="276" w:lineRule="auto"/>
        <w:ind w:left="993" w:hanging="993"/>
        <w:rPr>
          <w:rFonts w:asciiTheme="minorHAnsi" w:hAnsiTheme="minorHAnsi" w:cstheme="minorHAnsi"/>
          <w:i/>
        </w:rPr>
      </w:pPr>
      <w:bookmarkStart w:id="123" w:name="_Ref397006085"/>
      <w:bookmarkStart w:id="124" w:name="_Toc425426995"/>
      <w:r w:rsidRPr="00AF3A24">
        <w:rPr>
          <w:rFonts w:asciiTheme="minorHAnsi" w:hAnsiTheme="minorHAnsi" w:cstheme="minorHAnsi"/>
          <w:i/>
        </w:rPr>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22</w:t>
      </w:r>
      <w:r w:rsidRPr="00AF3A24">
        <w:rPr>
          <w:rFonts w:asciiTheme="minorHAnsi" w:hAnsiTheme="minorHAnsi" w:cstheme="minorHAnsi"/>
          <w:i/>
          <w:noProof/>
        </w:rPr>
        <w:fldChar w:fldCharType="end"/>
      </w:r>
      <w:bookmarkEnd w:id="123"/>
      <w:r w:rsidRPr="00AF3A24">
        <w:rPr>
          <w:rFonts w:asciiTheme="minorHAnsi" w:hAnsiTheme="minorHAnsi" w:cstheme="minorHAnsi"/>
          <w:i/>
        </w:rPr>
        <w:t xml:space="preserve">: </w:t>
      </w:r>
      <w:r w:rsidRPr="00AF3A24">
        <w:rPr>
          <w:rFonts w:asciiTheme="minorHAnsi" w:hAnsiTheme="minorHAnsi" w:cstheme="minorHAnsi"/>
          <w:i/>
        </w:rPr>
        <w:tab/>
        <w:t xml:space="preserve">Number of gambling activities participated in during the last 12 months, by </w:t>
      </w:r>
      <w:r>
        <w:rPr>
          <w:rFonts w:asciiTheme="minorHAnsi" w:hAnsiTheme="minorHAnsi" w:cstheme="minorHAnsi"/>
          <w:i/>
        </w:rPr>
        <w:t>gambling status</w:t>
      </w:r>
      <w:r w:rsidRPr="00AF3A24">
        <w:rPr>
          <w:rFonts w:asciiTheme="minorHAnsi" w:hAnsiTheme="minorHAnsi" w:cstheme="minorHAnsi"/>
          <w:i/>
        </w:rPr>
        <w:t>,</w:t>
      </w:r>
      <w:r w:rsidRPr="00AF3A24">
        <w:rPr>
          <w:rFonts w:asciiTheme="minorHAnsi" w:hAnsiTheme="minorHAnsi" w:cstheme="minorHAnsi"/>
          <w:i/>
          <w:lang w:val="en-US"/>
        </w:rPr>
        <w:t xml:space="preserve"> </w:t>
      </w:r>
      <w:r>
        <w:rPr>
          <w:rFonts w:asciiTheme="minorHAnsi" w:hAnsiTheme="minorHAnsi" w:cstheme="minorHAnsi"/>
          <w:i/>
        </w:rPr>
        <w:t>past-year gamblers</w:t>
      </w:r>
      <w:r w:rsidRPr="00AF3A24">
        <w:rPr>
          <w:rFonts w:asciiTheme="minorHAnsi" w:hAnsiTheme="minorHAnsi" w:cstheme="minorHAnsi"/>
          <w:i/>
        </w:rPr>
        <w:t xml:space="preserve"> (unadjusted prevalence; N=</w:t>
      </w:r>
      <w:r w:rsidR="00AF20CE">
        <w:rPr>
          <w:rFonts w:asciiTheme="minorHAnsi" w:hAnsiTheme="minorHAnsi" w:cstheme="minorHAnsi"/>
          <w:i/>
        </w:rPr>
        <w:t>6</w:t>
      </w:r>
      <w:r w:rsidRPr="00AF3A24">
        <w:rPr>
          <w:rFonts w:asciiTheme="minorHAnsi" w:hAnsiTheme="minorHAnsi" w:cstheme="minorHAnsi"/>
          <w:i/>
        </w:rPr>
        <w:t>,5</w:t>
      </w:r>
      <w:r w:rsidR="00AF20CE">
        <w:rPr>
          <w:rFonts w:asciiTheme="minorHAnsi" w:hAnsiTheme="minorHAnsi" w:cstheme="minorHAnsi"/>
          <w:i/>
        </w:rPr>
        <w:t>4</w:t>
      </w:r>
      <w:r w:rsidRPr="00AF3A24">
        <w:rPr>
          <w:rFonts w:asciiTheme="minorHAnsi" w:hAnsiTheme="minorHAnsi" w:cstheme="minorHAnsi"/>
          <w:i/>
        </w:rPr>
        <w:t xml:space="preserve">9) </w:t>
      </w:r>
      <w:r w:rsidRPr="00AF3A24">
        <w:rPr>
          <w:rFonts w:asciiTheme="minorHAnsi" w:hAnsiTheme="minorHAnsi" w:cstheme="minorHAnsi"/>
          <w:i/>
          <w:vertAlign w:val="superscript"/>
        </w:rPr>
        <w:t>1</w:t>
      </w:r>
      <w:bookmarkEnd w:id="124"/>
    </w:p>
    <w:p w14:paraId="6FD81AA5" w14:textId="77777777" w:rsidR="00BA212C" w:rsidRDefault="00BA212C" w:rsidP="00F71C2E">
      <w:pPr>
        <w:spacing w:line="240" w:lineRule="auto"/>
        <w:jc w:val="center"/>
      </w:pPr>
      <w:r>
        <w:rPr>
          <w:noProof/>
          <w:lang w:eastAsia="en-NZ"/>
        </w:rPr>
        <w:drawing>
          <wp:inline distT="0" distB="0" distL="0" distR="0" wp14:anchorId="456D891E" wp14:editId="16321E91">
            <wp:extent cx="5868537" cy="3466531"/>
            <wp:effectExtent l="0" t="0" r="18415" b="1968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0831597" w14:textId="77777777" w:rsidR="00BA212C" w:rsidRPr="00AF3A24" w:rsidRDefault="00BA212C" w:rsidP="00BA212C">
      <w:pPr>
        <w:spacing w:before="0" w:line="240" w:lineRule="auto"/>
        <w:ind w:left="567"/>
        <w:rPr>
          <w:rFonts w:asciiTheme="minorHAnsi" w:hAnsiTheme="minorHAnsi" w:cstheme="minorHAnsi"/>
          <w:sz w:val="16"/>
        </w:rPr>
      </w:pPr>
      <w:r w:rsidRPr="00AF3A24">
        <w:rPr>
          <w:rFonts w:asciiTheme="minorHAnsi" w:hAnsiTheme="minorHAnsi" w:cstheme="minorHAnsi"/>
          <w:sz w:val="16"/>
        </w:rPr>
        <w:t>Notes:</w:t>
      </w:r>
    </w:p>
    <w:p w14:paraId="4FE02031" w14:textId="77777777" w:rsidR="00BA212C" w:rsidRPr="00AF3A24" w:rsidRDefault="00BA212C" w:rsidP="006A0B0E">
      <w:pPr>
        <w:pStyle w:val="ListParagraph"/>
        <w:numPr>
          <w:ilvl w:val="0"/>
          <w:numId w:val="42"/>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643FC593" w14:textId="77777777" w:rsidR="00BA212C" w:rsidRDefault="00BA212C" w:rsidP="00D75112">
      <w:pPr>
        <w:rPr>
          <w:rFonts w:asciiTheme="minorHAnsi" w:hAnsiTheme="minorHAnsi"/>
        </w:rPr>
      </w:pPr>
    </w:p>
    <w:p w14:paraId="7D8B8711" w14:textId="77777777" w:rsidR="008731A1" w:rsidRPr="00197F03" w:rsidRDefault="00B04FF5" w:rsidP="00197F03">
      <w:pPr>
        <w:rPr>
          <w:rFonts w:asciiTheme="minorHAnsi" w:hAnsiTheme="minorHAnsi"/>
        </w:rPr>
      </w:pPr>
      <w:r>
        <w:rPr>
          <w:rFonts w:asciiTheme="minorHAnsi" w:hAnsiTheme="minorHAnsi"/>
        </w:rPr>
        <w:t>Significance testing revealed that g</w:t>
      </w:r>
      <w:r w:rsidR="0061321F" w:rsidRPr="0061321F">
        <w:rPr>
          <w:rFonts w:asciiTheme="minorHAnsi" w:hAnsiTheme="minorHAnsi"/>
        </w:rPr>
        <w:t xml:space="preserve">ambling status was significantly associated </w:t>
      </w:r>
      <w:r w:rsidR="0061321F">
        <w:rPr>
          <w:rFonts w:asciiTheme="minorHAnsi" w:hAnsiTheme="minorHAnsi"/>
        </w:rPr>
        <w:t xml:space="preserve">(p&lt;0.0001) </w:t>
      </w:r>
      <w:r w:rsidR="0061321F" w:rsidRPr="0061321F">
        <w:rPr>
          <w:rFonts w:asciiTheme="minorHAnsi" w:hAnsiTheme="minorHAnsi"/>
        </w:rPr>
        <w:t xml:space="preserve">with </w:t>
      </w:r>
      <w:r w:rsidR="0061321F">
        <w:rPr>
          <w:rFonts w:asciiTheme="minorHAnsi" w:hAnsiTheme="minorHAnsi"/>
        </w:rPr>
        <w:t xml:space="preserve">the </w:t>
      </w:r>
      <w:r w:rsidR="0061321F" w:rsidRPr="0061321F">
        <w:rPr>
          <w:rFonts w:asciiTheme="minorHAnsi" w:hAnsiTheme="minorHAnsi"/>
        </w:rPr>
        <w:t>number of gambling activities participated in over the last 12 months</w:t>
      </w:r>
      <w:r w:rsidR="00DB3AF2">
        <w:rPr>
          <w:rFonts w:asciiTheme="minorHAnsi" w:hAnsiTheme="minorHAnsi"/>
        </w:rPr>
        <w:t xml:space="preserve"> (see </w:t>
      </w:r>
      <w:r w:rsidR="00563D18">
        <w:rPr>
          <w:rFonts w:asciiTheme="minorHAnsi" w:hAnsiTheme="minorHAnsi"/>
        </w:rPr>
        <w:t>Table 15</w:t>
      </w:r>
      <w:r w:rsidR="00DB3AF2">
        <w:rPr>
          <w:rFonts w:asciiTheme="minorHAnsi" w:hAnsiTheme="minorHAnsi"/>
        </w:rPr>
        <w:t>)</w:t>
      </w:r>
      <w:r w:rsidR="0061321F" w:rsidRPr="0061321F">
        <w:rPr>
          <w:rFonts w:asciiTheme="minorHAnsi" w:hAnsiTheme="minorHAnsi"/>
        </w:rPr>
        <w:t xml:space="preserve">. </w:t>
      </w:r>
      <w:r w:rsidR="00BA212C">
        <w:rPr>
          <w:rFonts w:asciiTheme="minorHAnsi" w:hAnsiTheme="minorHAnsi"/>
        </w:rPr>
        <w:t>Compared with non-problem/recreational gamblers, those classified as l</w:t>
      </w:r>
      <w:r w:rsidR="00B352B4">
        <w:rPr>
          <w:rFonts w:asciiTheme="minorHAnsi" w:hAnsiTheme="minorHAnsi"/>
        </w:rPr>
        <w:t>ow-risk and moderate-risk/problem</w:t>
      </w:r>
      <w:r w:rsidR="009A0CE3">
        <w:rPr>
          <w:rFonts w:asciiTheme="minorHAnsi" w:hAnsiTheme="minorHAnsi"/>
        </w:rPr>
        <w:t xml:space="preserve"> gamblers</w:t>
      </w:r>
      <w:r w:rsidR="00B352B4">
        <w:rPr>
          <w:rFonts w:asciiTheme="minorHAnsi" w:hAnsiTheme="minorHAnsi"/>
        </w:rPr>
        <w:t xml:space="preserve"> </w:t>
      </w:r>
      <w:r>
        <w:rPr>
          <w:rFonts w:asciiTheme="minorHAnsi" w:hAnsiTheme="minorHAnsi"/>
        </w:rPr>
        <w:t xml:space="preserve">were 12 (OR </w:t>
      </w:r>
      <w:r w:rsidR="00BA212C">
        <w:rPr>
          <w:rFonts w:asciiTheme="minorHAnsi" w:hAnsiTheme="minorHAnsi"/>
        </w:rPr>
        <w:lastRenderedPageBreak/>
        <w:t xml:space="preserve">12.1) and </w:t>
      </w:r>
      <w:r w:rsidR="00B352B4">
        <w:rPr>
          <w:rFonts w:asciiTheme="minorHAnsi" w:hAnsiTheme="minorHAnsi"/>
        </w:rPr>
        <w:t xml:space="preserve">23 </w:t>
      </w:r>
      <w:r>
        <w:rPr>
          <w:rFonts w:asciiTheme="minorHAnsi" w:hAnsiTheme="minorHAnsi"/>
        </w:rPr>
        <w:t xml:space="preserve">(OR </w:t>
      </w:r>
      <w:r w:rsidR="00BA212C">
        <w:rPr>
          <w:rFonts w:asciiTheme="minorHAnsi" w:hAnsiTheme="minorHAnsi"/>
        </w:rPr>
        <w:t xml:space="preserve">22.6) </w:t>
      </w:r>
      <w:r w:rsidR="00B352B4">
        <w:rPr>
          <w:rFonts w:asciiTheme="minorHAnsi" w:hAnsiTheme="minorHAnsi"/>
        </w:rPr>
        <w:t>times more likely</w:t>
      </w:r>
      <w:r w:rsidR="009A0CE3">
        <w:rPr>
          <w:rFonts w:asciiTheme="minorHAnsi" w:hAnsiTheme="minorHAnsi"/>
        </w:rPr>
        <w:t xml:space="preserve"> (respectively)</w:t>
      </w:r>
      <w:r w:rsidR="00B352B4">
        <w:rPr>
          <w:rFonts w:asciiTheme="minorHAnsi" w:hAnsiTheme="minorHAnsi"/>
        </w:rPr>
        <w:t xml:space="preserve">, to have gambled on ‘four or more’ activities in the past 12 months. </w:t>
      </w:r>
      <w:bookmarkStart w:id="125" w:name="_Ref397005874"/>
    </w:p>
    <w:p w14:paraId="6CC9A23E" w14:textId="77777777" w:rsidR="0011136F" w:rsidRPr="00AF3A24" w:rsidRDefault="0011136F" w:rsidP="00FB0414">
      <w:pPr>
        <w:pStyle w:val="Caption"/>
        <w:keepNext/>
        <w:tabs>
          <w:tab w:val="left" w:pos="993"/>
        </w:tabs>
        <w:spacing w:line="276" w:lineRule="auto"/>
        <w:ind w:left="993" w:hanging="993"/>
        <w:rPr>
          <w:rFonts w:asciiTheme="minorHAnsi" w:hAnsiTheme="minorHAnsi"/>
          <w:i/>
        </w:rPr>
      </w:pPr>
      <w:bookmarkStart w:id="126" w:name="_Toc425426882"/>
      <w:r w:rsidRPr="00AF3A24">
        <w:rPr>
          <w:rFonts w:asciiTheme="minorHAnsi" w:hAnsiTheme="minorHAnsi"/>
          <w:i/>
        </w:rPr>
        <w:t>Table</w:t>
      </w:r>
      <w:r w:rsidR="00DB3AF2">
        <w:rPr>
          <w:rFonts w:asciiTheme="minorHAnsi" w:hAnsiTheme="minorHAnsi"/>
          <w:i/>
        </w:rPr>
        <w:t xml:space="preserv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15</w:t>
      </w:r>
      <w:r w:rsidRPr="00AF3A24">
        <w:rPr>
          <w:rFonts w:asciiTheme="minorHAnsi" w:hAnsiTheme="minorHAnsi"/>
          <w:i/>
        </w:rPr>
        <w:fldChar w:fldCharType="end"/>
      </w:r>
      <w:bookmarkEnd w:id="125"/>
      <w:r w:rsidRPr="00AF3A24">
        <w:rPr>
          <w:rFonts w:asciiTheme="minorHAnsi" w:hAnsiTheme="minorHAnsi"/>
          <w:i/>
        </w:rPr>
        <w:t>:</w:t>
      </w:r>
      <w:r w:rsidRPr="00AF3A24">
        <w:rPr>
          <w:rFonts w:asciiTheme="minorHAnsi" w:hAnsiTheme="minorHAnsi" w:cstheme="minorHAnsi"/>
          <w:i/>
        </w:rPr>
        <w:t xml:space="preserve"> </w:t>
      </w:r>
      <w:r w:rsidR="00FB0414">
        <w:rPr>
          <w:rFonts w:asciiTheme="minorHAnsi" w:hAnsiTheme="minorHAnsi" w:cstheme="minorHAnsi"/>
          <w:i/>
        </w:rPr>
        <w:tab/>
      </w:r>
      <w:r w:rsidRPr="00AF3A24">
        <w:rPr>
          <w:rFonts w:asciiTheme="minorHAnsi" w:hAnsiTheme="minorHAnsi"/>
          <w:i/>
        </w:rPr>
        <w:t>Number of gambling activities participated in during the l</w:t>
      </w:r>
      <w:r>
        <w:rPr>
          <w:rFonts w:asciiTheme="minorHAnsi" w:hAnsiTheme="minorHAnsi"/>
          <w:i/>
        </w:rPr>
        <w:t xml:space="preserve">ast 12 months, by </w:t>
      </w:r>
      <w:r w:rsidRPr="00AF3A24">
        <w:rPr>
          <w:rFonts w:asciiTheme="minorHAnsi" w:hAnsiTheme="minorHAnsi"/>
          <w:i/>
        </w:rPr>
        <w:t>gambling</w:t>
      </w:r>
      <w:r>
        <w:rPr>
          <w:rFonts w:asciiTheme="minorHAnsi" w:hAnsiTheme="minorHAnsi"/>
          <w:i/>
        </w:rPr>
        <w:t xml:space="preserve"> status</w:t>
      </w:r>
      <w:r w:rsidRPr="00AF3A24">
        <w:rPr>
          <w:rFonts w:asciiTheme="minorHAnsi" w:hAnsiTheme="minorHAnsi"/>
          <w:i/>
        </w:rPr>
        <w:t xml:space="preserve"> </w:t>
      </w:r>
      <w:r w:rsidRPr="00AF3A24">
        <w:rPr>
          <w:rFonts w:asciiTheme="minorHAnsi" w:hAnsiTheme="minorHAnsi" w:cstheme="minorHAnsi"/>
          <w:i/>
        </w:rPr>
        <w:t>(unadjusted prev</w:t>
      </w:r>
      <w:r>
        <w:rPr>
          <w:rFonts w:asciiTheme="minorHAnsi" w:hAnsiTheme="minorHAnsi" w:cstheme="minorHAnsi"/>
          <w:i/>
        </w:rPr>
        <w:t>alence; N=6,549</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126"/>
    </w:p>
    <w:tbl>
      <w:tblPr>
        <w:tblStyle w:val="TableGrid"/>
        <w:tblW w:w="10522" w:type="dxa"/>
        <w:jc w:val="center"/>
        <w:tblLayout w:type="fixed"/>
        <w:tblLook w:val="04A0" w:firstRow="1" w:lastRow="0" w:firstColumn="1" w:lastColumn="0" w:noHBand="0" w:noVBand="1"/>
      </w:tblPr>
      <w:tblGrid>
        <w:gridCol w:w="1502"/>
        <w:gridCol w:w="714"/>
        <w:gridCol w:w="1058"/>
        <w:gridCol w:w="714"/>
        <w:gridCol w:w="1058"/>
        <w:gridCol w:w="708"/>
        <w:gridCol w:w="1058"/>
        <w:gridCol w:w="708"/>
        <w:gridCol w:w="1058"/>
        <w:gridCol w:w="1058"/>
        <w:gridCol w:w="886"/>
      </w:tblGrid>
      <w:tr w:rsidR="0061321F" w:rsidRPr="00AF3A24" w14:paraId="45484E7C" w14:textId="77777777" w:rsidTr="002C7AD1">
        <w:trPr>
          <w:trHeight w:val="386"/>
          <w:jc w:val="center"/>
        </w:trPr>
        <w:tc>
          <w:tcPr>
            <w:tcW w:w="1502" w:type="dxa"/>
            <w:vMerge w:val="restart"/>
            <w:shd w:val="clear" w:color="auto" w:fill="92CDDC" w:themeFill="accent5" w:themeFillTint="99"/>
            <w:vAlign w:val="center"/>
          </w:tcPr>
          <w:p w14:paraId="0E620329" w14:textId="77777777" w:rsidR="0061321F" w:rsidRPr="00AF3A24" w:rsidRDefault="0061321F" w:rsidP="0011136F">
            <w:pPr>
              <w:spacing w:before="0" w:line="240" w:lineRule="auto"/>
              <w:jc w:val="left"/>
              <w:rPr>
                <w:rFonts w:asciiTheme="minorHAnsi" w:hAnsiTheme="minorHAnsi" w:cstheme="minorHAnsi"/>
                <w:b/>
                <w:sz w:val="18"/>
                <w:szCs w:val="18"/>
              </w:rPr>
            </w:pPr>
            <w:r>
              <w:rPr>
                <w:rFonts w:asciiTheme="minorHAnsi" w:hAnsiTheme="minorHAnsi" w:cstheme="minorHAnsi"/>
                <w:b/>
                <w:sz w:val="18"/>
                <w:szCs w:val="18"/>
              </w:rPr>
              <w:t xml:space="preserve">GAMBLING STATUS </w:t>
            </w:r>
          </w:p>
        </w:tc>
        <w:tc>
          <w:tcPr>
            <w:tcW w:w="7076" w:type="dxa"/>
            <w:gridSpan w:val="8"/>
            <w:tcBorders>
              <w:bottom w:val="single" w:sz="4" w:space="0" w:color="auto"/>
            </w:tcBorders>
            <w:shd w:val="clear" w:color="auto" w:fill="92CDDC" w:themeFill="accent5" w:themeFillTint="99"/>
            <w:vAlign w:val="center"/>
          </w:tcPr>
          <w:p w14:paraId="611FFF41"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NUMBER OF GAMBLING ACTIVITIES IN LAST 12 MONTHS</w:t>
            </w:r>
          </w:p>
        </w:tc>
        <w:tc>
          <w:tcPr>
            <w:tcW w:w="1058" w:type="dxa"/>
            <w:vMerge w:val="restart"/>
            <w:shd w:val="clear" w:color="auto" w:fill="92CDDC" w:themeFill="accent5" w:themeFillTint="99"/>
            <w:vAlign w:val="center"/>
          </w:tcPr>
          <w:p w14:paraId="239045C5" w14:textId="77777777" w:rsidR="00D465B9" w:rsidRPr="00AF3A24" w:rsidRDefault="00D465B9" w:rsidP="00D465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r w:rsidR="00DB3AF2">
              <w:rPr>
                <w:rFonts w:asciiTheme="minorHAnsi" w:hAnsiTheme="minorHAnsi" w:cstheme="minorHAnsi"/>
                <w:b/>
                <w:sz w:val="18"/>
                <w:szCs w:val="18"/>
              </w:rPr>
              <w:t xml:space="preserve"> </w:t>
            </w:r>
          </w:p>
          <w:p w14:paraId="70D15248" w14:textId="77777777" w:rsidR="0061321F" w:rsidRPr="00AF3A24" w:rsidRDefault="00D465B9" w:rsidP="00D465B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r w:rsidR="00DB3AF2">
              <w:rPr>
                <w:rFonts w:asciiTheme="minorHAnsi" w:hAnsiTheme="minorHAnsi" w:cstheme="minorHAnsi"/>
                <w:b/>
                <w:sz w:val="18"/>
                <w:szCs w:val="18"/>
              </w:rPr>
              <w:t xml:space="preserve"> </w:t>
            </w:r>
            <w:r w:rsidR="00DB3AF2">
              <w:rPr>
                <w:rFonts w:asciiTheme="minorHAnsi" w:hAnsiTheme="minorHAnsi" w:cstheme="minorHAnsi"/>
                <w:b/>
                <w:sz w:val="18"/>
                <w:szCs w:val="18"/>
                <w:vertAlign w:val="superscript"/>
              </w:rPr>
              <w:t>2</w:t>
            </w:r>
          </w:p>
        </w:tc>
        <w:tc>
          <w:tcPr>
            <w:tcW w:w="886" w:type="dxa"/>
            <w:vMerge w:val="restart"/>
            <w:shd w:val="clear" w:color="auto" w:fill="92CDDC" w:themeFill="accent5" w:themeFillTint="99"/>
            <w:vAlign w:val="center"/>
          </w:tcPr>
          <w:p w14:paraId="294E8B72" w14:textId="77777777" w:rsidR="0061321F" w:rsidRPr="00AF3A24" w:rsidRDefault="0061321F" w:rsidP="00DB3AF2">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00DB3AF2">
              <w:rPr>
                <w:rFonts w:asciiTheme="minorHAnsi" w:hAnsiTheme="minorHAnsi" w:cstheme="minorHAnsi"/>
                <w:b/>
                <w:sz w:val="18"/>
                <w:szCs w:val="18"/>
                <w:vertAlign w:val="superscript"/>
              </w:rPr>
              <w:t>3</w:t>
            </w:r>
          </w:p>
        </w:tc>
      </w:tr>
      <w:tr w:rsidR="0061321F" w:rsidRPr="00AF3A24" w14:paraId="6A3D9F4E" w14:textId="77777777" w:rsidTr="002C7AD1">
        <w:trPr>
          <w:trHeight w:val="386"/>
          <w:jc w:val="center"/>
        </w:trPr>
        <w:tc>
          <w:tcPr>
            <w:tcW w:w="1502" w:type="dxa"/>
            <w:vMerge/>
            <w:shd w:val="clear" w:color="auto" w:fill="92CDDC" w:themeFill="accent5" w:themeFillTint="99"/>
          </w:tcPr>
          <w:p w14:paraId="01F7BC20" w14:textId="77777777" w:rsidR="0061321F" w:rsidRPr="00AF3A24" w:rsidRDefault="0061321F" w:rsidP="00661C7D">
            <w:pPr>
              <w:spacing w:before="0" w:line="240" w:lineRule="auto"/>
              <w:jc w:val="left"/>
              <w:rPr>
                <w:rFonts w:asciiTheme="minorHAnsi" w:hAnsiTheme="minorHAnsi" w:cstheme="minorHAnsi"/>
                <w:b/>
                <w:sz w:val="18"/>
                <w:szCs w:val="18"/>
              </w:rPr>
            </w:pPr>
          </w:p>
        </w:tc>
        <w:tc>
          <w:tcPr>
            <w:tcW w:w="1772" w:type="dxa"/>
            <w:gridSpan w:val="2"/>
            <w:tcBorders>
              <w:bottom w:val="single" w:sz="4" w:space="0" w:color="auto"/>
            </w:tcBorders>
            <w:shd w:val="clear" w:color="auto" w:fill="92CDDC" w:themeFill="accent5" w:themeFillTint="99"/>
            <w:vAlign w:val="center"/>
          </w:tcPr>
          <w:p w14:paraId="17F8B945" w14:textId="77777777" w:rsidR="0061321F" w:rsidRPr="00AF3A24" w:rsidRDefault="0061321F"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One</w:t>
            </w:r>
          </w:p>
        </w:tc>
        <w:tc>
          <w:tcPr>
            <w:tcW w:w="1772" w:type="dxa"/>
            <w:gridSpan w:val="2"/>
            <w:tcBorders>
              <w:bottom w:val="single" w:sz="4" w:space="0" w:color="auto"/>
            </w:tcBorders>
            <w:shd w:val="clear" w:color="auto" w:fill="92CDDC" w:themeFill="accent5" w:themeFillTint="99"/>
            <w:vAlign w:val="center"/>
          </w:tcPr>
          <w:p w14:paraId="3BE854E6" w14:textId="77777777" w:rsidR="0061321F" w:rsidRPr="00AF3A24" w:rsidRDefault="0061321F"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Two</w:t>
            </w:r>
          </w:p>
        </w:tc>
        <w:tc>
          <w:tcPr>
            <w:tcW w:w="1766" w:type="dxa"/>
            <w:gridSpan w:val="2"/>
            <w:tcBorders>
              <w:bottom w:val="single" w:sz="4" w:space="0" w:color="auto"/>
            </w:tcBorders>
            <w:shd w:val="clear" w:color="auto" w:fill="92CDDC" w:themeFill="accent5" w:themeFillTint="99"/>
            <w:vAlign w:val="center"/>
          </w:tcPr>
          <w:p w14:paraId="5B0DDB50" w14:textId="77777777" w:rsidR="0061321F" w:rsidRPr="00AF3A24" w:rsidRDefault="0061321F" w:rsidP="00661C7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Three</w:t>
            </w:r>
          </w:p>
        </w:tc>
        <w:tc>
          <w:tcPr>
            <w:tcW w:w="1766" w:type="dxa"/>
            <w:gridSpan w:val="2"/>
            <w:tcBorders>
              <w:bottom w:val="single" w:sz="4" w:space="0" w:color="auto"/>
            </w:tcBorders>
            <w:shd w:val="clear" w:color="auto" w:fill="92CDDC" w:themeFill="accent5" w:themeFillTint="99"/>
            <w:vAlign w:val="center"/>
          </w:tcPr>
          <w:p w14:paraId="3DA36B26" w14:textId="77777777" w:rsidR="0061321F" w:rsidRPr="00AF3A24" w:rsidRDefault="0061321F" w:rsidP="00B47A22">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 xml:space="preserve">Four </w:t>
            </w:r>
            <w:r w:rsidRPr="00AF3A24">
              <w:rPr>
                <w:rFonts w:asciiTheme="minorHAnsi" w:hAnsiTheme="minorHAnsi" w:cstheme="minorHAnsi"/>
                <w:b/>
                <w:sz w:val="18"/>
                <w:szCs w:val="18"/>
              </w:rPr>
              <w:t>or more</w:t>
            </w:r>
          </w:p>
        </w:tc>
        <w:tc>
          <w:tcPr>
            <w:tcW w:w="1058" w:type="dxa"/>
            <w:vMerge/>
            <w:shd w:val="clear" w:color="auto" w:fill="92CDDC" w:themeFill="accent5" w:themeFillTint="99"/>
            <w:vAlign w:val="center"/>
          </w:tcPr>
          <w:p w14:paraId="4152578A" w14:textId="77777777" w:rsidR="0061321F" w:rsidRDefault="0061321F" w:rsidP="0061321F">
            <w:pPr>
              <w:spacing w:before="0" w:line="240" w:lineRule="auto"/>
              <w:jc w:val="center"/>
              <w:rPr>
                <w:rFonts w:asciiTheme="minorHAnsi" w:hAnsiTheme="minorHAnsi" w:cstheme="minorHAnsi"/>
                <w:b/>
                <w:sz w:val="18"/>
                <w:szCs w:val="18"/>
              </w:rPr>
            </w:pPr>
          </w:p>
        </w:tc>
        <w:tc>
          <w:tcPr>
            <w:tcW w:w="886" w:type="dxa"/>
            <w:vMerge/>
            <w:shd w:val="clear" w:color="auto" w:fill="92CDDC" w:themeFill="accent5" w:themeFillTint="99"/>
            <w:vAlign w:val="center"/>
          </w:tcPr>
          <w:p w14:paraId="0EF50E98" w14:textId="77777777" w:rsidR="0061321F" w:rsidRDefault="0061321F" w:rsidP="0061321F">
            <w:pPr>
              <w:spacing w:before="0" w:line="240" w:lineRule="auto"/>
              <w:jc w:val="center"/>
              <w:rPr>
                <w:rFonts w:asciiTheme="minorHAnsi" w:hAnsiTheme="minorHAnsi" w:cstheme="minorHAnsi"/>
                <w:b/>
                <w:sz w:val="18"/>
                <w:szCs w:val="18"/>
              </w:rPr>
            </w:pPr>
          </w:p>
        </w:tc>
      </w:tr>
      <w:tr w:rsidR="0061321F" w:rsidRPr="00AF3A24" w14:paraId="5A2DEC78" w14:textId="77777777" w:rsidTr="002C7AD1">
        <w:trPr>
          <w:trHeight w:val="386"/>
          <w:jc w:val="center"/>
        </w:trPr>
        <w:tc>
          <w:tcPr>
            <w:tcW w:w="1502" w:type="dxa"/>
            <w:vMerge/>
            <w:tcBorders>
              <w:bottom w:val="single" w:sz="4" w:space="0" w:color="auto"/>
            </w:tcBorders>
            <w:shd w:val="clear" w:color="auto" w:fill="92CDDC" w:themeFill="accent5" w:themeFillTint="99"/>
          </w:tcPr>
          <w:p w14:paraId="5915551E" w14:textId="77777777" w:rsidR="0061321F" w:rsidRPr="00AF3A24" w:rsidRDefault="0061321F" w:rsidP="00661C7D">
            <w:pPr>
              <w:spacing w:before="0" w:line="240" w:lineRule="auto"/>
              <w:jc w:val="left"/>
              <w:rPr>
                <w:rFonts w:asciiTheme="minorHAnsi" w:hAnsiTheme="minorHAnsi" w:cstheme="minorHAnsi"/>
                <w:b/>
                <w:sz w:val="18"/>
                <w:szCs w:val="18"/>
              </w:rPr>
            </w:pPr>
          </w:p>
        </w:tc>
        <w:tc>
          <w:tcPr>
            <w:tcW w:w="714" w:type="dxa"/>
            <w:tcBorders>
              <w:bottom w:val="single" w:sz="4" w:space="0" w:color="auto"/>
            </w:tcBorders>
            <w:shd w:val="clear" w:color="auto" w:fill="92CDDC" w:themeFill="accent5" w:themeFillTint="99"/>
            <w:vAlign w:val="center"/>
          </w:tcPr>
          <w:p w14:paraId="226F3B50"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2043369E"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D931AF9"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14" w:type="dxa"/>
            <w:tcBorders>
              <w:bottom w:val="single" w:sz="4" w:space="0" w:color="auto"/>
            </w:tcBorders>
            <w:shd w:val="clear" w:color="auto" w:fill="92CDDC" w:themeFill="accent5" w:themeFillTint="99"/>
            <w:vAlign w:val="center"/>
          </w:tcPr>
          <w:p w14:paraId="1F7E988D"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56AF27BF"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1894B204"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1B7DFEF3"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4BAA6C4B"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409660A"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579C83F2"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2A7EAD7D"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8D24E54" w14:textId="77777777" w:rsidR="0061321F" w:rsidRPr="00AF3A24" w:rsidRDefault="0061321F" w:rsidP="00661C7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058" w:type="dxa"/>
            <w:vMerge/>
            <w:tcBorders>
              <w:bottom w:val="single" w:sz="4" w:space="0" w:color="auto"/>
            </w:tcBorders>
            <w:shd w:val="clear" w:color="auto" w:fill="92CDDC" w:themeFill="accent5" w:themeFillTint="99"/>
            <w:vAlign w:val="center"/>
          </w:tcPr>
          <w:p w14:paraId="1713D604" w14:textId="77777777" w:rsidR="0061321F" w:rsidRPr="00AF3A24" w:rsidRDefault="0061321F" w:rsidP="0061321F">
            <w:pPr>
              <w:spacing w:before="0" w:line="240" w:lineRule="auto"/>
              <w:jc w:val="center"/>
              <w:rPr>
                <w:rFonts w:asciiTheme="minorHAnsi" w:hAnsiTheme="minorHAnsi" w:cstheme="minorHAnsi"/>
                <w:b/>
                <w:sz w:val="18"/>
                <w:szCs w:val="18"/>
              </w:rPr>
            </w:pPr>
          </w:p>
        </w:tc>
        <w:tc>
          <w:tcPr>
            <w:tcW w:w="886" w:type="dxa"/>
            <w:vMerge/>
            <w:tcBorders>
              <w:bottom w:val="single" w:sz="4" w:space="0" w:color="auto"/>
            </w:tcBorders>
            <w:shd w:val="clear" w:color="auto" w:fill="92CDDC" w:themeFill="accent5" w:themeFillTint="99"/>
            <w:vAlign w:val="center"/>
          </w:tcPr>
          <w:p w14:paraId="6F0627B3" w14:textId="77777777" w:rsidR="0061321F" w:rsidRPr="00AF3A24" w:rsidRDefault="0061321F" w:rsidP="0061321F">
            <w:pPr>
              <w:spacing w:before="0" w:line="240" w:lineRule="auto"/>
              <w:jc w:val="center"/>
              <w:rPr>
                <w:rFonts w:asciiTheme="minorHAnsi" w:hAnsiTheme="minorHAnsi" w:cstheme="minorHAnsi"/>
                <w:b/>
                <w:sz w:val="18"/>
                <w:szCs w:val="18"/>
              </w:rPr>
            </w:pPr>
          </w:p>
        </w:tc>
      </w:tr>
      <w:tr w:rsidR="0061321F" w:rsidRPr="00AF3A24" w14:paraId="11F67879" w14:textId="77777777" w:rsidTr="002C7AD1">
        <w:trPr>
          <w:jc w:val="center"/>
        </w:trPr>
        <w:tc>
          <w:tcPr>
            <w:tcW w:w="1502" w:type="dxa"/>
            <w:tcBorders>
              <w:top w:val="nil"/>
              <w:bottom w:val="nil"/>
            </w:tcBorders>
            <w:shd w:val="clear" w:color="auto" w:fill="DAEEF3" w:themeFill="accent5" w:themeFillTint="33"/>
            <w:vAlign w:val="center"/>
          </w:tcPr>
          <w:p w14:paraId="2ED5ADE8" w14:textId="77777777" w:rsidR="0061321F" w:rsidRPr="00AF3A24" w:rsidRDefault="0061321F" w:rsidP="0011136F">
            <w:pPr>
              <w:spacing w:before="0" w:line="240" w:lineRule="auto"/>
              <w:ind w:left="153" w:hanging="153"/>
              <w:jc w:val="left"/>
              <w:rPr>
                <w:rFonts w:asciiTheme="minorHAnsi" w:hAnsiTheme="minorHAnsi"/>
              </w:rPr>
            </w:pPr>
            <w:r>
              <w:rPr>
                <w:rFonts w:asciiTheme="minorHAnsi" w:hAnsiTheme="minorHAnsi"/>
              </w:rPr>
              <w:t xml:space="preserve">Non-problem / Recreational </w:t>
            </w:r>
          </w:p>
        </w:tc>
        <w:tc>
          <w:tcPr>
            <w:tcW w:w="714" w:type="dxa"/>
            <w:tcBorders>
              <w:top w:val="nil"/>
              <w:left w:val="nil"/>
              <w:bottom w:val="nil"/>
              <w:right w:val="nil"/>
            </w:tcBorders>
            <w:shd w:val="clear" w:color="auto" w:fill="DAEEF3" w:themeFill="accent5" w:themeFillTint="33"/>
            <w:vAlign w:val="center"/>
          </w:tcPr>
          <w:p w14:paraId="567D6FDA"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w:t>
            </w:r>
            <w:r>
              <w:rPr>
                <w:rFonts w:asciiTheme="minorHAnsi" w:hAnsiTheme="minorHAnsi"/>
                <w:bCs/>
                <w:color w:val="000000"/>
                <w:sz w:val="16"/>
                <w:szCs w:val="16"/>
              </w:rPr>
              <w:t>,</w:t>
            </w:r>
            <w:r w:rsidRPr="0011136F">
              <w:rPr>
                <w:rFonts w:asciiTheme="minorHAnsi" w:hAnsiTheme="minorHAnsi"/>
                <w:bCs/>
                <w:color w:val="000000"/>
                <w:sz w:val="16"/>
                <w:szCs w:val="16"/>
              </w:rPr>
              <w:t>007</w:t>
            </w:r>
          </w:p>
        </w:tc>
        <w:tc>
          <w:tcPr>
            <w:tcW w:w="1058" w:type="dxa"/>
            <w:tcBorders>
              <w:top w:val="nil"/>
              <w:left w:val="nil"/>
              <w:bottom w:val="nil"/>
              <w:right w:val="single" w:sz="4" w:space="0" w:color="auto"/>
            </w:tcBorders>
            <w:shd w:val="clear" w:color="auto" w:fill="DAEEF3" w:themeFill="accent5" w:themeFillTint="33"/>
            <w:vAlign w:val="center"/>
          </w:tcPr>
          <w:p w14:paraId="2538DE7B"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65.1</w:t>
            </w:r>
            <w:r w:rsidRPr="0011136F">
              <w:rPr>
                <w:rFonts w:asciiTheme="minorHAnsi" w:hAnsiTheme="minorHAnsi"/>
                <w:bCs/>
                <w:color w:val="000000"/>
                <w:sz w:val="16"/>
                <w:szCs w:val="16"/>
              </w:rPr>
              <w:br/>
              <w:t>(63.3 - 66.9)</w:t>
            </w:r>
          </w:p>
        </w:tc>
        <w:tc>
          <w:tcPr>
            <w:tcW w:w="714" w:type="dxa"/>
            <w:tcBorders>
              <w:top w:val="nil"/>
              <w:left w:val="nil"/>
              <w:bottom w:val="nil"/>
              <w:right w:val="nil"/>
            </w:tcBorders>
            <w:shd w:val="clear" w:color="auto" w:fill="DAEEF3" w:themeFill="accent5" w:themeFillTint="33"/>
            <w:vAlign w:val="center"/>
          </w:tcPr>
          <w:p w14:paraId="11BBD7D3"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1</w:t>
            </w:r>
            <w:r>
              <w:rPr>
                <w:rFonts w:asciiTheme="minorHAnsi" w:hAnsiTheme="minorHAnsi"/>
                <w:bCs/>
                <w:color w:val="000000"/>
                <w:sz w:val="16"/>
                <w:szCs w:val="16"/>
              </w:rPr>
              <w:t>,</w:t>
            </w:r>
            <w:r w:rsidRPr="0011136F">
              <w:rPr>
                <w:rFonts w:asciiTheme="minorHAnsi" w:hAnsiTheme="minorHAnsi"/>
                <w:bCs/>
                <w:color w:val="000000"/>
                <w:sz w:val="16"/>
                <w:szCs w:val="16"/>
              </w:rPr>
              <w:t>392</w:t>
            </w:r>
          </w:p>
        </w:tc>
        <w:tc>
          <w:tcPr>
            <w:tcW w:w="1058" w:type="dxa"/>
            <w:tcBorders>
              <w:top w:val="nil"/>
              <w:left w:val="nil"/>
              <w:bottom w:val="nil"/>
              <w:right w:val="single" w:sz="4" w:space="0" w:color="auto"/>
            </w:tcBorders>
            <w:shd w:val="clear" w:color="auto" w:fill="DAEEF3" w:themeFill="accent5" w:themeFillTint="33"/>
            <w:vAlign w:val="center"/>
          </w:tcPr>
          <w:p w14:paraId="6E536389"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23.0</w:t>
            </w:r>
            <w:r w:rsidRPr="0011136F">
              <w:rPr>
                <w:rFonts w:asciiTheme="minorHAnsi" w:hAnsiTheme="minorHAnsi"/>
                <w:bCs/>
                <w:color w:val="000000"/>
                <w:sz w:val="16"/>
                <w:szCs w:val="16"/>
              </w:rPr>
              <w:br/>
              <w:t>(21.6 - 24.5)</w:t>
            </w:r>
          </w:p>
        </w:tc>
        <w:tc>
          <w:tcPr>
            <w:tcW w:w="708" w:type="dxa"/>
            <w:tcBorders>
              <w:top w:val="nil"/>
              <w:left w:val="nil"/>
              <w:bottom w:val="nil"/>
              <w:right w:val="nil"/>
            </w:tcBorders>
            <w:shd w:val="clear" w:color="auto" w:fill="DAEEF3" w:themeFill="accent5" w:themeFillTint="33"/>
            <w:vAlign w:val="center"/>
          </w:tcPr>
          <w:p w14:paraId="101E6D38"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469</w:t>
            </w:r>
          </w:p>
        </w:tc>
        <w:tc>
          <w:tcPr>
            <w:tcW w:w="1058" w:type="dxa"/>
            <w:tcBorders>
              <w:top w:val="nil"/>
              <w:left w:val="nil"/>
              <w:bottom w:val="nil"/>
              <w:right w:val="single" w:sz="4" w:space="0" w:color="auto"/>
            </w:tcBorders>
            <w:shd w:val="clear" w:color="auto" w:fill="DAEEF3" w:themeFill="accent5" w:themeFillTint="33"/>
            <w:vAlign w:val="center"/>
          </w:tcPr>
          <w:p w14:paraId="7A50A6ED"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7.8</w:t>
            </w:r>
            <w:r w:rsidRPr="0011136F">
              <w:rPr>
                <w:rFonts w:asciiTheme="minorHAnsi" w:hAnsiTheme="minorHAnsi"/>
                <w:bCs/>
                <w:color w:val="000000"/>
                <w:sz w:val="16"/>
                <w:szCs w:val="16"/>
              </w:rPr>
              <w:br/>
              <w:t>(6.9 - 8.7)</w:t>
            </w:r>
          </w:p>
        </w:tc>
        <w:tc>
          <w:tcPr>
            <w:tcW w:w="708" w:type="dxa"/>
            <w:tcBorders>
              <w:top w:val="nil"/>
              <w:left w:val="nil"/>
              <w:bottom w:val="nil"/>
              <w:right w:val="nil"/>
            </w:tcBorders>
            <w:shd w:val="clear" w:color="auto" w:fill="DAEEF3" w:themeFill="accent5" w:themeFillTint="33"/>
            <w:vAlign w:val="center"/>
          </w:tcPr>
          <w:p w14:paraId="0320CB09"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224</w:t>
            </w:r>
          </w:p>
        </w:tc>
        <w:tc>
          <w:tcPr>
            <w:tcW w:w="1058" w:type="dxa"/>
            <w:tcBorders>
              <w:top w:val="nil"/>
              <w:left w:val="nil"/>
              <w:bottom w:val="nil"/>
              <w:right w:val="single" w:sz="4" w:space="0" w:color="auto"/>
            </w:tcBorders>
            <w:shd w:val="clear" w:color="auto" w:fill="DAEEF3" w:themeFill="accent5" w:themeFillTint="33"/>
            <w:vAlign w:val="center"/>
          </w:tcPr>
          <w:p w14:paraId="1C19D25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4.0</w:t>
            </w:r>
            <w:r w:rsidRPr="0011136F">
              <w:rPr>
                <w:rFonts w:asciiTheme="minorHAnsi" w:hAnsiTheme="minorHAnsi"/>
                <w:bCs/>
                <w:color w:val="000000"/>
                <w:sz w:val="16"/>
                <w:szCs w:val="16"/>
              </w:rPr>
              <w:br/>
              <w:t>(3.4 - 4.7)</w:t>
            </w:r>
          </w:p>
        </w:tc>
        <w:tc>
          <w:tcPr>
            <w:tcW w:w="1058" w:type="dxa"/>
            <w:tcBorders>
              <w:top w:val="nil"/>
              <w:left w:val="nil"/>
              <w:bottom w:val="nil"/>
              <w:right w:val="single" w:sz="4" w:space="0" w:color="auto"/>
            </w:tcBorders>
            <w:shd w:val="clear" w:color="auto" w:fill="B6DDE8" w:themeFill="accent5" w:themeFillTint="66"/>
            <w:vAlign w:val="center"/>
          </w:tcPr>
          <w:p w14:paraId="25A724AF" w14:textId="77777777" w:rsidR="0061321F" w:rsidRPr="0011136F" w:rsidRDefault="0061321F" w:rsidP="0061321F">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886" w:type="dxa"/>
            <w:vMerge w:val="restart"/>
            <w:tcBorders>
              <w:top w:val="nil"/>
              <w:left w:val="nil"/>
              <w:right w:val="single" w:sz="4" w:space="0" w:color="auto"/>
            </w:tcBorders>
            <w:shd w:val="clear" w:color="auto" w:fill="B6DDE8" w:themeFill="accent5" w:themeFillTint="66"/>
            <w:vAlign w:val="center"/>
          </w:tcPr>
          <w:p w14:paraId="18370639" w14:textId="77777777" w:rsidR="0061321F" w:rsidRPr="0011136F" w:rsidRDefault="0061321F" w:rsidP="0061321F">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&lt;0.0001</w:t>
            </w:r>
          </w:p>
        </w:tc>
      </w:tr>
      <w:tr w:rsidR="0061321F" w:rsidRPr="00AF3A24" w14:paraId="41AE45DC" w14:textId="77777777" w:rsidTr="002C7AD1">
        <w:trPr>
          <w:jc w:val="center"/>
        </w:trPr>
        <w:tc>
          <w:tcPr>
            <w:tcW w:w="1502" w:type="dxa"/>
            <w:tcBorders>
              <w:top w:val="nil"/>
              <w:bottom w:val="nil"/>
            </w:tcBorders>
            <w:shd w:val="clear" w:color="auto" w:fill="DAEEF3" w:themeFill="accent5" w:themeFillTint="33"/>
            <w:vAlign w:val="center"/>
          </w:tcPr>
          <w:p w14:paraId="3778838A" w14:textId="77777777" w:rsidR="0061321F" w:rsidRPr="00AF3A24" w:rsidRDefault="0061321F" w:rsidP="00661C7D">
            <w:pPr>
              <w:spacing w:before="0" w:line="240" w:lineRule="auto"/>
              <w:ind w:left="153" w:hanging="153"/>
              <w:jc w:val="left"/>
              <w:rPr>
                <w:rFonts w:asciiTheme="minorHAnsi" w:hAnsiTheme="minorHAnsi"/>
              </w:rPr>
            </w:pPr>
            <w:r>
              <w:rPr>
                <w:rFonts w:asciiTheme="minorHAnsi" w:hAnsiTheme="minorHAnsi"/>
              </w:rPr>
              <w:t>Low-risk</w:t>
            </w:r>
          </w:p>
        </w:tc>
        <w:tc>
          <w:tcPr>
            <w:tcW w:w="714" w:type="dxa"/>
            <w:tcBorders>
              <w:top w:val="nil"/>
              <w:left w:val="nil"/>
              <w:bottom w:val="nil"/>
              <w:right w:val="nil"/>
            </w:tcBorders>
            <w:shd w:val="clear" w:color="auto" w:fill="DAEEF3" w:themeFill="accent5" w:themeFillTint="33"/>
            <w:vAlign w:val="center"/>
          </w:tcPr>
          <w:p w14:paraId="255B06D9"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89</w:t>
            </w:r>
          </w:p>
        </w:tc>
        <w:tc>
          <w:tcPr>
            <w:tcW w:w="1058" w:type="dxa"/>
            <w:tcBorders>
              <w:top w:val="nil"/>
              <w:left w:val="nil"/>
              <w:bottom w:val="nil"/>
              <w:right w:val="single" w:sz="4" w:space="0" w:color="auto"/>
            </w:tcBorders>
            <w:shd w:val="clear" w:color="auto" w:fill="DAEEF3" w:themeFill="accent5" w:themeFillTint="33"/>
            <w:vAlign w:val="center"/>
          </w:tcPr>
          <w:p w14:paraId="302271C6"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32.0</w:t>
            </w:r>
            <w:r w:rsidRPr="0011136F">
              <w:rPr>
                <w:rFonts w:asciiTheme="minorHAnsi" w:hAnsiTheme="minorHAnsi"/>
                <w:bCs/>
                <w:color w:val="000000"/>
                <w:sz w:val="16"/>
                <w:szCs w:val="16"/>
              </w:rPr>
              <w:br/>
              <w:t>(24.1 - 39.9)</w:t>
            </w:r>
          </w:p>
        </w:tc>
        <w:tc>
          <w:tcPr>
            <w:tcW w:w="714" w:type="dxa"/>
            <w:tcBorders>
              <w:top w:val="nil"/>
              <w:left w:val="nil"/>
              <w:bottom w:val="nil"/>
              <w:right w:val="nil"/>
            </w:tcBorders>
            <w:shd w:val="clear" w:color="auto" w:fill="DAEEF3" w:themeFill="accent5" w:themeFillTint="33"/>
            <w:vAlign w:val="center"/>
          </w:tcPr>
          <w:p w14:paraId="34738296"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92</w:t>
            </w:r>
          </w:p>
        </w:tc>
        <w:tc>
          <w:tcPr>
            <w:tcW w:w="1058" w:type="dxa"/>
            <w:tcBorders>
              <w:top w:val="nil"/>
              <w:left w:val="nil"/>
              <w:bottom w:val="nil"/>
              <w:right w:val="single" w:sz="4" w:space="0" w:color="auto"/>
            </w:tcBorders>
            <w:shd w:val="clear" w:color="auto" w:fill="DAEEF3" w:themeFill="accent5" w:themeFillTint="33"/>
            <w:vAlign w:val="center"/>
          </w:tcPr>
          <w:p w14:paraId="4E657D2C"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29.5</w:t>
            </w:r>
            <w:r w:rsidRPr="0011136F">
              <w:rPr>
                <w:rFonts w:asciiTheme="minorHAnsi" w:hAnsiTheme="minorHAnsi"/>
                <w:bCs/>
                <w:color w:val="000000"/>
                <w:sz w:val="16"/>
                <w:szCs w:val="16"/>
              </w:rPr>
              <w:br/>
              <w:t>(22.4 - 36.6)</w:t>
            </w:r>
          </w:p>
        </w:tc>
        <w:tc>
          <w:tcPr>
            <w:tcW w:w="708" w:type="dxa"/>
            <w:tcBorders>
              <w:top w:val="nil"/>
              <w:left w:val="nil"/>
              <w:bottom w:val="nil"/>
              <w:right w:val="nil"/>
            </w:tcBorders>
            <w:shd w:val="clear" w:color="auto" w:fill="DAEEF3" w:themeFill="accent5" w:themeFillTint="33"/>
            <w:vAlign w:val="center"/>
          </w:tcPr>
          <w:p w14:paraId="267FE22B"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43</w:t>
            </w:r>
          </w:p>
        </w:tc>
        <w:tc>
          <w:tcPr>
            <w:tcW w:w="1058" w:type="dxa"/>
            <w:tcBorders>
              <w:top w:val="nil"/>
              <w:left w:val="nil"/>
              <w:bottom w:val="nil"/>
              <w:right w:val="single" w:sz="4" w:space="0" w:color="auto"/>
            </w:tcBorders>
            <w:shd w:val="clear" w:color="auto" w:fill="DAEEF3" w:themeFill="accent5" w:themeFillTint="33"/>
            <w:vAlign w:val="center"/>
          </w:tcPr>
          <w:p w14:paraId="131455A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18.4</w:t>
            </w:r>
            <w:r w:rsidRPr="0011136F">
              <w:rPr>
                <w:rFonts w:asciiTheme="minorHAnsi" w:hAnsiTheme="minorHAnsi"/>
                <w:bCs/>
                <w:color w:val="000000"/>
                <w:sz w:val="16"/>
                <w:szCs w:val="16"/>
              </w:rPr>
              <w:br/>
              <w:t>(12.1 - 24.8)</w:t>
            </w:r>
          </w:p>
        </w:tc>
        <w:tc>
          <w:tcPr>
            <w:tcW w:w="708" w:type="dxa"/>
            <w:tcBorders>
              <w:top w:val="nil"/>
              <w:left w:val="nil"/>
              <w:bottom w:val="nil"/>
              <w:right w:val="nil"/>
            </w:tcBorders>
            <w:shd w:val="clear" w:color="auto" w:fill="DAEEF3" w:themeFill="accent5" w:themeFillTint="33"/>
            <w:vAlign w:val="center"/>
          </w:tcPr>
          <w:p w14:paraId="0E26ACD5"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48</w:t>
            </w:r>
          </w:p>
        </w:tc>
        <w:tc>
          <w:tcPr>
            <w:tcW w:w="1058" w:type="dxa"/>
            <w:tcBorders>
              <w:top w:val="nil"/>
              <w:left w:val="nil"/>
              <w:bottom w:val="nil"/>
              <w:right w:val="single" w:sz="4" w:space="0" w:color="auto"/>
            </w:tcBorders>
            <w:shd w:val="clear" w:color="auto" w:fill="DAEEF3" w:themeFill="accent5" w:themeFillTint="33"/>
            <w:vAlign w:val="center"/>
          </w:tcPr>
          <w:p w14:paraId="7CC10D9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20.1</w:t>
            </w:r>
            <w:r w:rsidRPr="0011136F">
              <w:rPr>
                <w:rFonts w:asciiTheme="minorHAnsi" w:hAnsiTheme="minorHAnsi"/>
                <w:bCs/>
                <w:color w:val="000000"/>
                <w:sz w:val="16"/>
                <w:szCs w:val="16"/>
              </w:rPr>
              <w:br/>
              <w:t>(14.0 - 26.1)</w:t>
            </w:r>
          </w:p>
        </w:tc>
        <w:tc>
          <w:tcPr>
            <w:tcW w:w="1058" w:type="dxa"/>
            <w:tcBorders>
              <w:top w:val="nil"/>
              <w:left w:val="nil"/>
              <w:bottom w:val="nil"/>
              <w:right w:val="single" w:sz="4" w:space="0" w:color="auto"/>
            </w:tcBorders>
            <w:shd w:val="clear" w:color="auto" w:fill="B6DDE8" w:themeFill="accent5" w:themeFillTint="66"/>
          </w:tcPr>
          <w:p w14:paraId="15334C20" w14:textId="77777777" w:rsidR="0061321F" w:rsidRPr="0061321F" w:rsidRDefault="0061321F" w:rsidP="0061321F">
            <w:pPr>
              <w:spacing w:before="0" w:line="240" w:lineRule="auto"/>
              <w:jc w:val="center"/>
              <w:rPr>
                <w:rFonts w:asciiTheme="minorHAnsi" w:hAnsiTheme="minorHAnsi"/>
                <w:bCs/>
                <w:color w:val="000000"/>
                <w:sz w:val="16"/>
                <w:szCs w:val="16"/>
              </w:rPr>
            </w:pPr>
            <w:r w:rsidRPr="0061321F">
              <w:rPr>
                <w:rFonts w:asciiTheme="minorHAnsi" w:hAnsiTheme="minorHAnsi"/>
                <w:bCs/>
                <w:color w:val="000000"/>
                <w:sz w:val="16"/>
                <w:szCs w:val="16"/>
              </w:rPr>
              <w:t>12.1</w:t>
            </w:r>
            <w:r w:rsidRPr="0061321F">
              <w:rPr>
                <w:rFonts w:asciiTheme="minorHAnsi" w:hAnsiTheme="minorHAnsi"/>
                <w:bCs/>
                <w:color w:val="000000"/>
                <w:sz w:val="16"/>
                <w:szCs w:val="16"/>
              </w:rPr>
              <w:br/>
              <w:t>(7.9 - 18.3)</w:t>
            </w:r>
          </w:p>
        </w:tc>
        <w:tc>
          <w:tcPr>
            <w:tcW w:w="886" w:type="dxa"/>
            <w:vMerge/>
            <w:tcBorders>
              <w:left w:val="nil"/>
              <w:right w:val="single" w:sz="4" w:space="0" w:color="auto"/>
            </w:tcBorders>
            <w:shd w:val="clear" w:color="auto" w:fill="B6DDE8" w:themeFill="accent5" w:themeFillTint="66"/>
          </w:tcPr>
          <w:p w14:paraId="6BFC1B40" w14:textId="77777777" w:rsidR="0061321F" w:rsidRPr="0011136F" w:rsidRDefault="0061321F" w:rsidP="0011136F">
            <w:pPr>
              <w:spacing w:before="0" w:line="240" w:lineRule="auto"/>
              <w:jc w:val="center"/>
              <w:rPr>
                <w:rFonts w:asciiTheme="minorHAnsi" w:hAnsiTheme="minorHAnsi"/>
                <w:bCs/>
                <w:color w:val="000000"/>
                <w:sz w:val="16"/>
                <w:szCs w:val="16"/>
              </w:rPr>
            </w:pPr>
          </w:p>
        </w:tc>
      </w:tr>
      <w:tr w:rsidR="0061321F" w:rsidRPr="00AF3A24" w14:paraId="75B2EFAD" w14:textId="77777777" w:rsidTr="002C7AD1">
        <w:trPr>
          <w:jc w:val="center"/>
        </w:trPr>
        <w:tc>
          <w:tcPr>
            <w:tcW w:w="1502" w:type="dxa"/>
            <w:tcBorders>
              <w:top w:val="nil"/>
              <w:bottom w:val="single" w:sz="4" w:space="0" w:color="auto"/>
            </w:tcBorders>
            <w:shd w:val="clear" w:color="auto" w:fill="DAEEF3" w:themeFill="accent5" w:themeFillTint="33"/>
            <w:vAlign w:val="center"/>
          </w:tcPr>
          <w:p w14:paraId="55BADA11" w14:textId="77777777" w:rsidR="0061321F" w:rsidRPr="00AF3A24" w:rsidRDefault="0061321F" w:rsidP="00661C7D">
            <w:pPr>
              <w:spacing w:before="0" w:line="240" w:lineRule="auto"/>
              <w:ind w:left="153" w:hanging="153"/>
              <w:jc w:val="left"/>
              <w:rPr>
                <w:rFonts w:asciiTheme="minorHAnsi" w:hAnsiTheme="minorHAnsi"/>
              </w:rPr>
            </w:pPr>
            <w:r>
              <w:rPr>
                <w:rFonts w:asciiTheme="minorHAnsi" w:hAnsiTheme="minorHAnsi"/>
              </w:rPr>
              <w:t>Moderate-risk / Problem</w:t>
            </w:r>
          </w:p>
        </w:tc>
        <w:tc>
          <w:tcPr>
            <w:tcW w:w="714" w:type="dxa"/>
            <w:tcBorders>
              <w:top w:val="nil"/>
              <w:left w:val="nil"/>
              <w:bottom w:val="single" w:sz="4" w:space="0" w:color="auto"/>
              <w:right w:val="nil"/>
            </w:tcBorders>
            <w:shd w:val="clear" w:color="auto" w:fill="DAEEF3" w:themeFill="accent5" w:themeFillTint="33"/>
            <w:vAlign w:val="center"/>
          </w:tcPr>
          <w:p w14:paraId="7C4CB383"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40</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258F93AA"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19.5</w:t>
            </w:r>
            <w:r w:rsidRPr="0011136F">
              <w:rPr>
                <w:rFonts w:asciiTheme="minorHAnsi" w:hAnsiTheme="minorHAnsi"/>
                <w:bCs/>
                <w:color w:val="000000"/>
                <w:sz w:val="16"/>
                <w:szCs w:val="16"/>
              </w:rPr>
              <w:br/>
              <w:t>(12.0 - 26.9)</w:t>
            </w:r>
          </w:p>
        </w:tc>
        <w:tc>
          <w:tcPr>
            <w:tcW w:w="714" w:type="dxa"/>
            <w:tcBorders>
              <w:top w:val="nil"/>
              <w:left w:val="nil"/>
              <w:bottom w:val="single" w:sz="4" w:space="0" w:color="auto"/>
              <w:right w:val="nil"/>
            </w:tcBorders>
            <w:shd w:val="clear" w:color="auto" w:fill="DAEEF3" w:themeFill="accent5" w:themeFillTint="33"/>
            <w:vAlign w:val="center"/>
          </w:tcPr>
          <w:p w14:paraId="1020A9F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49</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50252DF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30.9</w:t>
            </w:r>
            <w:r w:rsidRPr="0011136F">
              <w:rPr>
                <w:rFonts w:asciiTheme="minorHAnsi" w:hAnsiTheme="minorHAnsi"/>
                <w:bCs/>
                <w:color w:val="000000"/>
                <w:sz w:val="16"/>
                <w:szCs w:val="16"/>
              </w:rPr>
              <w:br/>
              <w:t>(21.5 - 40.2)</w:t>
            </w:r>
          </w:p>
        </w:tc>
        <w:tc>
          <w:tcPr>
            <w:tcW w:w="708" w:type="dxa"/>
            <w:tcBorders>
              <w:top w:val="nil"/>
              <w:left w:val="nil"/>
              <w:bottom w:val="single" w:sz="4" w:space="0" w:color="auto"/>
              <w:right w:val="nil"/>
            </w:tcBorders>
            <w:shd w:val="clear" w:color="auto" w:fill="DAEEF3" w:themeFill="accent5" w:themeFillTint="33"/>
            <w:vAlign w:val="center"/>
          </w:tcPr>
          <w:p w14:paraId="3D613047"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44</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5485DB93"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16.3</w:t>
            </w:r>
            <w:r w:rsidRPr="0011136F">
              <w:rPr>
                <w:rFonts w:asciiTheme="minorHAnsi" w:hAnsiTheme="minorHAnsi"/>
                <w:bCs/>
                <w:color w:val="000000"/>
                <w:sz w:val="16"/>
                <w:szCs w:val="16"/>
              </w:rPr>
              <w:br/>
              <w:t>(10.4 - 22.2)</w:t>
            </w:r>
          </w:p>
        </w:tc>
        <w:tc>
          <w:tcPr>
            <w:tcW w:w="708" w:type="dxa"/>
            <w:tcBorders>
              <w:top w:val="nil"/>
              <w:left w:val="nil"/>
              <w:bottom w:val="single" w:sz="4" w:space="0" w:color="auto"/>
              <w:right w:val="nil"/>
            </w:tcBorders>
            <w:shd w:val="clear" w:color="auto" w:fill="DAEEF3" w:themeFill="accent5" w:themeFillTint="33"/>
            <w:vAlign w:val="center"/>
          </w:tcPr>
          <w:p w14:paraId="2E4570B1"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50</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39010B6C" w14:textId="77777777" w:rsidR="0061321F" w:rsidRPr="0011136F" w:rsidRDefault="0061321F" w:rsidP="0011136F">
            <w:pPr>
              <w:spacing w:before="0" w:line="240" w:lineRule="auto"/>
              <w:jc w:val="center"/>
              <w:rPr>
                <w:rFonts w:asciiTheme="minorHAnsi" w:hAnsiTheme="minorHAnsi"/>
                <w:bCs/>
                <w:color w:val="000000"/>
                <w:sz w:val="16"/>
                <w:szCs w:val="16"/>
              </w:rPr>
            </w:pPr>
            <w:r w:rsidRPr="0011136F">
              <w:rPr>
                <w:rFonts w:asciiTheme="minorHAnsi" w:hAnsiTheme="minorHAnsi"/>
                <w:bCs/>
                <w:color w:val="000000"/>
                <w:sz w:val="16"/>
                <w:szCs w:val="16"/>
              </w:rPr>
              <w:t>33.4</w:t>
            </w:r>
            <w:r w:rsidRPr="0011136F">
              <w:rPr>
                <w:rFonts w:asciiTheme="minorHAnsi" w:hAnsiTheme="minorHAnsi"/>
                <w:bCs/>
                <w:color w:val="000000"/>
                <w:sz w:val="16"/>
                <w:szCs w:val="16"/>
              </w:rPr>
              <w:br/>
              <w:t>(23.5 - 43.2)</w:t>
            </w:r>
          </w:p>
        </w:tc>
        <w:tc>
          <w:tcPr>
            <w:tcW w:w="1058" w:type="dxa"/>
            <w:tcBorders>
              <w:top w:val="nil"/>
              <w:left w:val="nil"/>
              <w:bottom w:val="single" w:sz="4" w:space="0" w:color="auto"/>
              <w:right w:val="single" w:sz="4" w:space="0" w:color="auto"/>
            </w:tcBorders>
            <w:shd w:val="clear" w:color="auto" w:fill="B6DDE8" w:themeFill="accent5" w:themeFillTint="66"/>
          </w:tcPr>
          <w:p w14:paraId="781FEEE5" w14:textId="77777777" w:rsidR="0061321F" w:rsidRPr="0061321F" w:rsidRDefault="0061321F" w:rsidP="0061321F">
            <w:pPr>
              <w:spacing w:before="0" w:line="240" w:lineRule="auto"/>
              <w:jc w:val="center"/>
              <w:rPr>
                <w:rFonts w:asciiTheme="minorHAnsi" w:hAnsiTheme="minorHAnsi"/>
                <w:bCs/>
                <w:color w:val="000000"/>
                <w:sz w:val="16"/>
                <w:szCs w:val="16"/>
              </w:rPr>
            </w:pPr>
            <w:r w:rsidRPr="0061321F">
              <w:rPr>
                <w:rFonts w:asciiTheme="minorHAnsi" w:hAnsiTheme="minorHAnsi"/>
                <w:bCs/>
                <w:color w:val="000000"/>
                <w:sz w:val="16"/>
                <w:szCs w:val="16"/>
              </w:rPr>
              <w:t>22.6</w:t>
            </w:r>
            <w:r w:rsidRPr="0061321F">
              <w:rPr>
                <w:rFonts w:asciiTheme="minorHAnsi" w:hAnsiTheme="minorHAnsi"/>
                <w:bCs/>
                <w:color w:val="000000"/>
                <w:sz w:val="16"/>
                <w:szCs w:val="16"/>
              </w:rPr>
              <w:br/>
              <w:t>(13.4 - 38.1)</w:t>
            </w:r>
          </w:p>
        </w:tc>
        <w:tc>
          <w:tcPr>
            <w:tcW w:w="886" w:type="dxa"/>
            <w:vMerge/>
            <w:tcBorders>
              <w:left w:val="nil"/>
              <w:bottom w:val="single" w:sz="4" w:space="0" w:color="auto"/>
              <w:right w:val="single" w:sz="4" w:space="0" w:color="auto"/>
            </w:tcBorders>
            <w:shd w:val="clear" w:color="auto" w:fill="B6DDE8" w:themeFill="accent5" w:themeFillTint="66"/>
          </w:tcPr>
          <w:p w14:paraId="7C1CBE06" w14:textId="77777777" w:rsidR="0061321F" w:rsidRPr="0011136F" w:rsidRDefault="0061321F" w:rsidP="0011136F">
            <w:pPr>
              <w:spacing w:before="0" w:line="240" w:lineRule="auto"/>
              <w:jc w:val="center"/>
              <w:rPr>
                <w:rFonts w:asciiTheme="minorHAnsi" w:hAnsiTheme="minorHAnsi"/>
                <w:bCs/>
                <w:color w:val="000000"/>
                <w:sz w:val="16"/>
                <w:szCs w:val="16"/>
              </w:rPr>
            </w:pPr>
          </w:p>
        </w:tc>
      </w:tr>
    </w:tbl>
    <w:p w14:paraId="6CA1B7A8" w14:textId="77777777" w:rsidR="0011136F" w:rsidRPr="00AF3A24" w:rsidRDefault="0011136F" w:rsidP="0011136F">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130F92F5" w14:textId="77777777" w:rsidR="0011136F" w:rsidRDefault="0011136F" w:rsidP="006A0B0E">
      <w:pPr>
        <w:pStyle w:val="ListParagraph"/>
        <w:numPr>
          <w:ilvl w:val="0"/>
          <w:numId w:val="43"/>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57857C45" w14:textId="77777777" w:rsidR="00DB3AF2" w:rsidRDefault="00DB3AF2" w:rsidP="006A0B0E">
      <w:pPr>
        <w:pStyle w:val="ListParagraph"/>
        <w:numPr>
          <w:ilvl w:val="0"/>
          <w:numId w:val="43"/>
        </w:numPr>
        <w:spacing w:line="240" w:lineRule="auto"/>
        <w:rPr>
          <w:rFonts w:asciiTheme="minorHAnsi" w:hAnsiTheme="minorHAnsi" w:cstheme="minorHAnsi"/>
          <w:sz w:val="16"/>
        </w:rPr>
      </w:pPr>
      <w:r>
        <w:rPr>
          <w:rFonts w:asciiTheme="minorHAnsi" w:hAnsiTheme="minorHAnsi" w:cstheme="minorHAnsi"/>
          <w:sz w:val="16"/>
        </w:rPr>
        <w:t xml:space="preserve">Modelled on the probability of </w:t>
      </w:r>
      <w:r w:rsidR="005C2DD4">
        <w:rPr>
          <w:rFonts w:asciiTheme="minorHAnsi" w:hAnsiTheme="minorHAnsi" w:cstheme="minorHAnsi"/>
          <w:sz w:val="16"/>
        </w:rPr>
        <w:t>having gambled</w:t>
      </w:r>
      <w:r>
        <w:rPr>
          <w:rFonts w:asciiTheme="minorHAnsi" w:hAnsiTheme="minorHAnsi" w:cstheme="minorHAnsi"/>
          <w:sz w:val="16"/>
        </w:rPr>
        <w:t xml:space="preserve"> on four or more activities</w:t>
      </w:r>
      <w:r w:rsidR="005C2DD4">
        <w:rPr>
          <w:rFonts w:asciiTheme="minorHAnsi" w:hAnsiTheme="minorHAnsi" w:cstheme="minorHAnsi"/>
          <w:sz w:val="16"/>
        </w:rPr>
        <w:t xml:space="preserve"> in the past year</w:t>
      </w:r>
      <w:r>
        <w:rPr>
          <w:rFonts w:asciiTheme="minorHAnsi" w:hAnsiTheme="minorHAnsi" w:cstheme="minorHAnsi"/>
          <w:sz w:val="16"/>
        </w:rPr>
        <w:t xml:space="preserve">. </w:t>
      </w:r>
    </w:p>
    <w:p w14:paraId="36FD56E8" w14:textId="77777777" w:rsidR="00DB3AF2" w:rsidRPr="003A6F37" w:rsidRDefault="00DB3AF2" w:rsidP="006A0B0E">
      <w:pPr>
        <w:pStyle w:val="ListParagraph"/>
        <w:numPr>
          <w:ilvl w:val="0"/>
          <w:numId w:val="43"/>
        </w:numPr>
        <w:spacing w:line="240" w:lineRule="auto"/>
        <w:rPr>
          <w:rFonts w:asciiTheme="minorHAnsi" w:hAnsiTheme="minorHAnsi" w:cstheme="minorHAnsi"/>
          <w:sz w:val="16"/>
        </w:rPr>
      </w:pPr>
      <w:r w:rsidRPr="00AF3A24">
        <w:rPr>
          <w:rFonts w:asciiTheme="minorHAnsi" w:hAnsiTheme="minorHAnsi" w:cstheme="minorHAnsi"/>
          <w:sz w:val="16"/>
        </w:rPr>
        <w:t>Logistic regression analyses have controlled for gender, age, ethnicity, neighbourhood deprivation, and geography (urban/rural).</w:t>
      </w:r>
    </w:p>
    <w:p w14:paraId="2FFBD514" w14:textId="77777777" w:rsidR="00D75112" w:rsidRPr="00AF3A24" w:rsidRDefault="00D75112" w:rsidP="00D75112">
      <w:pPr>
        <w:spacing w:before="0" w:after="200" w:line="276" w:lineRule="auto"/>
        <w:jc w:val="left"/>
        <w:rPr>
          <w:rFonts w:asciiTheme="minorHAnsi" w:hAnsiTheme="minorHAnsi" w:cstheme="minorHAnsi"/>
          <w:b/>
          <w:bCs/>
          <w:iCs/>
          <w:color w:val="1F497D"/>
          <w:szCs w:val="22"/>
        </w:rPr>
      </w:pPr>
    </w:p>
    <w:p w14:paraId="6B2A2F16" w14:textId="3CB2E638" w:rsidR="0035174C" w:rsidRDefault="0035174C">
      <w:pPr>
        <w:spacing w:before="0" w:after="200" w:line="276" w:lineRule="auto"/>
        <w:jc w:val="left"/>
        <w:rPr>
          <w:rFonts w:asciiTheme="minorHAnsi" w:hAnsiTheme="minorHAnsi" w:cstheme="minorHAnsi"/>
          <w:b/>
          <w:bCs/>
          <w:iCs/>
          <w:color w:val="1F497D"/>
          <w:szCs w:val="22"/>
        </w:rPr>
      </w:pPr>
    </w:p>
    <w:p w14:paraId="4C5D627E" w14:textId="77777777" w:rsidR="007E2FC5" w:rsidRDefault="00200E0F" w:rsidP="00F061EF">
      <w:pPr>
        <w:pStyle w:val="Heading2"/>
      </w:pPr>
      <w:bookmarkStart w:id="127" w:name="_Toc403833175"/>
      <w:r>
        <w:t>SUMMARY</w:t>
      </w:r>
      <w:r w:rsidR="007E2FC5" w:rsidRPr="00F77152">
        <w:t xml:space="preserve">: </w:t>
      </w:r>
      <w:r w:rsidR="00EB5023" w:rsidRPr="00F77152">
        <w:t>PROBLEM</w:t>
      </w:r>
      <w:r w:rsidR="00EB5023">
        <w:t>ATIC</w:t>
      </w:r>
      <w:r w:rsidR="00EB5023" w:rsidRPr="00F77152">
        <w:t xml:space="preserve"> GAMBLING</w:t>
      </w:r>
      <w:bookmarkEnd w:id="127"/>
    </w:p>
    <w:p w14:paraId="35984D39" w14:textId="77777777" w:rsidR="00591BC8" w:rsidRPr="00F77152" w:rsidRDefault="00591BC8" w:rsidP="00207420">
      <w:pPr>
        <w:spacing w:line="360" w:lineRule="auto"/>
        <w:rPr>
          <w:rFonts w:asciiTheme="minorHAnsi" w:hAnsiTheme="minorHAnsi" w:cstheme="minorHAnsi"/>
          <w:b/>
          <w:color w:val="1F497D"/>
        </w:rPr>
      </w:pPr>
      <w:r w:rsidRPr="00F77152">
        <w:rPr>
          <w:rFonts w:asciiTheme="minorHAnsi" w:hAnsiTheme="minorHAnsi" w:cstheme="minorHAnsi"/>
          <w:b/>
          <w:color w:val="1F497D"/>
        </w:rPr>
        <w:t>PGSI item endorsement and prevalence of problem gambling:</w:t>
      </w:r>
    </w:p>
    <w:p w14:paraId="2ED74831" w14:textId="77777777" w:rsidR="00F77152" w:rsidRPr="00F77152" w:rsidRDefault="00F77152" w:rsidP="004F129A">
      <w:pPr>
        <w:pStyle w:val="ListParagraph"/>
        <w:numPr>
          <w:ilvl w:val="0"/>
          <w:numId w:val="61"/>
        </w:numPr>
        <w:spacing w:after="200"/>
        <w:rPr>
          <w:rFonts w:asciiTheme="minorHAnsi" w:hAnsiTheme="minorHAnsi" w:cstheme="minorHAnsi"/>
        </w:rPr>
      </w:pPr>
      <w:r w:rsidRPr="00F77152">
        <w:rPr>
          <w:rFonts w:asciiTheme="minorHAnsi" w:hAnsiTheme="minorHAnsi" w:cstheme="minorHAnsi"/>
        </w:rPr>
        <w:t xml:space="preserve">Loss of control, feelings of guilt, and chasing losses were </w:t>
      </w:r>
      <w:r w:rsidR="001D72B0">
        <w:rPr>
          <w:rFonts w:asciiTheme="minorHAnsi" w:hAnsiTheme="minorHAnsi" w:cstheme="minorHAnsi"/>
        </w:rPr>
        <w:t xml:space="preserve">the </w:t>
      </w:r>
      <w:r w:rsidRPr="00F77152">
        <w:rPr>
          <w:rFonts w:asciiTheme="minorHAnsi" w:hAnsiTheme="minorHAnsi" w:cstheme="minorHAnsi"/>
        </w:rPr>
        <w:t xml:space="preserve">most frequently endorsed </w:t>
      </w:r>
      <w:r>
        <w:rPr>
          <w:rFonts w:asciiTheme="minorHAnsi" w:hAnsiTheme="minorHAnsi" w:cstheme="minorHAnsi"/>
        </w:rPr>
        <w:t>items on the</w:t>
      </w:r>
      <w:r w:rsidRPr="00F77152">
        <w:rPr>
          <w:rFonts w:asciiTheme="minorHAnsi" w:hAnsiTheme="minorHAnsi" w:cstheme="minorHAnsi"/>
        </w:rPr>
        <w:t xml:space="preserve"> </w:t>
      </w:r>
      <w:r>
        <w:rPr>
          <w:rFonts w:asciiTheme="minorHAnsi" w:hAnsiTheme="minorHAnsi" w:cstheme="minorHAnsi"/>
        </w:rPr>
        <w:t>PGSI</w:t>
      </w:r>
      <w:r w:rsidRPr="00F77152">
        <w:rPr>
          <w:rFonts w:asciiTheme="minorHAnsi" w:hAnsiTheme="minorHAnsi" w:cstheme="minorHAnsi"/>
        </w:rPr>
        <w:t>.</w:t>
      </w:r>
    </w:p>
    <w:p w14:paraId="13F95A64" w14:textId="77777777" w:rsidR="007E2FC5" w:rsidRPr="00877D79" w:rsidRDefault="00877D79" w:rsidP="004F129A">
      <w:pPr>
        <w:pStyle w:val="ListParagraph"/>
        <w:numPr>
          <w:ilvl w:val="0"/>
          <w:numId w:val="61"/>
        </w:numPr>
        <w:spacing w:after="200"/>
        <w:rPr>
          <w:rFonts w:asciiTheme="minorHAnsi" w:hAnsiTheme="minorHAnsi" w:cstheme="minorHAnsi"/>
        </w:rPr>
      </w:pPr>
      <w:r>
        <w:rPr>
          <w:rFonts w:asciiTheme="minorHAnsi" w:hAnsiTheme="minorHAnsi"/>
        </w:rPr>
        <w:t>1.2% of the adult population satisfied the criteria for moderate-risk/problem gambling (1.0% - moderate-risk and 0.2% - problem).</w:t>
      </w:r>
      <w:r w:rsidR="00A04550">
        <w:rPr>
          <w:rFonts w:asciiTheme="minorHAnsi" w:hAnsiTheme="minorHAnsi"/>
        </w:rPr>
        <w:t xml:space="preserve">  A further </w:t>
      </w:r>
      <w:r w:rsidR="00DE2F14">
        <w:rPr>
          <w:rFonts w:asciiTheme="minorHAnsi" w:hAnsiTheme="minorHAnsi"/>
        </w:rPr>
        <w:t>two percent</w:t>
      </w:r>
      <w:r w:rsidR="00A04550">
        <w:rPr>
          <w:rFonts w:asciiTheme="minorHAnsi" w:hAnsiTheme="minorHAnsi"/>
        </w:rPr>
        <w:t xml:space="preserve"> satisfied the criteria for low-risk gambling. </w:t>
      </w:r>
    </w:p>
    <w:p w14:paraId="600D78F4" w14:textId="77777777" w:rsidR="00877D79" w:rsidRPr="00207420" w:rsidRDefault="00207420" w:rsidP="004F129A">
      <w:pPr>
        <w:pStyle w:val="ListParagraph"/>
        <w:numPr>
          <w:ilvl w:val="0"/>
          <w:numId w:val="61"/>
        </w:numPr>
        <w:spacing w:after="200"/>
        <w:rPr>
          <w:rFonts w:asciiTheme="minorHAnsi" w:hAnsiTheme="minorHAnsi" w:cstheme="minorHAnsi"/>
        </w:rPr>
      </w:pPr>
      <w:r w:rsidRPr="00BD74CF">
        <w:rPr>
          <w:rFonts w:asciiTheme="minorHAnsi" w:hAnsiTheme="minorHAnsi"/>
        </w:rPr>
        <w:t>Significant changes</w:t>
      </w:r>
      <w:r>
        <w:rPr>
          <w:rFonts w:asciiTheme="minorHAnsi" w:hAnsiTheme="minorHAnsi"/>
        </w:rPr>
        <w:t xml:space="preserve"> </w:t>
      </w:r>
      <w:r w:rsidRPr="00BD74CF">
        <w:rPr>
          <w:rFonts w:asciiTheme="minorHAnsi" w:hAnsiTheme="minorHAnsi"/>
        </w:rPr>
        <w:t xml:space="preserve">were observed in the distribution of PGSI scores </w:t>
      </w:r>
      <w:r>
        <w:rPr>
          <w:rFonts w:asciiTheme="minorHAnsi" w:hAnsiTheme="minorHAnsi"/>
        </w:rPr>
        <w:t>from</w:t>
      </w:r>
      <w:r w:rsidRPr="00BD74CF">
        <w:rPr>
          <w:rFonts w:asciiTheme="minorHAnsi" w:hAnsiTheme="minorHAnsi"/>
        </w:rPr>
        <w:t xml:space="preserve"> the 2006/07 and 2011/12 survey waves</w:t>
      </w:r>
      <w:r>
        <w:rPr>
          <w:rFonts w:asciiTheme="minorHAnsi" w:hAnsiTheme="minorHAnsi"/>
        </w:rPr>
        <w:t xml:space="preserve">: </w:t>
      </w:r>
      <w:r w:rsidR="00A6275E">
        <w:rPr>
          <w:rFonts w:asciiTheme="minorHAnsi" w:hAnsiTheme="minorHAnsi"/>
        </w:rPr>
        <w:t xml:space="preserve">while very little change occurred in the prevalence of problem gambling, </w:t>
      </w:r>
      <w:r>
        <w:rPr>
          <w:rFonts w:asciiTheme="minorHAnsi" w:hAnsiTheme="minorHAnsi"/>
        </w:rPr>
        <w:t xml:space="preserve">the proportion of non-gamblers increased and the proportions of non-problem/recreational and low-risk gamblers decreased. </w:t>
      </w:r>
    </w:p>
    <w:p w14:paraId="7FE6258B" w14:textId="77777777" w:rsidR="00207420" w:rsidRPr="0095598E" w:rsidRDefault="0095598E" w:rsidP="0095598E">
      <w:pPr>
        <w:spacing w:line="360" w:lineRule="auto"/>
        <w:rPr>
          <w:rFonts w:asciiTheme="minorHAnsi" w:hAnsiTheme="minorHAnsi" w:cstheme="minorHAnsi"/>
          <w:b/>
          <w:color w:val="1F497D"/>
        </w:rPr>
      </w:pPr>
      <w:r w:rsidRPr="0095598E">
        <w:rPr>
          <w:rFonts w:asciiTheme="minorHAnsi" w:hAnsiTheme="minorHAnsi" w:cstheme="minorHAnsi"/>
          <w:b/>
          <w:color w:val="1F497D"/>
        </w:rPr>
        <w:t>Profile of people experiencing problem gambling</w:t>
      </w:r>
    </w:p>
    <w:p w14:paraId="3B3B3DD5" w14:textId="77777777" w:rsidR="00207420" w:rsidRDefault="00FC7235" w:rsidP="004F129A">
      <w:pPr>
        <w:pStyle w:val="ListParagraph"/>
        <w:numPr>
          <w:ilvl w:val="0"/>
          <w:numId w:val="61"/>
        </w:numPr>
        <w:spacing w:after="200"/>
        <w:rPr>
          <w:rFonts w:asciiTheme="minorHAnsi" w:hAnsiTheme="minorHAnsi" w:cstheme="minorHAnsi"/>
        </w:rPr>
      </w:pPr>
      <w:r>
        <w:rPr>
          <w:rFonts w:asciiTheme="minorHAnsi" w:hAnsiTheme="minorHAnsi" w:cstheme="minorHAnsi"/>
        </w:rPr>
        <w:t xml:space="preserve">Adults that satisfied the criteria for moderate-risk/problem gambling were more likely to be male, aged 25-34 or 45-54, identify as Māori or Pacific, </w:t>
      </w:r>
      <w:r w:rsidR="00281D05">
        <w:rPr>
          <w:rFonts w:asciiTheme="minorHAnsi" w:hAnsiTheme="minorHAnsi" w:cstheme="minorHAnsi"/>
        </w:rPr>
        <w:t xml:space="preserve">and </w:t>
      </w:r>
      <w:r>
        <w:rPr>
          <w:rFonts w:asciiTheme="minorHAnsi" w:hAnsiTheme="minorHAnsi" w:cstheme="minorHAnsi"/>
        </w:rPr>
        <w:t>liv</w:t>
      </w:r>
      <w:r w:rsidR="001D72B0">
        <w:rPr>
          <w:rFonts w:asciiTheme="minorHAnsi" w:hAnsiTheme="minorHAnsi" w:cstheme="minorHAnsi"/>
        </w:rPr>
        <w:t>e</w:t>
      </w:r>
      <w:r>
        <w:rPr>
          <w:rFonts w:asciiTheme="minorHAnsi" w:hAnsiTheme="minorHAnsi" w:cstheme="minorHAnsi"/>
        </w:rPr>
        <w:t xml:space="preserve"> in </w:t>
      </w:r>
      <w:r w:rsidR="00281D05">
        <w:rPr>
          <w:rFonts w:asciiTheme="minorHAnsi" w:hAnsiTheme="minorHAnsi" w:cstheme="minorHAnsi"/>
        </w:rPr>
        <w:t xml:space="preserve">urban </w:t>
      </w:r>
      <w:r>
        <w:rPr>
          <w:rFonts w:asciiTheme="minorHAnsi" w:hAnsiTheme="minorHAnsi" w:cstheme="minorHAnsi"/>
        </w:rPr>
        <w:t>neighbourhoods with high</w:t>
      </w:r>
      <w:r w:rsidR="00281D05">
        <w:rPr>
          <w:rFonts w:asciiTheme="minorHAnsi" w:hAnsiTheme="minorHAnsi" w:cstheme="minorHAnsi"/>
        </w:rPr>
        <w:t>er</w:t>
      </w:r>
      <w:r>
        <w:rPr>
          <w:rFonts w:asciiTheme="minorHAnsi" w:hAnsiTheme="minorHAnsi" w:cstheme="minorHAnsi"/>
        </w:rPr>
        <w:t xml:space="preserve"> levels of deprivation</w:t>
      </w:r>
      <w:r w:rsidR="00D80B62">
        <w:rPr>
          <w:rFonts w:asciiTheme="minorHAnsi" w:hAnsiTheme="minorHAnsi" w:cstheme="minorHAnsi"/>
        </w:rPr>
        <w:t xml:space="preserve">. </w:t>
      </w:r>
    </w:p>
    <w:p w14:paraId="6ABFE36D" w14:textId="77777777" w:rsidR="00D80B62" w:rsidRPr="00D80B62" w:rsidRDefault="00D80B62" w:rsidP="00DC0682">
      <w:pPr>
        <w:keepNext/>
        <w:spacing w:line="360" w:lineRule="auto"/>
        <w:rPr>
          <w:rFonts w:asciiTheme="minorHAnsi" w:hAnsiTheme="minorHAnsi" w:cstheme="minorHAnsi"/>
          <w:b/>
          <w:color w:val="1F497D"/>
        </w:rPr>
      </w:pPr>
      <w:r w:rsidRPr="00D80B62">
        <w:rPr>
          <w:rFonts w:asciiTheme="minorHAnsi" w:hAnsiTheme="minorHAnsi" w:cstheme="minorHAnsi"/>
          <w:b/>
          <w:color w:val="1F497D"/>
        </w:rPr>
        <w:lastRenderedPageBreak/>
        <w:t>Problem gambling – risks associated with different gambling activities</w:t>
      </w:r>
    </w:p>
    <w:p w14:paraId="5E84BEA3" w14:textId="77777777" w:rsidR="007E2FC5" w:rsidRDefault="00990C33" w:rsidP="004F129A">
      <w:pPr>
        <w:pStyle w:val="ListParagraph"/>
        <w:numPr>
          <w:ilvl w:val="0"/>
          <w:numId w:val="61"/>
        </w:numPr>
        <w:spacing w:after="200"/>
        <w:rPr>
          <w:rFonts w:asciiTheme="minorHAnsi" w:hAnsiTheme="minorHAnsi" w:cstheme="minorHAnsi"/>
        </w:rPr>
      </w:pPr>
      <w:r>
        <w:rPr>
          <w:rFonts w:asciiTheme="minorHAnsi" w:hAnsiTheme="minorHAnsi" w:cstheme="minorHAnsi"/>
        </w:rPr>
        <w:t>T</w:t>
      </w:r>
      <w:r w:rsidRPr="00990C33">
        <w:rPr>
          <w:rFonts w:asciiTheme="minorHAnsi" w:hAnsiTheme="minorHAnsi" w:cstheme="minorHAnsi"/>
        </w:rPr>
        <w:t>here was a</w:t>
      </w:r>
      <w:r>
        <w:rPr>
          <w:rFonts w:asciiTheme="minorHAnsi" w:hAnsiTheme="minorHAnsi" w:cstheme="minorHAnsi"/>
        </w:rPr>
        <w:t>n overall</w:t>
      </w:r>
      <w:r w:rsidRPr="00990C33">
        <w:rPr>
          <w:rFonts w:asciiTheme="minorHAnsi" w:hAnsiTheme="minorHAnsi" w:cstheme="minorHAnsi"/>
        </w:rPr>
        <w:t xml:space="preserve"> trend for the severity of gambling problems to increase </w:t>
      </w:r>
      <w:r w:rsidR="00E710AE">
        <w:rPr>
          <w:rFonts w:asciiTheme="minorHAnsi" w:hAnsiTheme="minorHAnsi" w:cstheme="minorHAnsi"/>
        </w:rPr>
        <w:t xml:space="preserve">along </w:t>
      </w:r>
      <w:r w:rsidRPr="00990C33">
        <w:rPr>
          <w:rFonts w:asciiTheme="minorHAnsi" w:hAnsiTheme="minorHAnsi" w:cstheme="minorHAnsi"/>
        </w:rPr>
        <w:t>with rate of participation in each gambling activity</w:t>
      </w:r>
      <w:r>
        <w:rPr>
          <w:rFonts w:asciiTheme="minorHAnsi" w:hAnsiTheme="minorHAnsi" w:cstheme="minorHAnsi"/>
        </w:rPr>
        <w:t xml:space="preserve">. </w:t>
      </w:r>
    </w:p>
    <w:p w14:paraId="25925E97" w14:textId="77777777" w:rsidR="00907017" w:rsidRPr="00907017" w:rsidRDefault="00494DEB" w:rsidP="004F129A">
      <w:pPr>
        <w:pStyle w:val="ListParagraph"/>
        <w:numPr>
          <w:ilvl w:val="0"/>
          <w:numId w:val="61"/>
        </w:numPr>
        <w:rPr>
          <w:rFonts w:asciiTheme="minorHAnsi" w:hAnsiTheme="minorHAnsi"/>
        </w:rPr>
      </w:pPr>
      <w:r>
        <w:rPr>
          <w:rFonts w:asciiTheme="minorHAnsi" w:hAnsiTheme="minorHAnsi"/>
        </w:rPr>
        <w:t xml:space="preserve">EGMs </w:t>
      </w:r>
      <w:r w:rsidR="00907017" w:rsidRPr="00907017">
        <w:rPr>
          <w:rFonts w:asciiTheme="minorHAnsi" w:hAnsiTheme="minorHAnsi"/>
        </w:rPr>
        <w:t xml:space="preserve">were associated with </w:t>
      </w:r>
      <w:r w:rsidR="00907017">
        <w:rPr>
          <w:rFonts w:asciiTheme="minorHAnsi" w:hAnsiTheme="minorHAnsi"/>
        </w:rPr>
        <w:t>the highest risk of problematic gambling</w:t>
      </w:r>
      <w:r w:rsidR="00907017" w:rsidRPr="00907017">
        <w:rPr>
          <w:rFonts w:asciiTheme="minorHAnsi" w:hAnsiTheme="minorHAnsi"/>
        </w:rPr>
        <w:t xml:space="preserve">.  Moderate-risk/problem gamblers were 14 times more likely to have gambled on any </w:t>
      </w:r>
      <w:r>
        <w:rPr>
          <w:rFonts w:asciiTheme="minorHAnsi" w:hAnsiTheme="minorHAnsi"/>
        </w:rPr>
        <w:t xml:space="preserve">EGM </w:t>
      </w:r>
      <w:r w:rsidR="00907017" w:rsidRPr="00907017">
        <w:rPr>
          <w:rFonts w:asciiTheme="minorHAnsi" w:hAnsiTheme="minorHAnsi"/>
        </w:rPr>
        <w:t xml:space="preserve">and 13 times more likely to have gambled on non-casino </w:t>
      </w:r>
      <w:r>
        <w:rPr>
          <w:rFonts w:asciiTheme="minorHAnsi" w:hAnsiTheme="minorHAnsi"/>
        </w:rPr>
        <w:t xml:space="preserve">EGMs </w:t>
      </w:r>
      <w:r w:rsidR="00907017" w:rsidRPr="00907017">
        <w:rPr>
          <w:rFonts w:asciiTheme="minorHAnsi" w:hAnsiTheme="minorHAnsi"/>
        </w:rPr>
        <w:t xml:space="preserve">than non-problem/recreational gamblers. </w:t>
      </w:r>
    </w:p>
    <w:p w14:paraId="7B43857E" w14:textId="77777777" w:rsidR="00E46FAD" w:rsidRDefault="00E46FAD" w:rsidP="00E46FAD">
      <w:pPr>
        <w:spacing w:line="360" w:lineRule="auto"/>
        <w:rPr>
          <w:rFonts w:asciiTheme="minorHAnsi" w:hAnsiTheme="minorHAnsi" w:cstheme="minorHAnsi"/>
          <w:b/>
          <w:color w:val="1F497D"/>
        </w:rPr>
      </w:pPr>
      <w:r w:rsidRPr="00E46FAD">
        <w:rPr>
          <w:rFonts w:asciiTheme="minorHAnsi" w:hAnsiTheme="minorHAnsi" w:cstheme="minorHAnsi"/>
          <w:b/>
          <w:color w:val="1F497D"/>
        </w:rPr>
        <w:t xml:space="preserve">Problem gambling </w:t>
      </w:r>
      <w:r>
        <w:rPr>
          <w:rFonts w:asciiTheme="minorHAnsi" w:hAnsiTheme="minorHAnsi" w:cstheme="minorHAnsi"/>
          <w:b/>
          <w:color w:val="1F497D"/>
        </w:rPr>
        <w:t>and number of gambling activities</w:t>
      </w:r>
    </w:p>
    <w:p w14:paraId="68652D47" w14:textId="77777777" w:rsidR="007F08FF" w:rsidRDefault="00E46FAD" w:rsidP="004F129A">
      <w:pPr>
        <w:pStyle w:val="ListParagraph"/>
        <w:numPr>
          <w:ilvl w:val="0"/>
          <w:numId w:val="61"/>
        </w:numPr>
        <w:rPr>
          <w:rFonts w:asciiTheme="minorHAnsi" w:hAnsiTheme="minorHAnsi"/>
        </w:rPr>
      </w:pPr>
      <w:r>
        <w:rPr>
          <w:rFonts w:asciiTheme="minorHAnsi" w:hAnsiTheme="minorHAnsi"/>
        </w:rPr>
        <w:t xml:space="preserve">The prevalence of gambling on ‘four or more’ activities increased </w:t>
      </w:r>
      <w:r w:rsidR="007F08FF">
        <w:rPr>
          <w:rFonts w:asciiTheme="minorHAnsi" w:hAnsiTheme="minorHAnsi"/>
        </w:rPr>
        <w:t xml:space="preserve">significantly </w:t>
      </w:r>
      <w:r>
        <w:rPr>
          <w:rFonts w:asciiTheme="minorHAnsi" w:hAnsiTheme="minorHAnsi"/>
        </w:rPr>
        <w:t>with problem gambling severity</w:t>
      </w:r>
      <w:r w:rsidR="00455BE9">
        <w:rPr>
          <w:rFonts w:asciiTheme="minorHAnsi" w:hAnsiTheme="minorHAnsi"/>
        </w:rPr>
        <w:t>:</w:t>
      </w:r>
      <w:r>
        <w:rPr>
          <w:rFonts w:asciiTheme="minorHAnsi" w:hAnsiTheme="minorHAnsi"/>
        </w:rPr>
        <w:t xml:space="preserve">  </w:t>
      </w:r>
    </w:p>
    <w:p w14:paraId="0C86FC66" w14:textId="77777777" w:rsidR="007F08FF" w:rsidRDefault="00E46FAD" w:rsidP="004F129A">
      <w:pPr>
        <w:pStyle w:val="ListParagraph"/>
        <w:numPr>
          <w:ilvl w:val="1"/>
          <w:numId w:val="61"/>
        </w:numPr>
        <w:rPr>
          <w:rFonts w:asciiTheme="minorHAnsi" w:hAnsiTheme="minorHAnsi"/>
        </w:rPr>
      </w:pPr>
      <w:r>
        <w:rPr>
          <w:rFonts w:asciiTheme="minorHAnsi" w:hAnsiTheme="minorHAnsi"/>
        </w:rPr>
        <w:t>One-third (33%)</w:t>
      </w:r>
      <w:r w:rsidRPr="00003305">
        <w:rPr>
          <w:rFonts w:asciiTheme="minorHAnsi" w:hAnsiTheme="minorHAnsi"/>
        </w:rPr>
        <w:t xml:space="preserve"> </w:t>
      </w:r>
      <w:r>
        <w:rPr>
          <w:rFonts w:asciiTheme="minorHAnsi" w:hAnsiTheme="minorHAnsi"/>
        </w:rPr>
        <w:t>of moderate-risk/problem gamblers had gambled on ‘four or more’ activities, compared with less than one in 20 (4%) non-problem/recreational gamblers.</w:t>
      </w:r>
    </w:p>
    <w:p w14:paraId="318D9558" w14:textId="77777777" w:rsidR="00EC163A" w:rsidRPr="007F08FF" w:rsidRDefault="007F08FF" w:rsidP="004F129A">
      <w:pPr>
        <w:pStyle w:val="ListParagraph"/>
        <w:numPr>
          <w:ilvl w:val="1"/>
          <w:numId w:val="61"/>
        </w:numPr>
        <w:rPr>
          <w:rFonts w:asciiTheme="minorHAnsi" w:hAnsiTheme="minorHAnsi"/>
        </w:rPr>
      </w:pPr>
      <w:r w:rsidRPr="007F08FF">
        <w:rPr>
          <w:rFonts w:asciiTheme="minorHAnsi" w:hAnsiTheme="minorHAnsi"/>
        </w:rPr>
        <w:t xml:space="preserve">Compared with non-problem/recreational gamblers, </w:t>
      </w:r>
      <w:r>
        <w:rPr>
          <w:rFonts w:asciiTheme="minorHAnsi" w:hAnsiTheme="minorHAnsi"/>
        </w:rPr>
        <w:t>l</w:t>
      </w:r>
      <w:r w:rsidRPr="007F08FF">
        <w:rPr>
          <w:rFonts w:asciiTheme="minorHAnsi" w:hAnsiTheme="minorHAnsi"/>
        </w:rPr>
        <w:t xml:space="preserve">ow-risk and moderate-risk/problem gamblers were 12 (OR 12.1) and 23 (OR 22.6) times more likely (respectively), to have gambled on ‘four or more’ activities in the past 12 months. </w:t>
      </w:r>
    </w:p>
    <w:p w14:paraId="1FA724F7" w14:textId="77777777" w:rsidR="00A17391" w:rsidRPr="0061656B" w:rsidRDefault="00A17391" w:rsidP="00A17391">
      <w:pPr>
        <w:spacing w:line="360" w:lineRule="auto"/>
        <w:rPr>
          <w:rFonts w:asciiTheme="minorHAnsi" w:hAnsiTheme="minorHAnsi" w:cstheme="minorHAnsi"/>
          <w:b/>
          <w:color w:val="1F497D"/>
        </w:rPr>
      </w:pPr>
      <w:r>
        <w:rPr>
          <w:rFonts w:asciiTheme="minorHAnsi" w:hAnsiTheme="minorHAnsi" w:cstheme="minorHAnsi"/>
          <w:b/>
          <w:color w:val="1F497D"/>
        </w:rPr>
        <w:t xml:space="preserve">Problematic gambling: </w:t>
      </w:r>
      <w:r w:rsidRPr="0061656B">
        <w:rPr>
          <w:rFonts w:asciiTheme="minorHAnsi" w:hAnsiTheme="minorHAnsi" w:cstheme="minorHAnsi"/>
          <w:b/>
          <w:color w:val="1F497D"/>
        </w:rPr>
        <w:t>Comparison of 2011/12 NZHS and the 2012 National Gambling Study</w:t>
      </w:r>
    </w:p>
    <w:p w14:paraId="6A41E2F5" w14:textId="5C0B3570" w:rsidR="00A17391" w:rsidRPr="00A17391" w:rsidRDefault="00A17391" w:rsidP="00D51FC7">
      <w:pPr>
        <w:pStyle w:val="ListParagraph"/>
        <w:numPr>
          <w:ilvl w:val="0"/>
          <w:numId w:val="61"/>
        </w:numPr>
        <w:rPr>
          <w:rFonts w:asciiTheme="minorHAnsi" w:hAnsiTheme="minorHAnsi"/>
        </w:rPr>
      </w:pPr>
      <w:r w:rsidRPr="00A17391">
        <w:rPr>
          <w:rFonts w:asciiTheme="minorHAnsi" w:hAnsiTheme="minorHAnsi"/>
        </w:rPr>
        <w:t xml:space="preserve">This study found that three percent, or an estimated 112,800 adults, were experiencing some level of harm and/or negative consequences as a result of their gambling; just over one percent satisfied the PGSI past-year criteria for moderate-risk/problem gambling </w:t>
      </w:r>
      <w:r w:rsidR="00283C4C" w:rsidRPr="007A6027">
        <w:rPr>
          <w:rFonts w:asciiTheme="minorHAnsi" w:hAnsiTheme="minorHAnsi"/>
        </w:rPr>
        <w:t xml:space="preserve"> (1.0% - moderate-risk and 0.2% - problem)</w:t>
      </w:r>
      <w:r w:rsidR="00283C4C">
        <w:rPr>
          <w:rFonts w:asciiTheme="minorHAnsi" w:hAnsiTheme="minorHAnsi"/>
        </w:rPr>
        <w:t xml:space="preserve"> </w:t>
      </w:r>
      <w:r w:rsidRPr="00A17391">
        <w:rPr>
          <w:rFonts w:asciiTheme="minorHAnsi" w:hAnsiTheme="minorHAnsi"/>
        </w:rPr>
        <w:t xml:space="preserve">and a further two percent satisfied the criteria for low-risk gambling.  These estimates are </w:t>
      </w:r>
      <w:r w:rsidR="00283C4C">
        <w:rPr>
          <w:rFonts w:asciiTheme="minorHAnsi" w:hAnsiTheme="minorHAnsi"/>
        </w:rPr>
        <w:t>lower</w:t>
      </w:r>
      <w:r w:rsidRPr="00A17391">
        <w:rPr>
          <w:rFonts w:asciiTheme="minorHAnsi" w:hAnsiTheme="minorHAnsi"/>
        </w:rPr>
        <w:t xml:space="preserve"> than those obtained by the National Gambling Study, which estimates that 2.5% of adults are moderate-risk/problem gamblers </w:t>
      </w:r>
      <w:r w:rsidR="00283C4C">
        <w:rPr>
          <w:rFonts w:asciiTheme="minorHAnsi" w:hAnsiTheme="minorHAnsi"/>
        </w:rPr>
        <w:t>(</w:t>
      </w:r>
      <w:r w:rsidR="00D51FC7">
        <w:rPr>
          <w:rFonts w:asciiTheme="minorHAnsi" w:hAnsiTheme="minorHAnsi"/>
        </w:rPr>
        <w:t xml:space="preserve">1.8% moderate-risk, </w:t>
      </w:r>
      <w:r w:rsidR="00283C4C">
        <w:rPr>
          <w:rFonts w:asciiTheme="minorHAnsi" w:hAnsiTheme="minorHAnsi"/>
        </w:rPr>
        <w:t xml:space="preserve">0.7% problem gambling) </w:t>
      </w:r>
      <w:r w:rsidRPr="00A17391">
        <w:rPr>
          <w:rFonts w:asciiTheme="minorHAnsi" w:hAnsiTheme="minorHAnsi"/>
        </w:rPr>
        <w:t>and a further five percent satisfy the criteria for low-risk gambling.</w:t>
      </w:r>
    </w:p>
    <w:p w14:paraId="7CACB8ED" w14:textId="77777777" w:rsidR="00A17391" w:rsidRPr="00A17391" w:rsidRDefault="00A17391" w:rsidP="00A17391">
      <w:pPr>
        <w:pStyle w:val="ListParagraph"/>
        <w:numPr>
          <w:ilvl w:val="0"/>
          <w:numId w:val="61"/>
        </w:numPr>
        <w:rPr>
          <w:rFonts w:asciiTheme="minorHAnsi" w:hAnsiTheme="minorHAnsi"/>
        </w:rPr>
      </w:pPr>
      <w:r w:rsidRPr="00A17391">
        <w:rPr>
          <w:rFonts w:asciiTheme="minorHAnsi" w:hAnsiTheme="minorHAnsi"/>
        </w:rPr>
        <w:t xml:space="preserve">Adults that satisfied the criteria for moderate-risk/problem gambling were more likely to be male, aged 25-34 or 45-54, identify as Māori or Pacific, and live in urban neighbourhoods with higher levels of deprivation.  </w:t>
      </w:r>
      <w:r w:rsidRPr="00A17391">
        <w:rPr>
          <w:rFonts w:asciiTheme="minorHAnsi" w:hAnsiTheme="minorHAnsi"/>
        </w:rPr>
        <w:lastRenderedPageBreak/>
        <w:t>This is largely congruent with other research, although the National Gambling Study did not find any significant age differences.</w:t>
      </w:r>
    </w:p>
    <w:p w14:paraId="093F59D5" w14:textId="77777777" w:rsidR="00A17391" w:rsidRPr="00A17391" w:rsidRDefault="00A17391" w:rsidP="00A17391">
      <w:pPr>
        <w:pStyle w:val="ListParagraph"/>
        <w:numPr>
          <w:ilvl w:val="0"/>
          <w:numId w:val="61"/>
        </w:numPr>
        <w:rPr>
          <w:rFonts w:asciiTheme="minorHAnsi" w:hAnsiTheme="minorHAnsi"/>
        </w:rPr>
      </w:pPr>
      <w:r w:rsidRPr="00A17391">
        <w:rPr>
          <w:rFonts w:asciiTheme="minorHAnsi" w:hAnsiTheme="minorHAnsi"/>
        </w:rPr>
        <w:t>There was evidence that problem gamblers have a greater overall involvement in gambling; the prevalence of problem gambling increased along with the number of activities that adults had gambled on.  A relationship between a greater number of gambling activities and an increased risk of problem gambling was also observed in the National Gambling Study.</w:t>
      </w:r>
    </w:p>
    <w:p w14:paraId="5E65EC10" w14:textId="77777777" w:rsidR="0069395F" w:rsidRDefault="006E6024" w:rsidP="0069395F">
      <w:pPr>
        <w:pStyle w:val="Heading1"/>
        <w:rPr>
          <w:rFonts w:asciiTheme="minorHAnsi" w:hAnsiTheme="minorHAnsi" w:cstheme="minorHAnsi"/>
          <w:caps w:val="0"/>
        </w:rPr>
      </w:pPr>
      <w:bookmarkStart w:id="128" w:name="_Ref400549709"/>
      <w:bookmarkStart w:id="129" w:name="_Toc403833176"/>
      <w:r>
        <w:rPr>
          <w:rFonts w:asciiTheme="minorHAnsi" w:hAnsiTheme="minorHAnsi" w:cstheme="minorHAnsi"/>
          <w:caps w:val="0"/>
        </w:rPr>
        <w:lastRenderedPageBreak/>
        <w:t xml:space="preserve">RESULTS: </w:t>
      </w:r>
      <w:r w:rsidR="0075248D">
        <w:rPr>
          <w:rFonts w:asciiTheme="minorHAnsi" w:hAnsiTheme="minorHAnsi" w:cstheme="minorHAnsi"/>
          <w:caps w:val="0"/>
        </w:rPr>
        <w:t xml:space="preserve">ECOLOGICAL </w:t>
      </w:r>
      <w:r w:rsidR="009A0CE3" w:rsidRPr="00AF3A24">
        <w:rPr>
          <w:rFonts w:asciiTheme="minorHAnsi" w:hAnsiTheme="minorHAnsi" w:cstheme="minorHAnsi"/>
          <w:caps w:val="0"/>
        </w:rPr>
        <w:t xml:space="preserve">FACTORS </w:t>
      </w:r>
      <w:r w:rsidR="0075248D">
        <w:rPr>
          <w:rFonts w:asciiTheme="minorHAnsi" w:hAnsiTheme="minorHAnsi" w:cstheme="minorHAnsi"/>
          <w:caps w:val="0"/>
        </w:rPr>
        <w:t xml:space="preserve">AND </w:t>
      </w:r>
      <w:r w:rsidR="0069395F" w:rsidRPr="00AF3A24">
        <w:rPr>
          <w:rFonts w:asciiTheme="minorHAnsi" w:hAnsiTheme="minorHAnsi" w:cstheme="minorHAnsi"/>
          <w:caps w:val="0"/>
        </w:rPr>
        <w:t>PROBLEM</w:t>
      </w:r>
      <w:r w:rsidR="00F06924">
        <w:rPr>
          <w:rFonts w:asciiTheme="minorHAnsi" w:hAnsiTheme="minorHAnsi" w:cstheme="minorHAnsi"/>
          <w:caps w:val="0"/>
        </w:rPr>
        <w:t>ATIC</w:t>
      </w:r>
      <w:r w:rsidR="0069395F" w:rsidRPr="00AF3A24">
        <w:rPr>
          <w:rFonts w:asciiTheme="minorHAnsi" w:hAnsiTheme="minorHAnsi" w:cstheme="minorHAnsi"/>
          <w:caps w:val="0"/>
        </w:rPr>
        <w:t xml:space="preserve"> GAMBLING</w:t>
      </w:r>
      <w:bookmarkEnd w:id="128"/>
      <w:bookmarkEnd w:id="129"/>
    </w:p>
    <w:p w14:paraId="071DF7AF" w14:textId="77777777" w:rsidR="0022625A" w:rsidRPr="00D71BE8" w:rsidRDefault="000D41E8" w:rsidP="0022625A">
      <w:pPr>
        <w:rPr>
          <w:rFonts w:asciiTheme="minorHAnsi" w:hAnsiTheme="minorHAnsi"/>
        </w:rPr>
      </w:pPr>
      <w:r>
        <w:rPr>
          <w:rFonts w:asciiTheme="minorHAnsi" w:hAnsiTheme="minorHAnsi"/>
        </w:rPr>
        <w:t xml:space="preserve">The </w:t>
      </w:r>
      <w:r w:rsidR="000A44FF">
        <w:rPr>
          <w:rFonts w:asciiTheme="minorHAnsi" w:hAnsiTheme="minorHAnsi"/>
        </w:rPr>
        <w:t>New Zealand Health Survey</w:t>
      </w:r>
      <w:r>
        <w:rPr>
          <w:rFonts w:asciiTheme="minorHAnsi" w:hAnsiTheme="minorHAnsi"/>
        </w:rPr>
        <w:t xml:space="preserve"> gathers </w:t>
      </w:r>
      <w:r w:rsidR="000A44FF">
        <w:rPr>
          <w:rFonts w:asciiTheme="minorHAnsi" w:hAnsiTheme="minorHAnsi"/>
        </w:rPr>
        <w:t>information</w:t>
      </w:r>
      <w:r>
        <w:rPr>
          <w:rFonts w:asciiTheme="minorHAnsi" w:hAnsiTheme="minorHAnsi"/>
        </w:rPr>
        <w:t xml:space="preserve"> on a wide range of </w:t>
      </w:r>
      <w:r w:rsidR="000A44FF">
        <w:rPr>
          <w:rFonts w:asciiTheme="minorHAnsi" w:hAnsiTheme="minorHAnsi"/>
        </w:rPr>
        <w:t>topics</w:t>
      </w:r>
      <w:r>
        <w:rPr>
          <w:rFonts w:asciiTheme="minorHAnsi" w:hAnsiTheme="minorHAnsi"/>
        </w:rPr>
        <w:t xml:space="preserve"> that relate to </w:t>
      </w:r>
      <w:r w:rsidR="000A44FF">
        <w:rPr>
          <w:rFonts w:asciiTheme="minorHAnsi" w:hAnsiTheme="minorHAnsi"/>
        </w:rPr>
        <w:t xml:space="preserve">the </w:t>
      </w:r>
      <w:r>
        <w:rPr>
          <w:rFonts w:asciiTheme="minorHAnsi" w:hAnsiTheme="minorHAnsi"/>
        </w:rPr>
        <w:t xml:space="preserve">health and wellbeing of </w:t>
      </w:r>
      <w:r w:rsidR="005C6BCF">
        <w:rPr>
          <w:rFonts w:asciiTheme="minorHAnsi" w:hAnsiTheme="minorHAnsi"/>
        </w:rPr>
        <w:t>the population</w:t>
      </w:r>
      <w:r>
        <w:rPr>
          <w:rFonts w:asciiTheme="minorHAnsi" w:hAnsiTheme="minorHAnsi"/>
        </w:rPr>
        <w:t xml:space="preserve">.  </w:t>
      </w:r>
      <w:r w:rsidR="000A44FF">
        <w:rPr>
          <w:rFonts w:asciiTheme="minorHAnsi" w:hAnsiTheme="minorHAnsi"/>
        </w:rPr>
        <w:t>In 2011/12, the domains covered by the NZHS i</w:t>
      </w:r>
      <w:r>
        <w:rPr>
          <w:rFonts w:asciiTheme="minorHAnsi" w:hAnsiTheme="minorHAnsi"/>
        </w:rPr>
        <w:t>nclude</w:t>
      </w:r>
      <w:r w:rsidR="000A44FF">
        <w:rPr>
          <w:rFonts w:asciiTheme="minorHAnsi" w:hAnsiTheme="minorHAnsi"/>
        </w:rPr>
        <w:t>d</w:t>
      </w:r>
      <w:r>
        <w:rPr>
          <w:rFonts w:asciiTheme="minorHAnsi" w:hAnsiTheme="minorHAnsi"/>
        </w:rPr>
        <w:t xml:space="preserve">: health status, </w:t>
      </w:r>
      <w:r w:rsidR="0022625A">
        <w:rPr>
          <w:rFonts w:asciiTheme="minorHAnsi" w:hAnsiTheme="minorHAnsi"/>
        </w:rPr>
        <w:t>long-term health conditions, b</w:t>
      </w:r>
      <w:r w:rsidR="0022625A" w:rsidRPr="00D71BE8">
        <w:rPr>
          <w:rFonts w:asciiTheme="minorHAnsi" w:hAnsiTheme="minorHAnsi"/>
        </w:rPr>
        <w:t>ehaviours and risk factors</w:t>
      </w:r>
      <w:r w:rsidR="0022625A">
        <w:rPr>
          <w:rFonts w:asciiTheme="minorHAnsi" w:hAnsiTheme="minorHAnsi"/>
        </w:rPr>
        <w:t>, n</w:t>
      </w:r>
      <w:r w:rsidR="0022625A" w:rsidRPr="00D71BE8">
        <w:rPr>
          <w:rFonts w:asciiTheme="minorHAnsi" w:hAnsiTheme="minorHAnsi"/>
        </w:rPr>
        <w:t>utrition</w:t>
      </w:r>
      <w:r w:rsidR="0022625A">
        <w:rPr>
          <w:rFonts w:asciiTheme="minorHAnsi" w:hAnsiTheme="minorHAnsi"/>
        </w:rPr>
        <w:t>, m</w:t>
      </w:r>
      <w:r w:rsidR="0022625A" w:rsidRPr="00D71BE8">
        <w:rPr>
          <w:rFonts w:asciiTheme="minorHAnsi" w:hAnsiTheme="minorHAnsi"/>
        </w:rPr>
        <w:t>ental health</w:t>
      </w:r>
      <w:r w:rsidR="0022625A">
        <w:rPr>
          <w:rFonts w:asciiTheme="minorHAnsi" w:hAnsiTheme="minorHAnsi"/>
        </w:rPr>
        <w:t>, o</w:t>
      </w:r>
      <w:r w:rsidR="0022625A" w:rsidRPr="00D71BE8">
        <w:rPr>
          <w:rFonts w:asciiTheme="minorHAnsi" w:hAnsiTheme="minorHAnsi"/>
        </w:rPr>
        <w:t>ral health</w:t>
      </w:r>
      <w:r w:rsidR="0022625A">
        <w:rPr>
          <w:rFonts w:asciiTheme="minorHAnsi" w:hAnsiTheme="minorHAnsi"/>
        </w:rPr>
        <w:t>, h</w:t>
      </w:r>
      <w:r w:rsidR="0022625A" w:rsidRPr="00D71BE8">
        <w:rPr>
          <w:rFonts w:asciiTheme="minorHAnsi" w:hAnsiTheme="minorHAnsi"/>
        </w:rPr>
        <w:t>ealth service utilisation</w:t>
      </w:r>
      <w:r w:rsidR="0022625A">
        <w:rPr>
          <w:rFonts w:asciiTheme="minorHAnsi" w:hAnsiTheme="minorHAnsi"/>
        </w:rPr>
        <w:t>, p</w:t>
      </w:r>
      <w:r w:rsidR="0022625A" w:rsidRPr="00D71BE8">
        <w:rPr>
          <w:rFonts w:asciiTheme="minorHAnsi" w:hAnsiTheme="minorHAnsi"/>
        </w:rPr>
        <w:t>atient experience</w:t>
      </w:r>
      <w:r w:rsidR="0022625A">
        <w:rPr>
          <w:rFonts w:asciiTheme="minorHAnsi" w:hAnsiTheme="minorHAnsi"/>
        </w:rPr>
        <w:t>; and, s</w:t>
      </w:r>
      <w:r w:rsidR="0022625A" w:rsidRPr="00D71BE8">
        <w:rPr>
          <w:rFonts w:asciiTheme="minorHAnsi" w:hAnsiTheme="minorHAnsi"/>
        </w:rPr>
        <w:t>ocio</w:t>
      </w:r>
      <w:r w:rsidR="0022625A">
        <w:rPr>
          <w:rFonts w:asciiTheme="minorHAnsi" w:hAnsiTheme="minorHAnsi"/>
        </w:rPr>
        <w:t>-</w:t>
      </w:r>
      <w:r w:rsidR="0022625A" w:rsidRPr="00D71BE8">
        <w:rPr>
          <w:rFonts w:asciiTheme="minorHAnsi" w:hAnsiTheme="minorHAnsi"/>
        </w:rPr>
        <w:t>demographics.</w:t>
      </w:r>
    </w:p>
    <w:p w14:paraId="23B3AE32" w14:textId="77777777" w:rsidR="00C90D2A" w:rsidRDefault="00C90D2A" w:rsidP="00880925">
      <w:pPr>
        <w:rPr>
          <w:rFonts w:asciiTheme="minorHAnsi" w:hAnsiTheme="minorHAnsi"/>
        </w:rPr>
      </w:pPr>
      <w:r>
        <w:rPr>
          <w:rFonts w:asciiTheme="minorHAnsi" w:hAnsiTheme="minorHAnsi"/>
        </w:rPr>
        <w:t>NZHS t</w:t>
      </w:r>
      <w:r w:rsidR="000A44FF">
        <w:rPr>
          <w:rFonts w:asciiTheme="minorHAnsi" w:hAnsiTheme="minorHAnsi"/>
        </w:rPr>
        <w:t>opic</w:t>
      </w:r>
      <w:r w:rsidR="005C6BCF">
        <w:rPr>
          <w:rFonts w:asciiTheme="minorHAnsi" w:hAnsiTheme="minorHAnsi"/>
        </w:rPr>
        <w:t xml:space="preserve"> domain</w:t>
      </w:r>
      <w:r w:rsidR="000A44FF">
        <w:rPr>
          <w:rFonts w:asciiTheme="minorHAnsi" w:hAnsiTheme="minorHAnsi"/>
        </w:rPr>
        <w:t>s</w:t>
      </w:r>
      <w:r w:rsidR="000A3DDA">
        <w:rPr>
          <w:rFonts w:asciiTheme="minorHAnsi" w:hAnsiTheme="minorHAnsi"/>
        </w:rPr>
        <w:t xml:space="preserve"> with</w:t>
      </w:r>
      <w:r w:rsidR="0075248D">
        <w:rPr>
          <w:rFonts w:asciiTheme="minorHAnsi" w:hAnsiTheme="minorHAnsi"/>
        </w:rPr>
        <w:t xml:space="preserve"> ecological</w:t>
      </w:r>
      <w:r w:rsidR="000A3DDA">
        <w:rPr>
          <w:rFonts w:asciiTheme="minorHAnsi" w:hAnsiTheme="minorHAnsi"/>
        </w:rPr>
        <w:t xml:space="preserve"> relevance to </w:t>
      </w:r>
      <w:r w:rsidR="000A44FF">
        <w:rPr>
          <w:rFonts w:asciiTheme="minorHAnsi" w:hAnsiTheme="minorHAnsi"/>
        </w:rPr>
        <w:t xml:space="preserve">gambling and problem gambling were identified in accordance with a review of the literature and guidance from the project’s advisory group. </w:t>
      </w:r>
      <w:r w:rsidR="005C6BCF">
        <w:rPr>
          <w:rFonts w:asciiTheme="minorHAnsi" w:hAnsiTheme="minorHAnsi"/>
        </w:rPr>
        <w:t xml:space="preserve"> Items </w:t>
      </w:r>
      <w:r w:rsidR="0075248D">
        <w:rPr>
          <w:rFonts w:asciiTheme="minorHAnsi" w:hAnsiTheme="minorHAnsi"/>
        </w:rPr>
        <w:t xml:space="preserve">with the potential to fulfil risk or protective functions </w:t>
      </w:r>
      <w:r w:rsidR="005C6BCF">
        <w:rPr>
          <w:rFonts w:asciiTheme="minorHAnsi" w:hAnsiTheme="minorHAnsi"/>
        </w:rPr>
        <w:t>were retained for analysis</w:t>
      </w:r>
      <w:r w:rsidR="0075248D">
        <w:rPr>
          <w:rFonts w:asciiTheme="minorHAnsi" w:hAnsiTheme="minorHAnsi"/>
        </w:rPr>
        <w:t xml:space="preserve"> and</w:t>
      </w:r>
      <w:r>
        <w:rPr>
          <w:rFonts w:asciiTheme="minorHAnsi" w:hAnsiTheme="minorHAnsi"/>
        </w:rPr>
        <w:t xml:space="preserve"> key results for each of these topics are</w:t>
      </w:r>
      <w:r w:rsidR="005C6BCF">
        <w:rPr>
          <w:rFonts w:asciiTheme="minorHAnsi" w:hAnsiTheme="minorHAnsi"/>
        </w:rPr>
        <w:t xml:space="preserve"> presented in the following four sections: </w:t>
      </w:r>
    </w:p>
    <w:p w14:paraId="3F2E81CA" w14:textId="77777777" w:rsidR="00C90D2A" w:rsidRPr="00C90D2A" w:rsidRDefault="00A50AE2" w:rsidP="004F129A">
      <w:pPr>
        <w:pStyle w:val="BodyText"/>
        <w:numPr>
          <w:ilvl w:val="0"/>
          <w:numId w:val="65"/>
        </w:numPr>
      </w:pPr>
      <w:r w:rsidRPr="00C90D2A">
        <w:t>Socio-demographics</w:t>
      </w:r>
      <w:r w:rsidR="005C6BCF" w:rsidRPr="00C90D2A">
        <w:t xml:space="preserve"> and gambling</w:t>
      </w:r>
      <w:r w:rsidR="000A44FF" w:rsidRPr="00C90D2A">
        <w:t>;</w:t>
      </w:r>
      <w:r w:rsidR="007F08FF" w:rsidRPr="00C90D2A">
        <w:t xml:space="preserve"> </w:t>
      </w:r>
    </w:p>
    <w:p w14:paraId="7636031D" w14:textId="77777777" w:rsidR="00C90D2A" w:rsidRPr="00C90D2A" w:rsidRDefault="000A44FF" w:rsidP="004F129A">
      <w:pPr>
        <w:pStyle w:val="BodyText"/>
        <w:numPr>
          <w:ilvl w:val="0"/>
          <w:numId w:val="65"/>
        </w:numPr>
      </w:pPr>
      <w:r w:rsidRPr="00C90D2A">
        <w:t>Other dangerous consumptions</w:t>
      </w:r>
      <w:r w:rsidR="005C6BCF" w:rsidRPr="00C90D2A">
        <w:t xml:space="preserve"> and gambling</w:t>
      </w:r>
      <w:r w:rsidRPr="00C90D2A">
        <w:t xml:space="preserve">; </w:t>
      </w:r>
    </w:p>
    <w:p w14:paraId="11225C7C" w14:textId="77777777" w:rsidR="00C90D2A" w:rsidRPr="00C90D2A" w:rsidRDefault="000A44FF" w:rsidP="004F129A">
      <w:pPr>
        <w:pStyle w:val="BodyText"/>
        <w:numPr>
          <w:ilvl w:val="0"/>
          <w:numId w:val="65"/>
        </w:numPr>
      </w:pPr>
      <w:r w:rsidRPr="00C90D2A">
        <w:t>Health</w:t>
      </w:r>
      <w:r w:rsidR="005C6BCF" w:rsidRPr="00C90D2A">
        <w:t xml:space="preserve"> and gambling</w:t>
      </w:r>
      <w:r w:rsidRPr="00C90D2A">
        <w:t>; and,</w:t>
      </w:r>
      <w:r w:rsidR="007F08FF" w:rsidRPr="00C90D2A">
        <w:t xml:space="preserve"> </w:t>
      </w:r>
    </w:p>
    <w:p w14:paraId="6E42B8B7" w14:textId="77777777" w:rsidR="00C90D2A" w:rsidRPr="00C90D2A" w:rsidRDefault="000A44FF" w:rsidP="004F129A">
      <w:pPr>
        <w:pStyle w:val="BodyText"/>
        <w:numPr>
          <w:ilvl w:val="0"/>
          <w:numId w:val="65"/>
        </w:numPr>
      </w:pPr>
      <w:r w:rsidRPr="00C90D2A">
        <w:t>Use of health services</w:t>
      </w:r>
      <w:r w:rsidR="005C6BCF" w:rsidRPr="00C90D2A">
        <w:t xml:space="preserve"> and gambling</w:t>
      </w:r>
      <w:r w:rsidRPr="00C90D2A">
        <w:t>.</w:t>
      </w:r>
      <w:r w:rsidR="007F08FF" w:rsidRPr="00C90D2A">
        <w:t xml:space="preserve">  </w:t>
      </w:r>
    </w:p>
    <w:p w14:paraId="10B5431D" w14:textId="77777777" w:rsidR="008E263A" w:rsidRPr="000D41E8" w:rsidRDefault="008E263A" w:rsidP="00880925">
      <w:pPr>
        <w:rPr>
          <w:rFonts w:asciiTheme="minorHAnsi" w:hAnsiTheme="minorHAnsi"/>
        </w:rPr>
      </w:pPr>
    </w:p>
    <w:p w14:paraId="14DC621D" w14:textId="77777777" w:rsidR="00895F90" w:rsidRPr="00AF3A24" w:rsidRDefault="00A50AE2" w:rsidP="004F129A">
      <w:pPr>
        <w:pStyle w:val="Heading2"/>
        <w:numPr>
          <w:ilvl w:val="1"/>
          <w:numId w:val="58"/>
        </w:numPr>
      </w:pPr>
      <w:bookmarkStart w:id="130" w:name="_Toc403833177"/>
      <w:r>
        <w:t>Socio-demographic</w:t>
      </w:r>
      <w:r w:rsidR="00665A18" w:rsidRPr="00AF3A24">
        <w:t>s</w:t>
      </w:r>
      <w:r w:rsidR="00895F90" w:rsidRPr="00AF3A24">
        <w:t xml:space="preserve"> and gambling</w:t>
      </w:r>
      <w:bookmarkEnd w:id="130"/>
      <w:r w:rsidR="00895F90" w:rsidRPr="00AF3A24">
        <w:t xml:space="preserve"> </w:t>
      </w:r>
    </w:p>
    <w:p w14:paraId="65ACBD50" w14:textId="77777777" w:rsidR="00EA6DF5" w:rsidRDefault="00EA6DF5" w:rsidP="00F14E88">
      <w:pPr>
        <w:rPr>
          <w:rFonts w:asciiTheme="minorHAnsi" w:hAnsiTheme="minorHAnsi"/>
        </w:rPr>
      </w:pPr>
      <w:r>
        <w:rPr>
          <w:rFonts w:asciiTheme="minorHAnsi" w:hAnsiTheme="minorHAnsi"/>
        </w:rPr>
        <w:t>Associations between gambling status and education, employment, length of time living in New Zealand</w:t>
      </w:r>
      <w:r w:rsidR="009E6317">
        <w:rPr>
          <w:rFonts w:asciiTheme="minorHAnsi" w:hAnsiTheme="minorHAnsi"/>
        </w:rPr>
        <w:t xml:space="preserve"> (for those born outside of New Zealand)</w:t>
      </w:r>
      <w:r>
        <w:rPr>
          <w:rFonts w:asciiTheme="minorHAnsi" w:hAnsiTheme="minorHAnsi"/>
        </w:rPr>
        <w:t xml:space="preserve">, and </w:t>
      </w:r>
      <w:r w:rsidR="00F2111B">
        <w:rPr>
          <w:rFonts w:asciiTheme="minorHAnsi" w:hAnsiTheme="minorHAnsi"/>
        </w:rPr>
        <w:t xml:space="preserve">living in </w:t>
      </w:r>
      <w:r>
        <w:rPr>
          <w:rFonts w:asciiTheme="minorHAnsi" w:hAnsiTheme="minorHAnsi"/>
        </w:rPr>
        <w:t xml:space="preserve">Christchurch </w:t>
      </w:r>
      <w:r w:rsidR="00F2111B">
        <w:rPr>
          <w:rFonts w:asciiTheme="minorHAnsi" w:hAnsiTheme="minorHAnsi"/>
        </w:rPr>
        <w:t xml:space="preserve">at the time of the major </w:t>
      </w:r>
      <w:r>
        <w:rPr>
          <w:rFonts w:asciiTheme="minorHAnsi" w:hAnsiTheme="minorHAnsi"/>
        </w:rPr>
        <w:t xml:space="preserve">earthquake (22 February, 2011) were investigated.  No significant trends or associations were observed between these </w:t>
      </w:r>
      <w:r w:rsidR="00EB0279">
        <w:rPr>
          <w:rFonts w:asciiTheme="minorHAnsi" w:hAnsiTheme="minorHAnsi"/>
        </w:rPr>
        <w:t>socio-demographic indicators</w:t>
      </w:r>
      <w:r>
        <w:rPr>
          <w:rFonts w:asciiTheme="minorHAnsi" w:hAnsiTheme="minorHAnsi"/>
        </w:rPr>
        <w:t xml:space="preserve"> and gambling </w:t>
      </w:r>
      <w:r w:rsidRPr="00FF4681">
        <w:rPr>
          <w:rFonts w:asciiTheme="minorHAnsi" w:hAnsiTheme="minorHAnsi"/>
        </w:rPr>
        <w:t xml:space="preserve">status. </w:t>
      </w:r>
      <w:r w:rsidR="003B4623">
        <w:rPr>
          <w:rFonts w:asciiTheme="minorHAnsi" w:hAnsiTheme="minorHAnsi"/>
        </w:rPr>
        <w:t xml:space="preserve"> However, </w:t>
      </w:r>
      <w:r w:rsidR="00236F80">
        <w:rPr>
          <w:rFonts w:asciiTheme="minorHAnsi" w:hAnsiTheme="minorHAnsi"/>
        </w:rPr>
        <w:t xml:space="preserve">while not significant, </w:t>
      </w:r>
      <w:r w:rsidR="003B4623">
        <w:rPr>
          <w:rFonts w:asciiTheme="minorHAnsi" w:hAnsiTheme="minorHAnsi"/>
        </w:rPr>
        <w:t xml:space="preserve">there was a general trend </w:t>
      </w:r>
      <w:r w:rsidR="00236F80">
        <w:rPr>
          <w:rFonts w:asciiTheme="minorHAnsi" w:hAnsiTheme="minorHAnsi"/>
        </w:rPr>
        <w:t xml:space="preserve">for the prevalence of problematic gambling to increase along with </w:t>
      </w:r>
      <w:r w:rsidR="00E1775C">
        <w:rPr>
          <w:rFonts w:asciiTheme="minorHAnsi" w:hAnsiTheme="minorHAnsi"/>
        </w:rPr>
        <w:t>the</w:t>
      </w:r>
      <w:r w:rsidR="003E34A9">
        <w:rPr>
          <w:rFonts w:asciiTheme="minorHAnsi" w:hAnsiTheme="minorHAnsi"/>
        </w:rPr>
        <w:t xml:space="preserve"> </w:t>
      </w:r>
      <w:r w:rsidR="00E1775C">
        <w:rPr>
          <w:rFonts w:asciiTheme="minorHAnsi" w:hAnsiTheme="minorHAnsi"/>
        </w:rPr>
        <w:t>length of time liv</w:t>
      </w:r>
      <w:r w:rsidR="00236F80">
        <w:rPr>
          <w:rFonts w:asciiTheme="minorHAnsi" w:hAnsiTheme="minorHAnsi"/>
        </w:rPr>
        <w:t>ed</w:t>
      </w:r>
      <w:r w:rsidR="00E1775C">
        <w:rPr>
          <w:rFonts w:asciiTheme="minorHAnsi" w:hAnsiTheme="minorHAnsi"/>
        </w:rPr>
        <w:t xml:space="preserve"> in New Zealand: greater proportions of </w:t>
      </w:r>
      <w:r w:rsidR="003E34A9">
        <w:rPr>
          <w:rFonts w:asciiTheme="minorHAnsi" w:hAnsiTheme="minorHAnsi"/>
        </w:rPr>
        <w:t>people</w:t>
      </w:r>
      <w:r w:rsidR="003B4623">
        <w:rPr>
          <w:rFonts w:asciiTheme="minorHAnsi" w:hAnsiTheme="minorHAnsi"/>
        </w:rPr>
        <w:t xml:space="preserve"> who had lived in New Zealand for </w:t>
      </w:r>
      <w:r w:rsidR="003E34A9">
        <w:rPr>
          <w:rFonts w:asciiTheme="minorHAnsi" w:hAnsiTheme="minorHAnsi"/>
        </w:rPr>
        <w:t xml:space="preserve">six or more years </w:t>
      </w:r>
      <w:r w:rsidR="00E1775C">
        <w:rPr>
          <w:rFonts w:asciiTheme="minorHAnsi" w:hAnsiTheme="minorHAnsi"/>
        </w:rPr>
        <w:t xml:space="preserve">were </w:t>
      </w:r>
      <w:r w:rsidR="003E34A9">
        <w:rPr>
          <w:rFonts w:asciiTheme="minorHAnsi" w:hAnsiTheme="minorHAnsi"/>
        </w:rPr>
        <w:t xml:space="preserve">experiencing some gambling related harm (low-risk, combined moderate-risk/problem) compared with those who had been here for less than five years. </w:t>
      </w:r>
      <w:r w:rsidR="00E1775C">
        <w:rPr>
          <w:rFonts w:asciiTheme="minorHAnsi" w:hAnsiTheme="minorHAnsi"/>
        </w:rPr>
        <w:t xml:space="preserve"> </w:t>
      </w:r>
      <w:r w:rsidR="00563D18">
        <w:rPr>
          <w:rFonts w:asciiTheme="minorHAnsi" w:hAnsiTheme="minorHAnsi"/>
        </w:rPr>
        <w:t>Table 26</w:t>
      </w:r>
      <w:r w:rsidR="009E6317">
        <w:rPr>
          <w:rFonts w:asciiTheme="minorHAnsi" w:hAnsiTheme="minorHAnsi"/>
        </w:rPr>
        <w:t xml:space="preserve"> and </w:t>
      </w:r>
      <w:r w:rsidR="00563D18">
        <w:rPr>
          <w:rFonts w:asciiTheme="minorHAnsi" w:hAnsiTheme="minorHAnsi"/>
        </w:rPr>
        <w:t>Table 27</w:t>
      </w:r>
      <w:r w:rsidRPr="00FF4681">
        <w:rPr>
          <w:rFonts w:asciiTheme="minorHAnsi" w:hAnsiTheme="minorHAnsi"/>
        </w:rPr>
        <w:t xml:space="preserve"> </w:t>
      </w:r>
      <w:r w:rsidR="00DB59FB">
        <w:rPr>
          <w:rFonts w:asciiTheme="minorHAnsi" w:hAnsiTheme="minorHAnsi"/>
        </w:rPr>
        <w:t>(</w:t>
      </w:r>
      <w:r w:rsidR="00563D18">
        <w:rPr>
          <w:rFonts w:asciiTheme="minorHAnsi" w:hAnsiTheme="minorHAnsi"/>
        </w:rPr>
        <w:t>Appendix H</w:t>
      </w:r>
      <w:r w:rsidR="00DB59FB">
        <w:rPr>
          <w:rFonts w:asciiTheme="minorHAnsi" w:hAnsiTheme="minorHAnsi"/>
        </w:rPr>
        <w:t xml:space="preserve">) </w:t>
      </w:r>
      <w:r w:rsidR="00C90D2A">
        <w:rPr>
          <w:rFonts w:asciiTheme="minorHAnsi" w:hAnsiTheme="minorHAnsi"/>
        </w:rPr>
        <w:t xml:space="preserve">provide </w:t>
      </w:r>
      <w:r w:rsidRPr="00FF4681">
        <w:rPr>
          <w:rFonts w:asciiTheme="minorHAnsi" w:hAnsiTheme="minorHAnsi"/>
        </w:rPr>
        <w:t>detailed results on these items.</w:t>
      </w:r>
      <w:r>
        <w:rPr>
          <w:rFonts w:asciiTheme="minorHAnsi" w:hAnsiTheme="minorHAnsi"/>
        </w:rPr>
        <w:t xml:space="preserve"> </w:t>
      </w:r>
    </w:p>
    <w:p w14:paraId="2EE78A8B" w14:textId="77777777" w:rsidR="00957853" w:rsidRDefault="008D5BEA" w:rsidP="00F061EF">
      <w:pPr>
        <w:pStyle w:val="Heading2"/>
      </w:pPr>
      <w:bookmarkStart w:id="131" w:name="_Toc403833178"/>
      <w:r>
        <w:lastRenderedPageBreak/>
        <w:t>Other d</w:t>
      </w:r>
      <w:r w:rsidR="00957853" w:rsidRPr="00AF3A24">
        <w:t>ang</w:t>
      </w:r>
      <w:r w:rsidR="00820B47" w:rsidRPr="00AF3A24">
        <w:t>erous consumptions and gambling</w:t>
      </w:r>
      <w:bookmarkEnd w:id="131"/>
    </w:p>
    <w:p w14:paraId="03BAC03B" w14:textId="77777777" w:rsidR="00F27DD6" w:rsidRDefault="00102991" w:rsidP="00102991">
      <w:pPr>
        <w:rPr>
          <w:rFonts w:asciiTheme="minorHAnsi" w:hAnsiTheme="minorHAnsi"/>
        </w:rPr>
      </w:pPr>
      <w:r w:rsidRPr="003E007B">
        <w:rPr>
          <w:rFonts w:asciiTheme="minorHAnsi" w:hAnsiTheme="minorHAnsi"/>
        </w:rPr>
        <w:t xml:space="preserve">Analyses were undertaken to explore </w:t>
      </w:r>
      <w:r w:rsidR="003E007B" w:rsidRPr="003E007B">
        <w:rPr>
          <w:rFonts w:asciiTheme="minorHAnsi" w:hAnsiTheme="minorHAnsi"/>
        </w:rPr>
        <w:t>relationships between gambling and</w:t>
      </w:r>
      <w:r w:rsidR="00F27DD6" w:rsidRPr="00F27DD6">
        <w:rPr>
          <w:rFonts w:asciiTheme="minorHAnsi" w:hAnsiTheme="minorHAnsi"/>
        </w:rPr>
        <w:t xml:space="preserve"> </w:t>
      </w:r>
      <w:r w:rsidR="00F27DD6">
        <w:rPr>
          <w:rFonts w:asciiTheme="minorHAnsi" w:hAnsiTheme="minorHAnsi"/>
        </w:rPr>
        <w:t xml:space="preserve">respondents’ use of alcohol, tobacco and other drugs.  The following sections provide an overview of the results from this set of analyses. </w:t>
      </w:r>
    </w:p>
    <w:p w14:paraId="2E6D40B8" w14:textId="77777777" w:rsidR="00AF20CE" w:rsidRPr="00AF4C8C" w:rsidRDefault="00C70B16" w:rsidP="00F061EF">
      <w:pPr>
        <w:pStyle w:val="Heading3"/>
      </w:pPr>
      <w:bookmarkStart w:id="132" w:name="_Toc403833179"/>
      <w:r w:rsidRPr="00AF4C8C">
        <w:t>A</w:t>
      </w:r>
      <w:r w:rsidR="00784EBE" w:rsidRPr="00AF4C8C">
        <w:t>l</w:t>
      </w:r>
      <w:r w:rsidR="00AF20CE" w:rsidRPr="00AF4C8C">
        <w:t>cohol</w:t>
      </w:r>
      <w:bookmarkEnd w:id="132"/>
    </w:p>
    <w:p w14:paraId="3058AFE8" w14:textId="6C49A2A7" w:rsidR="00AF4C8C" w:rsidRDefault="00AF4C8C" w:rsidP="004557FE">
      <w:pPr>
        <w:rPr>
          <w:rFonts w:asciiTheme="minorHAnsi" w:hAnsiTheme="minorHAnsi"/>
        </w:rPr>
      </w:pPr>
      <w:r>
        <w:rPr>
          <w:rFonts w:asciiTheme="minorHAnsi" w:hAnsiTheme="minorHAnsi"/>
        </w:rPr>
        <w:t>Alcohol use and hazardous drinking were assessed by the 10-item Alcohol Use Disorders Identification Test (AUDIT).  The AUDIT assesses three domains: alcohol consumption (questions 1</w:t>
      </w:r>
      <w:r w:rsidR="0064603A">
        <w:rPr>
          <w:rFonts w:asciiTheme="minorHAnsi" w:hAnsiTheme="minorHAnsi"/>
        </w:rPr>
        <w:t>-</w:t>
      </w:r>
      <w:r>
        <w:rPr>
          <w:rFonts w:asciiTheme="minorHAnsi" w:hAnsiTheme="minorHAnsi"/>
        </w:rPr>
        <w:t xml:space="preserve">3); dependence (questions 4-6); and, adverse consequences (questions 7-10). </w:t>
      </w:r>
      <w:r w:rsidR="003D0C40">
        <w:rPr>
          <w:rFonts w:asciiTheme="minorHAnsi" w:hAnsiTheme="minorHAnsi"/>
        </w:rPr>
        <w:t xml:space="preserve"> The score for each question can range between zero and four with total score</w:t>
      </w:r>
      <w:r w:rsidR="00D410F6">
        <w:rPr>
          <w:rFonts w:asciiTheme="minorHAnsi" w:hAnsiTheme="minorHAnsi"/>
        </w:rPr>
        <w:t>s ranging</w:t>
      </w:r>
      <w:r w:rsidR="003D0C40">
        <w:rPr>
          <w:rFonts w:asciiTheme="minorHAnsi" w:hAnsiTheme="minorHAnsi"/>
        </w:rPr>
        <w:t xml:space="preserve"> be</w:t>
      </w:r>
      <w:r w:rsidR="00D410F6">
        <w:rPr>
          <w:rFonts w:asciiTheme="minorHAnsi" w:hAnsiTheme="minorHAnsi"/>
        </w:rPr>
        <w:t>tween</w:t>
      </w:r>
      <w:r w:rsidR="003D0C40">
        <w:rPr>
          <w:rFonts w:asciiTheme="minorHAnsi" w:hAnsiTheme="minorHAnsi"/>
        </w:rPr>
        <w:t xml:space="preserve"> zero </w:t>
      </w:r>
      <w:r w:rsidR="00D52BA1">
        <w:rPr>
          <w:rFonts w:asciiTheme="minorHAnsi" w:hAnsiTheme="minorHAnsi"/>
        </w:rPr>
        <w:t xml:space="preserve">and </w:t>
      </w:r>
      <w:r w:rsidR="003D0C40">
        <w:rPr>
          <w:rFonts w:asciiTheme="minorHAnsi" w:hAnsiTheme="minorHAnsi"/>
        </w:rPr>
        <w:t>40.   Hazardous drinking has been defined as a score of eight or more, while a score of 13 or more is indicative of alcohol dependence</w:t>
      </w:r>
      <w:r w:rsidR="00236F80">
        <w:rPr>
          <w:rFonts w:asciiTheme="minorHAnsi" w:hAnsiTheme="minorHAnsi"/>
        </w:rPr>
        <w:t xml:space="preserve"> </w:t>
      </w:r>
      <w:r w:rsidR="00D35858">
        <w:rPr>
          <w:rFonts w:asciiTheme="minorHAnsi" w:hAnsiTheme="minorHAnsi"/>
        </w:rPr>
        <w:fldChar w:fldCharType="begin"/>
      </w:r>
      <w:r w:rsidR="00A34C5E">
        <w:rPr>
          <w:rFonts w:asciiTheme="minorHAnsi" w:hAnsiTheme="minorHAnsi"/>
        </w:rPr>
        <w:instrText xml:space="preserve"> ADDIN EN.CITE &lt;EndNote&gt;&lt;Cite&gt;&lt;Author&gt;Babor&lt;/Author&gt;&lt;Year&gt;2001&lt;/Year&gt;&lt;RecNum&gt;927&lt;/RecNum&gt;&lt;DisplayText&gt;(Babor, Higgins-Biddle, Saunders, &amp;amp; Monteiro, 2001)&lt;/DisplayText&gt;&lt;record&gt;&lt;rec-number&gt;927&lt;/rec-number&gt;&lt;foreign-keys&gt;&lt;key app="EN" db-id="9pzse05rcvx956etremxfzdh9fzdxvd95rp2"&gt;927&lt;/key&gt;&lt;/foreign-keys&gt;&lt;ref-type name="Report"&gt;27&lt;/ref-type&gt;&lt;contributors&gt;&lt;authors&gt;&lt;author&gt;Babor, T. F.&lt;/author&gt;&lt;author&gt;Higgins-Biddle, J. C.&lt;/author&gt;&lt;author&gt;Saunders, J. B.&lt;/author&gt;&lt;author&gt;Monteiro, M. G.&lt;/author&gt;&lt;/authors&gt;&lt;/contributors&gt;&lt;titles&gt;&lt;title&gt;The Alcohol Use Disorders Identification Test: Guidelines for Use in Primary Care&lt;/title&gt;&lt;secondary-title&gt;Second Edition&lt;/secondary-title&gt;&lt;/titles&gt;&lt;dates&gt;&lt;year&gt;2001&lt;/year&gt;&lt;/dates&gt;&lt;pub-location&gt;Geneva&lt;/pub-location&gt;&lt;publisher&gt;Department of Mental Health and Substance Dependence, World Health Organisation&lt;/publisher&gt;&lt;urls&gt;&lt;/urls&gt;&lt;/record&gt;&lt;/Cite&gt;&lt;/EndNote&gt;</w:instrText>
      </w:r>
      <w:r w:rsidR="00D35858">
        <w:rPr>
          <w:rFonts w:asciiTheme="minorHAnsi" w:hAnsiTheme="minorHAnsi"/>
        </w:rPr>
        <w:fldChar w:fldCharType="separate"/>
      </w:r>
      <w:r w:rsidR="00D35858">
        <w:rPr>
          <w:rFonts w:asciiTheme="minorHAnsi" w:hAnsiTheme="minorHAnsi"/>
          <w:noProof/>
        </w:rPr>
        <w:t>(</w:t>
      </w:r>
      <w:hyperlink w:anchor="_ENREF_12" w:tooltip="Babor, 2001 #927" w:history="1">
        <w:r w:rsidR="00765F46">
          <w:rPr>
            <w:rFonts w:asciiTheme="minorHAnsi" w:hAnsiTheme="minorHAnsi"/>
            <w:noProof/>
          </w:rPr>
          <w:t>Babor, Higgins-Biddle, Saunders, &amp; Monteiro, 2001</w:t>
        </w:r>
      </w:hyperlink>
      <w:r w:rsidR="00D35858">
        <w:rPr>
          <w:rFonts w:asciiTheme="minorHAnsi" w:hAnsiTheme="minorHAnsi"/>
          <w:noProof/>
        </w:rPr>
        <w:t>)</w:t>
      </w:r>
      <w:r w:rsidR="00D35858">
        <w:rPr>
          <w:rFonts w:asciiTheme="minorHAnsi" w:hAnsiTheme="minorHAnsi"/>
        </w:rPr>
        <w:fldChar w:fldCharType="end"/>
      </w:r>
      <w:r w:rsidR="003D0C40">
        <w:rPr>
          <w:rFonts w:asciiTheme="minorHAnsi" w:hAnsiTheme="minorHAnsi"/>
        </w:rPr>
        <w:t xml:space="preserve">.  </w:t>
      </w:r>
    </w:p>
    <w:p w14:paraId="556121AF" w14:textId="77777777" w:rsidR="004557FE" w:rsidRPr="00C73E4B" w:rsidRDefault="004557FE" w:rsidP="00AF20CE">
      <w:pPr>
        <w:rPr>
          <w:rFonts w:asciiTheme="minorHAnsi" w:hAnsiTheme="minorHAnsi"/>
        </w:rPr>
      </w:pPr>
      <w:r>
        <w:rPr>
          <w:rFonts w:asciiTheme="minorHAnsi" w:hAnsiTheme="minorHAnsi"/>
        </w:rPr>
        <w:t>Three measures of alcohol use were analysed with regard to gambling behaviour: use of alcohol in the past year, hazardous drinking and alcohol dependence</w:t>
      </w:r>
      <w:r w:rsidR="00AF4C8C">
        <w:rPr>
          <w:rFonts w:asciiTheme="minorHAnsi" w:hAnsiTheme="minorHAnsi"/>
        </w:rPr>
        <w:t xml:space="preserve">. </w:t>
      </w:r>
      <w:r w:rsidR="00BB2EF9">
        <w:rPr>
          <w:rFonts w:asciiTheme="minorHAnsi" w:hAnsiTheme="minorHAnsi"/>
        </w:rPr>
        <w:t xml:space="preserve"> </w:t>
      </w:r>
      <w:r w:rsidRPr="00A76164">
        <w:rPr>
          <w:rFonts w:asciiTheme="minorHAnsi" w:hAnsiTheme="minorHAnsi"/>
        </w:rPr>
        <w:t>Signifi</w:t>
      </w:r>
      <w:r w:rsidR="00BB2EF9">
        <w:rPr>
          <w:rFonts w:asciiTheme="minorHAnsi" w:hAnsiTheme="minorHAnsi"/>
        </w:rPr>
        <w:t>cant findings</w:t>
      </w:r>
      <w:r w:rsidRPr="00A76164">
        <w:rPr>
          <w:rFonts w:asciiTheme="minorHAnsi" w:hAnsiTheme="minorHAnsi"/>
        </w:rPr>
        <w:t xml:space="preserve"> are discussed below, while further details can be found in </w:t>
      </w:r>
      <w:r w:rsidR="00563D18">
        <w:rPr>
          <w:rFonts w:asciiTheme="minorHAnsi" w:hAnsiTheme="minorHAnsi"/>
        </w:rPr>
        <w:t>Appendix I</w:t>
      </w:r>
      <w:r w:rsidRPr="00A76164">
        <w:rPr>
          <w:rFonts w:asciiTheme="minorHAnsi" w:hAnsiTheme="minorHAnsi"/>
        </w:rPr>
        <w:t xml:space="preserve">. </w:t>
      </w:r>
    </w:p>
    <w:p w14:paraId="0A561E94" w14:textId="77777777" w:rsidR="00C70B16" w:rsidRPr="00D3212A" w:rsidRDefault="00C70B16" w:rsidP="00D3212A">
      <w:pPr>
        <w:pStyle w:val="Heading4"/>
      </w:pPr>
      <w:r w:rsidRPr="00D3212A">
        <w:t>Use of alcohol in the past year</w:t>
      </w:r>
    </w:p>
    <w:p w14:paraId="24DFCBBD" w14:textId="77777777" w:rsidR="00D52BA1" w:rsidRDefault="00427391" w:rsidP="00AF20CE">
      <w:pPr>
        <w:rPr>
          <w:rFonts w:asciiTheme="minorHAnsi" w:hAnsiTheme="minorHAnsi"/>
        </w:rPr>
      </w:pPr>
      <w:r>
        <w:rPr>
          <w:rFonts w:asciiTheme="minorHAnsi" w:hAnsiTheme="minorHAnsi"/>
        </w:rPr>
        <w:t>P</w:t>
      </w:r>
      <w:r w:rsidR="00CD3C21" w:rsidRPr="00F14E88">
        <w:rPr>
          <w:rFonts w:asciiTheme="minorHAnsi" w:hAnsiTheme="minorHAnsi"/>
        </w:rPr>
        <w:t>roblem gambling was significantly associated with use of alcohol in the last 12 months (p=0.0051)</w:t>
      </w:r>
      <w:r w:rsidR="00D52BA1">
        <w:rPr>
          <w:rFonts w:asciiTheme="minorHAnsi" w:hAnsiTheme="minorHAnsi"/>
        </w:rPr>
        <w:t>;</w:t>
      </w:r>
      <w:r w:rsidR="00FA7C0C">
        <w:rPr>
          <w:rFonts w:asciiTheme="minorHAnsi" w:hAnsiTheme="minorHAnsi"/>
        </w:rPr>
        <w:t xml:space="preserve"> compared with p</w:t>
      </w:r>
      <w:r w:rsidR="00D52BA1">
        <w:rPr>
          <w:rFonts w:asciiTheme="minorHAnsi" w:hAnsiTheme="minorHAnsi"/>
        </w:rPr>
        <w:t>eople with no gambling problems</w:t>
      </w:r>
      <w:r w:rsidR="00FA7C0C">
        <w:rPr>
          <w:rFonts w:asciiTheme="minorHAnsi" w:hAnsiTheme="minorHAnsi"/>
        </w:rPr>
        <w:t>,</w:t>
      </w:r>
      <w:r w:rsidR="00D52BA1">
        <w:rPr>
          <w:rFonts w:asciiTheme="minorHAnsi" w:hAnsiTheme="minorHAnsi"/>
        </w:rPr>
        <w:t xml:space="preserve"> </w:t>
      </w:r>
      <w:r w:rsidR="00FA7C0C">
        <w:rPr>
          <w:rFonts w:asciiTheme="minorHAnsi" w:hAnsiTheme="minorHAnsi"/>
        </w:rPr>
        <w:t xml:space="preserve">low-risk gamblers (OR 1.9) and moderate-risk/problem gamblers (OR 1.6) </w:t>
      </w:r>
      <w:r w:rsidR="00441CD4">
        <w:rPr>
          <w:rFonts w:asciiTheme="minorHAnsi" w:hAnsiTheme="minorHAnsi"/>
        </w:rPr>
        <w:t xml:space="preserve">were </w:t>
      </w:r>
      <w:r w:rsidR="00FA7C0C">
        <w:rPr>
          <w:rFonts w:asciiTheme="minorHAnsi" w:hAnsiTheme="minorHAnsi"/>
        </w:rPr>
        <w:t xml:space="preserve">more </w:t>
      </w:r>
      <w:r w:rsidR="00D52BA1">
        <w:rPr>
          <w:rFonts w:asciiTheme="minorHAnsi" w:hAnsiTheme="minorHAnsi"/>
        </w:rPr>
        <w:t xml:space="preserve">likely to report alcohol use. </w:t>
      </w:r>
      <w:r>
        <w:rPr>
          <w:rFonts w:asciiTheme="minorHAnsi" w:hAnsiTheme="minorHAnsi"/>
        </w:rPr>
        <w:t xml:space="preserve"> </w:t>
      </w:r>
      <w:r w:rsidR="008969E4">
        <w:rPr>
          <w:rFonts w:asciiTheme="minorHAnsi" w:hAnsiTheme="minorHAnsi"/>
        </w:rPr>
        <w:t xml:space="preserve">While this relationship is statistically significant, it should be noted that the 95% confidence intervals for these items do overlap and that the p-value is not as strong as those observed for some other relationships (e.g. p&lt;0.0001); this item should be treated with caution.  </w:t>
      </w:r>
      <w:r w:rsidR="00D52BA1">
        <w:rPr>
          <w:rFonts w:asciiTheme="minorHAnsi" w:hAnsiTheme="minorHAnsi"/>
        </w:rPr>
        <w:t xml:space="preserve">See </w:t>
      </w:r>
      <w:r w:rsidR="00563D18">
        <w:rPr>
          <w:rFonts w:asciiTheme="minorHAnsi" w:hAnsiTheme="minorHAnsi"/>
        </w:rPr>
        <w:t>Table 28</w:t>
      </w:r>
      <w:r w:rsidR="00D52BA1">
        <w:rPr>
          <w:rFonts w:asciiTheme="minorHAnsi" w:hAnsiTheme="minorHAnsi"/>
        </w:rPr>
        <w:t xml:space="preserve"> and </w:t>
      </w:r>
      <w:r w:rsidR="00563D18">
        <w:rPr>
          <w:rFonts w:asciiTheme="minorHAnsi" w:hAnsiTheme="minorHAnsi"/>
        </w:rPr>
        <w:t>Table 29</w:t>
      </w:r>
      <w:r w:rsidR="00D52BA1">
        <w:rPr>
          <w:rFonts w:asciiTheme="minorHAnsi" w:hAnsiTheme="minorHAnsi"/>
        </w:rPr>
        <w:t xml:space="preserve"> </w:t>
      </w:r>
      <w:r w:rsidR="0064603A">
        <w:rPr>
          <w:rFonts w:asciiTheme="minorHAnsi" w:hAnsiTheme="minorHAnsi"/>
        </w:rPr>
        <w:t xml:space="preserve">in </w:t>
      </w:r>
      <w:r w:rsidR="00563D18">
        <w:rPr>
          <w:rFonts w:asciiTheme="minorHAnsi" w:hAnsiTheme="minorHAnsi"/>
        </w:rPr>
        <w:t xml:space="preserve">Appendix </w:t>
      </w:r>
      <w:r w:rsidR="00004C86">
        <w:rPr>
          <w:rFonts w:asciiTheme="minorHAnsi" w:hAnsiTheme="minorHAnsi"/>
        </w:rPr>
        <w:t>I for</w:t>
      </w:r>
      <w:r w:rsidR="00D52BA1">
        <w:rPr>
          <w:rFonts w:asciiTheme="minorHAnsi" w:hAnsiTheme="minorHAnsi"/>
        </w:rPr>
        <w:t xml:space="preserve"> further details.</w:t>
      </w:r>
    </w:p>
    <w:p w14:paraId="3897DF70" w14:textId="77777777" w:rsidR="006B5210" w:rsidRDefault="006039A2" w:rsidP="00AF20CE">
      <w:pPr>
        <w:rPr>
          <w:rFonts w:asciiTheme="minorHAnsi" w:hAnsiTheme="minorHAnsi"/>
        </w:rPr>
      </w:pPr>
      <w:r>
        <w:rPr>
          <w:rFonts w:asciiTheme="minorHAnsi" w:hAnsiTheme="minorHAnsi"/>
        </w:rPr>
        <w:t>A</w:t>
      </w:r>
      <w:r w:rsidR="00D52BA1">
        <w:rPr>
          <w:rFonts w:asciiTheme="minorHAnsi" w:hAnsiTheme="minorHAnsi"/>
        </w:rPr>
        <w:t xml:space="preserve"> significant </w:t>
      </w:r>
      <w:r>
        <w:rPr>
          <w:rFonts w:asciiTheme="minorHAnsi" w:hAnsiTheme="minorHAnsi"/>
        </w:rPr>
        <w:t>association was also observed between gend</w:t>
      </w:r>
      <w:r w:rsidR="00D52BA1">
        <w:rPr>
          <w:rFonts w:asciiTheme="minorHAnsi" w:hAnsiTheme="minorHAnsi"/>
        </w:rPr>
        <w:t>er and use of alcohol, with m</w:t>
      </w:r>
      <w:r>
        <w:rPr>
          <w:rFonts w:asciiTheme="minorHAnsi" w:hAnsiTheme="minorHAnsi"/>
        </w:rPr>
        <w:t xml:space="preserve">ales being almost twice </w:t>
      </w:r>
      <w:r w:rsidR="00A76164">
        <w:rPr>
          <w:rFonts w:asciiTheme="minorHAnsi" w:hAnsiTheme="minorHAnsi"/>
        </w:rPr>
        <w:t>as likely as</w:t>
      </w:r>
      <w:r>
        <w:rPr>
          <w:rFonts w:asciiTheme="minorHAnsi" w:hAnsiTheme="minorHAnsi"/>
        </w:rPr>
        <w:t xml:space="preserve"> females to report using alcohol in the past year (p&lt;0.0001; OR 1.9, 1.7 – 2.2). </w:t>
      </w:r>
      <w:r w:rsidR="00D52BA1">
        <w:rPr>
          <w:rFonts w:asciiTheme="minorHAnsi" w:hAnsiTheme="minorHAnsi"/>
        </w:rPr>
        <w:t xml:space="preserve"> </w:t>
      </w:r>
    </w:p>
    <w:p w14:paraId="356393FF" w14:textId="77777777" w:rsidR="006B5210" w:rsidRPr="00D3212A" w:rsidRDefault="006B5210" w:rsidP="00D3212A">
      <w:pPr>
        <w:pStyle w:val="Heading4"/>
      </w:pPr>
      <w:r w:rsidRPr="00D3212A">
        <w:lastRenderedPageBreak/>
        <w:t>Hazardous drinking behaviour</w:t>
      </w:r>
    </w:p>
    <w:p w14:paraId="48315BFA" w14:textId="77777777" w:rsidR="00C1595F" w:rsidRDefault="000C15D4" w:rsidP="00C1595F">
      <w:pPr>
        <w:rPr>
          <w:rFonts w:asciiTheme="minorHAnsi" w:hAnsiTheme="minorHAnsi"/>
        </w:rPr>
      </w:pPr>
      <w:r>
        <w:rPr>
          <w:rFonts w:asciiTheme="minorHAnsi" w:hAnsiTheme="minorHAnsi"/>
        </w:rPr>
        <w:t>A</w:t>
      </w:r>
      <w:r w:rsidR="00C1595F">
        <w:rPr>
          <w:rFonts w:asciiTheme="minorHAnsi" w:hAnsiTheme="minorHAnsi"/>
        </w:rPr>
        <w:t>pproximately 15% of the general population reported using alcohol at hazardous levels</w:t>
      </w:r>
      <w:r>
        <w:rPr>
          <w:rFonts w:asciiTheme="minorHAnsi" w:hAnsiTheme="minorHAnsi"/>
        </w:rPr>
        <w:t>, and the prevalence</w:t>
      </w:r>
      <w:r w:rsidR="003D3C90">
        <w:rPr>
          <w:rFonts w:asciiTheme="minorHAnsi" w:hAnsiTheme="minorHAnsi"/>
        </w:rPr>
        <w:t xml:space="preserve"> </w:t>
      </w:r>
      <w:r w:rsidR="00575F19">
        <w:rPr>
          <w:rFonts w:asciiTheme="minorHAnsi" w:hAnsiTheme="minorHAnsi"/>
        </w:rPr>
        <w:t xml:space="preserve">of hazardous drinking </w:t>
      </w:r>
      <w:r w:rsidR="003D3C90">
        <w:rPr>
          <w:rFonts w:asciiTheme="minorHAnsi" w:hAnsiTheme="minorHAnsi"/>
        </w:rPr>
        <w:t>rose steadily with severity</w:t>
      </w:r>
      <w:r w:rsidR="003D3C90" w:rsidRPr="00427391">
        <w:rPr>
          <w:rFonts w:asciiTheme="minorHAnsi" w:hAnsiTheme="minorHAnsi"/>
        </w:rPr>
        <w:t xml:space="preserve"> </w:t>
      </w:r>
      <w:r w:rsidR="003D3C90">
        <w:rPr>
          <w:rFonts w:asciiTheme="minorHAnsi" w:hAnsiTheme="minorHAnsi"/>
        </w:rPr>
        <w:t xml:space="preserve">of gambling problems: </w:t>
      </w:r>
      <w:r w:rsidR="00C1595F">
        <w:rPr>
          <w:rFonts w:asciiTheme="minorHAnsi" w:hAnsiTheme="minorHAnsi"/>
        </w:rPr>
        <w:t xml:space="preserve">one-third </w:t>
      </w:r>
      <w:r w:rsidR="003D3C90">
        <w:rPr>
          <w:rFonts w:asciiTheme="minorHAnsi" w:hAnsiTheme="minorHAnsi"/>
        </w:rPr>
        <w:t>of</w:t>
      </w:r>
      <w:r w:rsidR="00C1595F">
        <w:rPr>
          <w:rFonts w:asciiTheme="minorHAnsi" w:hAnsiTheme="minorHAnsi"/>
        </w:rPr>
        <w:t xml:space="preserve"> low-risk (33.4%), and one-half </w:t>
      </w:r>
      <w:r w:rsidR="003D3C90">
        <w:rPr>
          <w:rFonts w:asciiTheme="minorHAnsi" w:hAnsiTheme="minorHAnsi"/>
        </w:rPr>
        <w:t>of</w:t>
      </w:r>
      <w:r w:rsidR="00C1595F">
        <w:rPr>
          <w:rFonts w:asciiTheme="minorHAnsi" w:hAnsiTheme="minorHAnsi"/>
        </w:rPr>
        <w:t xml:space="preserve"> moderate-risk/problem (50.6%) gamblers</w:t>
      </w:r>
      <w:r w:rsidR="006C36ED">
        <w:rPr>
          <w:rFonts w:asciiTheme="minorHAnsi" w:hAnsiTheme="minorHAnsi"/>
        </w:rPr>
        <w:t xml:space="preserve"> </w:t>
      </w:r>
      <w:r w:rsidR="003D3C90">
        <w:rPr>
          <w:rFonts w:asciiTheme="minorHAnsi" w:hAnsiTheme="minorHAnsi"/>
        </w:rPr>
        <w:t xml:space="preserve">reported hazardous patterns of alcohol use </w:t>
      </w:r>
      <w:r w:rsidR="006C36ED">
        <w:rPr>
          <w:rFonts w:asciiTheme="minorHAnsi" w:hAnsiTheme="minorHAnsi"/>
        </w:rPr>
        <w:t>(see</w:t>
      </w:r>
      <w:r w:rsidR="00575F19">
        <w:rPr>
          <w:rFonts w:asciiTheme="minorHAnsi" w:hAnsiTheme="minorHAnsi"/>
        </w:rPr>
        <w:t xml:space="preserve"> </w:t>
      </w:r>
      <w:r w:rsidR="002533A0">
        <w:rPr>
          <w:rFonts w:asciiTheme="minorHAnsi" w:hAnsiTheme="minorHAnsi"/>
        </w:rPr>
        <w:t>Figure 23</w:t>
      </w:r>
      <w:r w:rsidR="006C36ED">
        <w:rPr>
          <w:rFonts w:asciiTheme="minorHAnsi" w:hAnsiTheme="minorHAnsi"/>
        </w:rPr>
        <w:t>)</w:t>
      </w:r>
      <w:r w:rsidR="00C1595F">
        <w:rPr>
          <w:rFonts w:asciiTheme="minorHAnsi" w:hAnsiTheme="minorHAnsi"/>
        </w:rPr>
        <w:t>.  This association was found to be significant (p&lt;</w:t>
      </w:r>
      <w:r w:rsidR="00C1595F" w:rsidRPr="00F14E88">
        <w:rPr>
          <w:rFonts w:asciiTheme="minorHAnsi" w:hAnsiTheme="minorHAnsi"/>
        </w:rPr>
        <w:t>0.00</w:t>
      </w:r>
      <w:r w:rsidR="00C1595F">
        <w:rPr>
          <w:rFonts w:asciiTheme="minorHAnsi" w:hAnsiTheme="minorHAnsi"/>
        </w:rPr>
        <w:t>0</w:t>
      </w:r>
      <w:r w:rsidR="00C1595F" w:rsidRPr="00F14E88">
        <w:rPr>
          <w:rFonts w:asciiTheme="minorHAnsi" w:hAnsiTheme="minorHAnsi"/>
        </w:rPr>
        <w:t>1)</w:t>
      </w:r>
      <w:r w:rsidR="00C1595F">
        <w:rPr>
          <w:rFonts w:asciiTheme="minorHAnsi" w:hAnsiTheme="minorHAnsi"/>
        </w:rPr>
        <w:t xml:space="preserve">, with </w:t>
      </w:r>
      <w:r w:rsidR="003D3C90">
        <w:rPr>
          <w:rFonts w:asciiTheme="minorHAnsi" w:hAnsiTheme="minorHAnsi"/>
        </w:rPr>
        <w:t xml:space="preserve">low-risk gamblers being nearly three times (OR 2.8) and </w:t>
      </w:r>
      <w:r w:rsidR="00C1595F">
        <w:rPr>
          <w:rFonts w:asciiTheme="minorHAnsi" w:hAnsiTheme="minorHAnsi"/>
        </w:rPr>
        <w:t xml:space="preserve">moderate-risk/problem gamblers being almost five times </w:t>
      </w:r>
      <w:r w:rsidR="003D3C90">
        <w:rPr>
          <w:rFonts w:asciiTheme="minorHAnsi" w:hAnsiTheme="minorHAnsi"/>
        </w:rPr>
        <w:t xml:space="preserve">(OR 4.7) more likely </w:t>
      </w:r>
      <w:r w:rsidR="00C1595F">
        <w:rPr>
          <w:rFonts w:asciiTheme="minorHAnsi" w:hAnsiTheme="minorHAnsi"/>
        </w:rPr>
        <w:t>than those with no gambling related problems to report hazardous drinking behaviour</w:t>
      </w:r>
      <w:r w:rsidR="006C36ED">
        <w:rPr>
          <w:rFonts w:asciiTheme="minorHAnsi" w:hAnsiTheme="minorHAnsi"/>
        </w:rPr>
        <w:t xml:space="preserve"> (</w:t>
      </w:r>
      <w:r w:rsidR="00DB12F9">
        <w:rPr>
          <w:rFonts w:asciiTheme="minorHAnsi" w:hAnsiTheme="minorHAnsi"/>
        </w:rPr>
        <w:t xml:space="preserve">see </w:t>
      </w:r>
      <w:r w:rsidR="00287E21">
        <w:rPr>
          <w:rFonts w:asciiTheme="minorHAnsi" w:hAnsiTheme="minorHAnsi"/>
        </w:rPr>
        <w:t>Table 29, Appendix I</w:t>
      </w:r>
      <w:r w:rsidR="006C36ED">
        <w:rPr>
          <w:rFonts w:asciiTheme="minorHAnsi" w:hAnsiTheme="minorHAnsi"/>
        </w:rPr>
        <w:t>)</w:t>
      </w:r>
      <w:r w:rsidR="00C1595F">
        <w:rPr>
          <w:rFonts w:asciiTheme="minorHAnsi" w:hAnsiTheme="minorHAnsi"/>
        </w:rPr>
        <w:t xml:space="preserve">.  </w:t>
      </w:r>
    </w:p>
    <w:p w14:paraId="28A26475" w14:textId="77777777" w:rsidR="00C1595F" w:rsidRDefault="00DB12F9" w:rsidP="00C1595F">
      <w:pPr>
        <w:rPr>
          <w:rFonts w:asciiTheme="minorHAnsi" w:hAnsiTheme="minorHAnsi"/>
        </w:rPr>
      </w:pPr>
      <w:r>
        <w:rPr>
          <w:rFonts w:asciiTheme="minorHAnsi" w:hAnsiTheme="minorHAnsi"/>
        </w:rPr>
        <w:t xml:space="preserve">As shown in </w:t>
      </w:r>
      <w:r w:rsidR="00287E21">
        <w:rPr>
          <w:rFonts w:asciiTheme="minorHAnsi" w:hAnsiTheme="minorHAnsi"/>
        </w:rPr>
        <w:t>Figure 23</w:t>
      </w:r>
      <w:r>
        <w:rPr>
          <w:rFonts w:asciiTheme="minorHAnsi" w:hAnsiTheme="minorHAnsi"/>
        </w:rPr>
        <w:t>, s</w:t>
      </w:r>
      <w:r w:rsidR="00C1595F">
        <w:rPr>
          <w:rFonts w:asciiTheme="minorHAnsi" w:hAnsiTheme="minorHAnsi"/>
        </w:rPr>
        <w:t>ignificant gender effects were</w:t>
      </w:r>
      <w:r w:rsidR="003D3C90">
        <w:rPr>
          <w:rFonts w:asciiTheme="minorHAnsi" w:hAnsiTheme="minorHAnsi"/>
        </w:rPr>
        <w:t xml:space="preserve"> also</w:t>
      </w:r>
      <w:r w:rsidR="00C1595F">
        <w:rPr>
          <w:rFonts w:asciiTheme="minorHAnsi" w:hAnsiTheme="minorHAnsi"/>
        </w:rPr>
        <w:t xml:space="preserve"> observed in relation to gambling and hazardous alcohol use (p&lt;0.0001)</w:t>
      </w:r>
      <w:r w:rsidR="005F4BD2">
        <w:rPr>
          <w:rFonts w:asciiTheme="minorHAnsi" w:hAnsiTheme="minorHAnsi"/>
        </w:rPr>
        <w:t>.  M</w:t>
      </w:r>
      <w:r w:rsidR="00C1595F">
        <w:rPr>
          <w:rFonts w:asciiTheme="minorHAnsi" w:hAnsiTheme="minorHAnsi"/>
        </w:rPr>
        <w:t>ales</w:t>
      </w:r>
      <w:r w:rsidR="00C1595F" w:rsidRPr="00C1595F">
        <w:rPr>
          <w:rFonts w:asciiTheme="minorHAnsi" w:hAnsiTheme="minorHAnsi"/>
        </w:rPr>
        <w:t xml:space="preserve"> </w:t>
      </w:r>
      <w:r w:rsidR="005F4BD2">
        <w:rPr>
          <w:rFonts w:asciiTheme="minorHAnsi" w:hAnsiTheme="minorHAnsi"/>
        </w:rPr>
        <w:t>were</w:t>
      </w:r>
      <w:r w:rsidR="00C1595F">
        <w:rPr>
          <w:rFonts w:asciiTheme="minorHAnsi" w:hAnsiTheme="minorHAnsi"/>
        </w:rPr>
        <w:t xml:space="preserve"> three times </w:t>
      </w:r>
      <w:r w:rsidR="003D3C90">
        <w:rPr>
          <w:rFonts w:asciiTheme="minorHAnsi" w:hAnsiTheme="minorHAnsi"/>
        </w:rPr>
        <w:t xml:space="preserve">(OR 3.1) </w:t>
      </w:r>
      <w:r w:rsidR="00C1595F">
        <w:rPr>
          <w:rFonts w:asciiTheme="minorHAnsi" w:hAnsiTheme="minorHAnsi"/>
        </w:rPr>
        <w:t>more likely than females to re</w:t>
      </w:r>
      <w:r w:rsidR="003D3C90">
        <w:rPr>
          <w:rFonts w:asciiTheme="minorHAnsi" w:hAnsiTheme="minorHAnsi"/>
        </w:rPr>
        <w:t>port hazardous drinking</w:t>
      </w:r>
      <w:r w:rsidR="00C1595F">
        <w:rPr>
          <w:rFonts w:asciiTheme="minorHAnsi" w:hAnsiTheme="minorHAnsi"/>
        </w:rPr>
        <w:t>.  Males who were classified as non-gamblers, non-problem/recreational gamblers and low-risk gamblers were significantly more likely than their female counterparts t</w:t>
      </w:r>
      <w:r>
        <w:rPr>
          <w:rFonts w:asciiTheme="minorHAnsi" w:hAnsiTheme="minorHAnsi"/>
        </w:rPr>
        <w:t>o report hazardous drinking</w:t>
      </w:r>
      <w:r w:rsidR="00C1595F">
        <w:rPr>
          <w:rFonts w:asciiTheme="minorHAnsi" w:hAnsiTheme="minorHAnsi"/>
        </w:rPr>
        <w:t>.</w:t>
      </w:r>
    </w:p>
    <w:p w14:paraId="78F49FC9" w14:textId="77777777" w:rsidR="00AF20CE" w:rsidRPr="00AF20CE" w:rsidRDefault="00AF20CE" w:rsidP="00F06924">
      <w:pPr>
        <w:pStyle w:val="Caption"/>
        <w:keepNext/>
        <w:spacing w:after="0" w:line="276" w:lineRule="auto"/>
        <w:ind w:left="993" w:hanging="993"/>
        <w:jc w:val="left"/>
        <w:rPr>
          <w:rFonts w:asciiTheme="minorHAnsi" w:hAnsiTheme="minorHAnsi" w:cstheme="minorHAnsi"/>
          <w:i/>
        </w:rPr>
      </w:pPr>
      <w:bookmarkStart w:id="133" w:name="_Ref397522089"/>
      <w:bookmarkStart w:id="134" w:name="_Ref397522086"/>
      <w:bookmarkStart w:id="135" w:name="_Toc425426996"/>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23</w:t>
      </w:r>
      <w:r w:rsidRPr="00AF20CE">
        <w:rPr>
          <w:rFonts w:asciiTheme="minorHAnsi" w:hAnsiTheme="minorHAnsi" w:cstheme="minorHAnsi"/>
          <w:i/>
        </w:rPr>
        <w:fldChar w:fldCharType="end"/>
      </w:r>
      <w:bookmarkEnd w:id="133"/>
      <w:r w:rsidRPr="00AF20CE">
        <w:rPr>
          <w:rFonts w:asciiTheme="minorHAnsi" w:hAnsiTheme="minorHAnsi" w:cstheme="minorHAnsi"/>
          <w:i/>
        </w:rPr>
        <w:t xml:space="preserve">: </w:t>
      </w:r>
      <w:r w:rsidR="00AF6E1C">
        <w:rPr>
          <w:rFonts w:asciiTheme="minorHAnsi" w:hAnsiTheme="minorHAnsi" w:cstheme="minorHAnsi"/>
          <w:i/>
        </w:rPr>
        <w:tab/>
      </w:r>
      <w:r w:rsidRPr="00AF20CE">
        <w:rPr>
          <w:rFonts w:asciiTheme="minorHAnsi" w:hAnsiTheme="minorHAnsi" w:cstheme="minorHAnsi"/>
          <w:i/>
        </w:rPr>
        <w:t xml:space="preserve">Prevalence of hazardous drinking by gambling status and gender, </w:t>
      </w:r>
      <w:r w:rsidRPr="00AF3A24">
        <w:rPr>
          <w:rFonts w:asciiTheme="minorHAnsi" w:hAnsiTheme="minorHAnsi" w:cstheme="minorHAnsi"/>
          <w:i/>
        </w:rPr>
        <w:t>total population aged 15 years and over (unadjusted prevalence; N=12,</w:t>
      </w:r>
      <w:r w:rsidR="00DC4E02">
        <w:rPr>
          <w:rFonts w:asciiTheme="minorHAnsi" w:hAnsiTheme="minorHAnsi" w:cstheme="minorHAnsi"/>
          <w:i/>
        </w:rPr>
        <w:t>392</w:t>
      </w:r>
      <w:r w:rsidRPr="00AF3A24">
        <w:rPr>
          <w:rFonts w:asciiTheme="minorHAnsi" w:hAnsiTheme="minorHAnsi" w:cstheme="minorHAnsi"/>
          <w:i/>
        </w:rPr>
        <w:t xml:space="preserve">) </w:t>
      </w:r>
      <w:r w:rsidRPr="00AF20CE">
        <w:rPr>
          <w:rFonts w:asciiTheme="minorHAnsi" w:hAnsiTheme="minorHAnsi" w:cstheme="minorHAnsi"/>
          <w:i/>
          <w:vertAlign w:val="superscript"/>
        </w:rPr>
        <w:t>1</w:t>
      </w:r>
      <w:bookmarkEnd w:id="134"/>
      <w:bookmarkEnd w:id="135"/>
    </w:p>
    <w:p w14:paraId="5BA2E691" w14:textId="77777777" w:rsidR="00AF20CE" w:rsidRDefault="00AF20CE" w:rsidP="009570D4">
      <w:pPr>
        <w:spacing w:line="240" w:lineRule="auto"/>
        <w:jc w:val="center"/>
      </w:pPr>
      <w:r>
        <w:rPr>
          <w:noProof/>
          <w:lang w:eastAsia="en-NZ"/>
        </w:rPr>
        <w:drawing>
          <wp:inline distT="0" distB="0" distL="0" distR="0" wp14:anchorId="1BCB4BE9" wp14:editId="612BFC10">
            <wp:extent cx="5049671" cy="2879678"/>
            <wp:effectExtent l="0" t="0" r="17780" b="165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3742EF5" w14:textId="77777777" w:rsidR="00253419" w:rsidRPr="00AF3A24" w:rsidRDefault="00253419" w:rsidP="00513F98">
      <w:pPr>
        <w:spacing w:before="0" w:line="240" w:lineRule="auto"/>
        <w:ind w:left="1276" w:right="1380" w:hanging="283"/>
        <w:rPr>
          <w:rFonts w:asciiTheme="minorHAnsi" w:hAnsiTheme="minorHAnsi" w:cstheme="minorHAnsi"/>
          <w:sz w:val="16"/>
        </w:rPr>
      </w:pPr>
      <w:r w:rsidRPr="00AF3A24">
        <w:rPr>
          <w:rFonts w:asciiTheme="minorHAnsi" w:hAnsiTheme="minorHAnsi" w:cstheme="minorHAnsi"/>
          <w:sz w:val="16"/>
        </w:rPr>
        <w:t>Notes:</w:t>
      </w:r>
    </w:p>
    <w:p w14:paraId="6B3A1E28" w14:textId="77777777" w:rsidR="00253419" w:rsidRPr="00AF3A24" w:rsidRDefault="00253419" w:rsidP="006A0B0E">
      <w:pPr>
        <w:pStyle w:val="ListParagraph"/>
        <w:numPr>
          <w:ilvl w:val="0"/>
          <w:numId w:val="44"/>
        </w:numPr>
        <w:spacing w:line="240" w:lineRule="auto"/>
        <w:ind w:left="1276" w:right="1380" w:hanging="283"/>
        <w:rPr>
          <w:rFonts w:asciiTheme="minorHAnsi" w:hAnsiTheme="minorHAnsi" w:cstheme="minorHAnsi"/>
          <w:sz w:val="16"/>
        </w:rPr>
      </w:pPr>
      <w:r w:rsidRPr="00AF3A24">
        <w:rPr>
          <w:rFonts w:asciiTheme="minorHAnsi" w:hAnsiTheme="minorHAnsi" w:cstheme="minorHAnsi"/>
          <w:sz w:val="16"/>
        </w:rPr>
        <w:t>Source: 201</w:t>
      </w:r>
      <w:r w:rsidR="00513F98">
        <w:rPr>
          <w:rFonts w:asciiTheme="minorHAnsi" w:hAnsiTheme="minorHAnsi" w:cstheme="minorHAnsi"/>
          <w:sz w:val="16"/>
        </w:rPr>
        <w:t>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2FA3C45E" w14:textId="77777777" w:rsidR="00AF20CE" w:rsidRDefault="00AF20CE" w:rsidP="00102991"/>
    <w:p w14:paraId="38B109EA" w14:textId="77777777" w:rsidR="00565ED8" w:rsidRPr="00D3212A" w:rsidRDefault="00565ED8" w:rsidP="00D3212A">
      <w:pPr>
        <w:pStyle w:val="Heading4"/>
      </w:pPr>
      <w:r w:rsidRPr="00D3212A">
        <w:lastRenderedPageBreak/>
        <w:t xml:space="preserve">Alcohol </w:t>
      </w:r>
      <w:r w:rsidR="00427391" w:rsidRPr="00D3212A">
        <w:t>dependence</w:t>
      </w:r>
    </w:p>
    <w:p w14:paraId="7AD61F96" w14:textId="77777777" w:rsidR="00C56571" w:rsidRDefault="00C9363C" w:rsidP="00B4249C">
      <w:pPr>
        <w:rPr>
          <w:rFonts w:asciiTheme="minorHAnsi" w:hAnsiTheme="minorHAnsi"/>
        </w:rPr>
      </w:pPr>
      <w:r w:rsidRPr="00C9363C">
        <w:rPr>
          <w:rFonts w:asciiTheme="minorHAnsi" w:hAnsiTheme="minorHAnsi"/>
        </w:rPr>
        <w:t>Approximately five percent (4.8%) of the</w:t>
      </w:r>
      <w:r w:rsidR="002D3BFF">
        <w:rPr>
          <w:rFonts w:asciiTheme="minorHAnsi" w:hAnsiTheme="minorHAnsi"/>
        </w:rPr>
        <w:t xml:space="preserve"> total adult</w:t>
      </w:r>
      <w:r w:rsidRPr="00C9363C">
        <w:rPr>
          <w:rFonts w:asciiTheme="minorHAnsi" w:hAnsiTheme="minorHAnsi"/>
        </w:rPr>
        <w:t xml:space="preserve"> population satisfied the</w:t>
      </w:r>
      <w:r w:rsidR="0044450C">
        <w:rPr>
          <w:rFonts w:asciiTheme="minorHAnsi" w:hAnsiTheme="minorHAnsi"/>
        </w:rPr>
        <w:t xml:space="preserve"> AUDIT</w:t>
      </w:r>
      <w:r w:rsidRPr="00C9363C">
        <w:rPr>
          <w:rFonts w:asciiTheme="minorHAnsi" w:hAnsiTheme="minorHAnsi"/>
        </w:rPr>
        <w:t xml:space="preserve"> criteria for alcohol dependence. </w:t>
      </w:r>
      <w:r w:rsidR="00013D0A">
        <w:rPr>
          <w:rFonts w:asciiTheme="minorHAnsi" w:hAnsiTheme="minorHAnsi"/>
        </w:rPr>
        <w:t xml:space="preserve"> </w:t>
      </w:r>
      <w:r w:rsidRPr="00C9363C">
        <w:rPr>
          <w:rFonts w:asciiTheme="minorHAnsi" w:hAnsiTheme="minorHAnsi"/>
        </w:rPr>
        <w:t xml:space="preserve">This rose to </w:t>
      </w:r>
      <w:r>
        <w:rPr>
          <w:rFonts w:asciiTheme="minorHAnsi" w:hAnsiTheme="minorHAnsi"/>
        </w:rPr>
        <w:t xml:space="preserve">10.7% for low-risk and </w:t>
      </w:r>
      <w:r w:rsidRPr="00C9363C">
        <w:rPr>
          <w:rFonts w:asciiTheme="minorHAnsi" w:hAnsiTheme="minorHAnsi"/>
        </w:rPr>
        <w:t xml:space="preserve">29.2% </w:t>
      </w:r>
      <w:r>
        <w:rPr>
          <w:rFonts w:asciiTheme="minorHAnsi" w:hAnsiTheme="minorHAnsi"/>
        </w:rPr>
        <w:t xml:space="preserve">for moderate-risk/problem gamblers (see </w:t>
      </w:r>
      <w:r w:rsidR="00287E21">
        <w:rPr>
          <w:rFonts w:asciiTheme="minorHAnsi" w:hAnsiTheme="minorHAnsi"/>
        </w:rPr>
        <w:t>Table 28</w:t>
      </w:r>
      <w:r w:rsidR="002D3BFF">
        <w:rPr>
          <w:rFonts w:asciiTheme="minorHAnsi" w:hAnsiTheme="minorHAnsi"/>
        </w:rPr>
        <w:t xml:space="preserve">, </w:t>
      </w:r>
      <w:r w:rsidR="00287E21">
        <w:rPr>
          <w:rFonts w:asciiTheme="minorHAnsi" w:hAnsiTheme="minorHAnsi"/>
        </w:rPr>
        <w:t>Appendix I</w:t>
      </w:r>
      <w:r>
        <w:rPr>
          <w:rFonts w:asciiTheme="minorHAnsi" w:hAnsiTheme="minorHAnsi"/>
        </w:rPr>
        <w:t>)</w:t>
      </w:r>
      <w:r w:rsidR="002D3BFF">
        <w:rPr>
          <w:rFonts w:asciiTheme="minorHAnsi" w:hAnsiTheme="minorHAnsi"/>
        </w:rPr>
        <w:t xml:space="preserve">. </w:t>
      </w:r>
      <w:r w:rsidR="00013D0A">
        <w:rPr>
          <w:rFonts w:asciiTheme="minorHAnsi" w:hAnsiTheme="minorHAnsi"/>
        </w:rPr>
        <w:t xml:space="preserve"> </w:t>
      </w:r>
      <w:r w:rsidR="00C87CE1">
        <w:rPr>
          <w:rFonts w:asciiTheme="minorHAnsi" w:hAnsiTheme="minorHAnsi"/>
        </w:rPr>
        <w:t>Significance testing revealed that a</w:t>
      </w:r>
      <w:r w:rsidR="000F48F2">
        <w:rPr>
          <w:rFonts w:asciiTheme="minorHAnsi" w:hAnsiTheme="minorHAnsi"/>
        </w:rPr>
        <w:t xml:space="preserve">lcohol dependence </w:t>
      </w:r>
      <w:r w:rsidR="00C66568">
        <w:rPr>
          <w:rFonts w:asciiTheme="minorHAnsi" w:hAnsiTheme="minorHAnsi"/>
        </w:rPr>
        <w:t>was more prevalent amongst males (p&lt;0.0001)</w:t>
      </w:r>
      <w:r w:rsidR="00A718AD">
        <w:rPr>
          <w:rFonts w:asciiTheme="minorHAnsi" w:hAnsiTheme="minorHAnsi"/>
        </w:rPr>
        <w:t>.  T</w:t>
      </w:r>
      <w:r w:rsidR="00DC3945">
        <w:rPr>
          <w:rFonts w:asciiTheme="minorHAnsi" w:hAnsiTheme="minorHAnsi"/>
        </w:rPr>
        <w:t xml:space="preserve">he odds of alcohol dependence increased </w:t>
      </w:r>
      <w:r w:rsidR="00C34323">
        <w:rPr>
          <w:rFonts w:asciiTheme="minorHAnsi" w:hAnsiTheme="minorHAnsi"/>
        </w:rPr>
        <w:t xml:space="preserve">significantly </w:t>
      </w:r>
      <w:r w:rsidR="00DC3945">
        <w:rPr>
          <w:rFonts w:asciiTheme="minorHAnsi" w:hAnsiTheme="minorHAnsi"/>
        </w:rPr>
        <w:t>with gambling severity</w:t>
      </w:r>
      <w:r w:rsidR="00C87CE1">
        <w:rPr>
          <w:rFonts w:asciiTheme="minorHAnsi" w:hAnsiTheme="minorHAnsi"/>
        </w:rPr>
        <w:t xml:space="preserve"> (p&lt;0.0001)</w:t>
      </w:r>
      <w:r w:rsidR="0036437B">
        <w:rPr>
          <w:rFonts w:asciiTheme="minorHAnsi" w:hAnsiTheme="minorHAnsi"/>
        </w:rPr>
        <w:t>:</w:t>
      </w:r>
      <w:r w:rsidR="00DC3945">
        <w:rPr>
          <w:rFonts w:asciiTheme="minorHAnsi" w:hAnsiTheme="minorHAnsi"/>
        </w:rPr>
        <w:t xml:space="preserve"> </w:t>
      </w:r>
      <w:r w:rsidR="00013D0A">
        <w:rPr>
          <w:rFonts w:asciiTheme="minorHAnsi" w:hAnsiTheme="minorHAnsi"/>
        </w:rPr>
        <w:t>compared to pe</w:t>
      </w:r>
      <w:r w:rsidR="009679A0">
        <w:rPr>
          <w:rFonts w:asciiTheme="minorHAnsi" w:hAnsiTheme="minorHAnsi"/>
        </w:rPr>
        <w:t>ople with no gambling problems</w:t>
      </w:r>
      <w:r w:rsidR="00013D0A">
        <w:rPr>
          <w:rFonts w:asciiTheme="minorHAnsi" w:hAnsiTheme="minorHAnsi"/>
        </w:rPr>
        <w:t xml:space="preserve">, </w:t>
      </w:r>
      <w:r w:rsidR="00DC3945">
        <w:rPr>
          <w:rFonts w:asciiTheme="minorHAnsi" w:hAnsiTheme="minorHAnsi"/>
        </w:rPr>
        <w:t xml:space="preserve">at-risk </w:t>
      </w:r>
      <w:r w:rsidR="00013D0A">
        <w:rPr>
          <w:rFonts w:asciiTheme="minorHAnsi" w:hAnsiTheme="minorHAnsi"/>
        </w:rPr>
        <w:t>gamblers were twice (OR 2.0</w:t>
      </w:r>
      <w:r w:rsidR="0036437B">
        <w:rPr>
          <w:rFonts w:asciiTheme="minorHAnsi" w:hAnsiTheme="minorHAnsi"/>
        </w:rPr>
        <w:t xml:space="preserve">) </w:t>
      </w:r>
      <w:r w:rsidR="00DC3945">
        <w:rPr>
          <w:rFonts w:asciiTheme="minorHAnsi" w:hAnsiTheme="minorHAnsi"/>
        </w:rPr>
        <w:t xml:space="preserve">and moderate-risk/problem gamblers six </w:t>
      </w:r>
      <w:r w:rsidR="0036437B">
        <w:rPr>
          <w:rFonts w:asciiTheme="minorHAnsi" w:hAnsiTheme="minorHAnsi"/>
        </w:rPr>
        <w:t xml:space="preserve">(OR 6.3) </w:t>
      </w:r>
      <w:r w:rsidR="00DC3945">
        <w:rPr>
          <w:rFonts w:asciiTheme="minorHAnsi" w:hAnsiTheme="minorHAnsi"/>
        </w:rPr>
        <w:t xml:space="preserve">times </w:t>
      </w:r>
      <w:r w:rsidR="00013D0A">
        <w:rPr>
          <w:rFonts w:asciiTheme="minorHAnsi" w:hAnsiTheme="minorHAnsi"/>
        </w:rPr>
        <w:t>more</w:t>
      </w:r>
      <w:r w:rsidR="00DC3945">
        <w:rPr>
          <w:rFonts w:asciiTheme="minorHAnsi" w:hAnsiTheme="minorHAnsi"/>
        </w:rPr>
        <w:t xml:space="preserve"> likely to report issues with alcohol dependence </w:t>
      </w:r>
      <w:r w:rsidR="00C34323">
        <w:rPr>
          <w:rFonts w:asciiTheme="minorHAnsi" w:hAnsiTheme="minorHAnsi"/>
        </w:rPr>
        <w:t>(see</w:t>
      </w:r>
      <w:r w:rsidR="006C36ED">
        <w:rPr>
          <w:rFonts w:asciiTheme="minorHAnsi" w:hAnsiTheme="minorHAnsi"/>
        </w:rPr>
        <w:t xml:space="preserve"> </w:t>
      </w:r>
      <w:r w:rsidR="00287E21">
        <w:rPr>
          <w:rFonts w:asciiTheme="minorHAnsi" w:hAnsiTheme="minorHAnsi"/>
        </w:rPr>
        <w:t>Table 29</w:t>
      </w:r>
      <w:r w:rsidR="00616FA5">
        <w:rPr>
          <w:rFonts w:asciiTheme="minorHAnsi" w:hAnsiTheme="minorHAnsi"/>
        </w:rPr>
        <w:t xml:space="preserve">, </w:t>
      </w:r>
      <w:r w:rsidR="00287E21">
        <w:rPr>
          <w:rFonts w:asciiTheme="minorHAnsi" w:hAnsiTheme="minorHAnsi"/>
        </w:rPr>
        <w:t>Appendix I</w:t>
      </w:r>
      <w:r w:rsidR="00C34323">
        <w:rPr>
          <w:rFonts w:asciiTheme="minorHAnsi" w:hAnsiTheme="minorHAnsi"/>
        </w:rPr>
        <w:t>)</w:t>
      </w:r>
      <w:r w:rsidR="0036437B">
        <w:rPr>
          <w:rFonts w:asciiTheme="minorHAnsi" w:hAnsiTheme="minorHAnsi"/>
        </w:rPr>
        <w:t>.</w:t>
      </w:r>
    </w:p>
    <w:p w14:paraId="0386A592" w14:textId="77777777" w:rsidR="00C56571" w:rsidRPr="000074FF" w:rsidRDefault="00D77F65" w:rsidP="00F061EF">
      <w:pPr>
        <w:pStyle w:val="Heading3"/>
      </w:pPr>
      <w:bookmarkStart w:id="136" w:name="_Toc403833180"/>
      <w:r>
        <w:t>S</w:t>
      </w:r>
      <w:r w:rsidR="00C56571" w:rsidRPr="000074FF">
        <w:t>moking</w:t>
      </w:r>
      <w:bookmarkEnd w:id="136"/>
    </w:p>
    <w:p w14:paraId="5F8A910D" w14:textId="77777777" w:rsidR="00BA39B9" w:rsidRPr="00BA39B9" w:rsidRDefault="00477741" w:rsidP="00BA39B9">
      <w:pPr>
        <w:rPr>
          <w:rFonts w:asciiTheme="minorHAnsi" w:hAnsiTheme="minorHAnsi"/>
        </w:rPr>
      </w:pPr>
      <w:r>
        <w:rPr>
          <w:rFonts w:asciiTheme="minorHAnsi" w:hAnsiTheme="minorHAnsi"/>
        </w:rPr>
        <w:t>T</w:t>
      </w:r>
      <w:r w:rsidR="00BA39B9" w:rsidRPr="00BA39B9">
        <w:rPr>
          <w:rFonts w:asciiTheme="minorHAnsi" w:hAnsiTheme="minorHAnsi"/>
        </w:rPr>
        <w:t xml:space="preserve">he prevalence of current smoking </w:t>
      </w:r>
      <w:r>
        <w:rPr>
          <w:rFonts w:asciiTheme="minorHAnsi" w:hAnsiTheme="minorHAnsi"/>
        </w:rPr>
        <w:t>i</w:t>
      </w:r>
      <w:r w:rsidRPr="00BA39B9">
        <w:rPr>
          <w:rFonts w:asciiTheme="minorHAnsi" w:hAnsiTheme="minorHAnsi"/>
        </w:rPr>
        <w:t xml:space="preserve">n the total adult population </w:t>
      </w:r>
      <w:r w:rsidR="00BA39B9" w:rsidRPr="00BA39B9">
        <w:rPr>
          <w:rFonts w:asciiTheme="minorHAnsi" w:hAnsiTheme="minorHAnsi"/>
        </w:rPr>
        <w:t xml:space="preserve">was 18.4%. </w:t>
      </w:r>
      <w:r w:rsidR="00C7001F">
        <w:rPr>
          <w:rFonts w:asciiTheme="minorHAnsi" w:hAnsiTheme="minorHAnsi"/>
        </w:rPr>
        <w:t xml:space="preserve"> </w:t>
      </w:r>
      <w:r w:rsidR="00287E21">
        <w:rPr>
          <w:rFonts w:asciiTheme="minorHAnsi" w:hAnsiTheme="minorHAnsi"/>
        </w:rPr>
        <w:t>Figure 24</w:t>
      </w:r>
      <w:r w:rsidR="00BA39B9">
        <w:rPr>
          <w:rFonts w:asciiTheme="minorHAnsi" w:hAnsiTheme="minorHAnsi"/>
        </w:rPr>
        <w:t xml:space="preserve"> shows that the prevalence of smoking increased steadily with problem gambling severity</w:t>
      </w:r>
      <w:r w:rsidR="00C87CE1">
        <w:rPr>
          <w:rFonts w:asciiTheme="minorHAnsi" w:hAnsiTheme="minorHAnsi"/>
        </w:rPr>
        <w:t>, for both males and females</w:t>
      </w:r>
      <w:r w:rsidR="00BA39B9">
        <w:rPr>
          <w:rFonts w:asciiTheme="minorHAnsi" w:hAnsiTheme="minorHAnsi"/>
        </w:rPr>
        <w:t xml:space="preserve">: 18.5% of non-problem/recreational, 42.8% of low-risk and 57.0% of moderate-risk/problem gamblers were current smokers. </w:t>
      </w:r>
      <w:r w:rsidR="001B300A">
        <w:rPr>
          <w:rFonts w:asciiTheme="minorHAnsi" w:hAnsiTheme="minorHAnsi"/>
        </w:rPr>
        <w:t xml:space="preserve"> The association between current smoking and gambling status was significant (p&lt;0.0001), </w:t>
      </w:r>
      <w:r w:rsidR="00C7001F">
        <w:rPr>
          <w:rFonts w:asciiTheme="minorHAnsi" w:hAnsiTheme="minorHAnsi"/>
        </w:rPr>
        <w:t>with low-risk and m</w:t>
      </w:r>
      <w:r w:rsidR="005C01CF">
        <w:rPr>
          <w:rFonts w:asciiTheme="minorHAnsi" w:hAnsiTheme="minorHAnsi"/>
        </w:rPr>
        <w:t xml:space="preserve">oderate-risk/problem gamblers </w:t>
      </w:r>
      <w:r w:rsidR="00C7001F">
        <w:rPr>
          <w:rFonts w:asciiTheme="minorHAnsi" w:hAnsiTheme="minorHAnsi"/>
        </w:rPr>
        <w:t>being</w:t>
      </w:r>
      <w:r w:rsidR="005C01CF">
        <w:rPr>
          <w:rFonts w:asciiTheme="minorHAnsi" w:hAnsiTheme="minorHAnsi"/>
        </w:rPr>
        <w:t xml:space="preserve"> </w:t>
      </w:r>
      <w:r w:rsidR="00C7001F">
        <w:rPr>
          <w:rFonts w:asciiTheme="minorHAnsi" w:hAnsiTheme="minorHAnsi"/>
        </w:rPr>
        <w:t>more likely (OR 3.0 and OR 4.2 respectively</w:t>
      </w:r>
      <w:r w:rsidR="005C01CF">
        <w:rPr>
          <w:rFonts w:asciiTheme="minorHAnsi" w:hAnsiTheme="minorHAnsi"/>
        </w:rPr>
        <w:t xml:space="preserve">) </w:t>
      </w:r>
      <w:r w:rsidR="00C7001F">
        <w:rPr>
          <w:rFonts w:asciiTheme="minorHAnsi" w:hAnsiTheme="minorHAnsi"/>
        </w:rPr>
        <w:t xml:space="preserve">than people with no gambling problems </w:t>
      </w:r>
      <w:r w:rsidR="005C01CF">
        <w:rPr>
          <w:rFonts w:asciiTheme="minorHAnsi" w:hAnsiTheme="minorHAnsi"/>
        </w:rPr>
        <w:t xml:space="preserve">to be current smokers. </w:t>
      </w:r>
      <w:r w:rsidR="00EF5CDB">
        <w:rPr>
          <w:rFonts w:asciiTheme="minorHAnsi" w:hAnsiTheme="minorHAnsi"/>
        </w:rPr>
        <w:t xml:space="preserve"> </w:t>
      </w:r>
      <w:r>
        <w:rPr>
          <w:rFonts w:asciiTheme="minorHAnsi" w:hAnsiTheme="minorHAnsi"/>
        </w:rPr>
        <w:t xml:space="preserve">See </w:t>
      </w:r>
      <w:r w:rsidR="00287E21">
        <w:rPr>
          <w:rFonts w:asciiTheme="minorHAnsi" w:hAnsiTheme="minorHAnsi"/>
        </w:rPr>
        <w:t>Appendix I</w:t>
      </w:r>
      <w:r>
        <w:rPr>
          <w:rFonts w:asciiTheme="minorHAnsi" w:hAnsiTheme="minorHAnsi"/>
        </w:rPr>
        <w:t xml:space="preserve"> (</w:t>
      </w:r>
      <w:r w:rsidR="00287E21">
        <w:rPr>
          <w:rFonts w:asciiTheme="minorHAnsi" w:hAnsiTheme="minorHAnsi"/>
        </w:rPr>
        <w:t>Table 28 and Table 29</w:t>
      </w:r>
      <w:r>
        <w:rPr>
          <w:rFonts w:asciiTheme="minorHAnsi" w:hAnsiTheme="minorHAnsi"/>
        </w:rPr>
        <w:t xml:space="preserve">) for further details. </w:t>
      </w:r>
    </w:p>
    <w:p w14:paraId="61EB96B5" w14:textId="77777777" w:rsidR="00BA39B9" w:rsidRPr="00AF20CE" w:rsidRDefault="00BA39B9" w:rsidP="00FB0414">
      <w:pPr>
        <w:pStyle w:val="Caption"/>
        <w:keepNext/>
        <w:tabs>
          <w:tab w:val="left" w:pos="993"/>
        </w:tabs>
        <w:spacing w:after="0" w:line="276" w:lineRule="auto"/>
        <w:ind w:left="993" w:hanging="993"/>
        <w:jc w:val="left"/>
        <w:rPr>
          <w:rFonts w:asciiTheme="minorHAnsi" w:hAnsiTheme="minorHAnsi" w:cstheme="minorHAnsi"/>
          <w:i/>
        </w:rPr>
      </w:pPr>
      <w:bookmarkStart w:id="137" w:name="_Ref397590141"/>
      <w:bookmarkStart w:id="138" w:name="_Toc425426997"/>
      <w:r w:rsidRPr="00AF20CE">
        <w:rPr>
          <w:rFonts w:asciiTheme="minorHAnsi" w:hAnsiTheme="minorHAnsi" w:cstheme="minorHAnsi"/>
          <w:i/>
        </w:rPr>
        <w:lastRenderedPageBreak/>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24</w:t>
      </w:r>
      <w:r w:rsidRPr="00AF20CE">
        <w:rPr>
          <w:rFonts w:asciiTheme="minorHAnsi" w:hAnsiTheme="minorHAnsi" w:cstheme="minorHAnsi"/>
          <w:i/>
        </w:rPr>
        <w:fldChar w:fldCharType="end"/>
      </w:r>
      <w:bookmarkEnd w:id="137"/>
      <w:r w:rsidRPr="00AF20CE">
        <w:rPr>
          <w:rFonts w:asciiTheme="minorHAnsi" w:hAnsiTheme="minorHAnsi" w:cstheme="minorHAnsi"/>
          <w:i/>
        </w:rPr>
        <w:t xml:space="preserve">: </w:t>
      </w:r>
      <w:r w:rsidR="00FB0414">
        <w:rPr>
          <w:rFonts w:asciiTheme="minorHAnsi" w:hAnsiTheme="minorHAnsi" w:cstheme="minorHAnsi"/>
          <w:i/>
        </w:rPr>
        <w:tab/>
      </w:r>
      <w:r w:rsidRPr="00AF20CE">
        <w:rPr>
          <w:rFonts w:asciiTheme="minorHAnsi" w:hAnsiTheme="minorHAnsi" w:cstheme="minorHAnsi"/>
          <w:i/>
        </w:rPr>
        <w:t xml:space="preserve">Prevalence of </w:t>
      </w:r>
      <w:r>
        <w:rPr>
          <w:rFonts w:asciiTheme="minorHAnsi" w:hAnsiTheme="minorHAnsi" w:cstheme="minorHAnsi"/>
          <w:i/>
        </w:rPr>
        <w:t>current smoking</w:t>
      </w:r>
      <w:r w:rsidRPr="00AF20CE">
        <w:rPr>
          <w:rFonts w:asciiTheme="minorHAnsi" w:hAnsiTheme="minorHAnsi" w:cstheme="minorHAnsi"/>
          <w:i/>
        </w:rPr>
        <w:t xml:space="preserve"> by gambling status and gender, </w:t>
      </w:r>
      <w:r w:rsidRPr="00AF3A24">
        <w:rPr>
          <w:rFonts w:asciiTheme="minorHAnsi" w:hAnsiTheme="minorHAnsi" w:cstheme="minorHAnsi"/>
          <w:i/>
        </w:rPr>
        <w:t>total population aged 15 years and over (unadjusted prevalence; N=12,5</w:t>
      </w:r>
      <w:r w:rsidR="00251ACC">
        <w:rPr>
          <w:rFonts w:asciiTheme="minorHAnsi" w:hAnsiTheme="minorHAnsi" w:cstheme="minorHAnsi"/>
          <w:i/>
        </w:rPr>
        <w:t>5</w:t>
      </w:r>
      <w:r w:rsidRPr="00AF3A24">
        <w:rPr>
          <w:rFonts w:asciiTheme="minorHAnsi" w:hAnsiTheme="minorHAnsi" w:cstheme="minorHAnsi"/>
          <w:i/>
        </w:rPr>
        <w:t xml:space="preserve">9) </w:t>
      </w:r>
      <w:r w:rsidRPr="00AF20CE">
        <w:rPr>
          <w:rFonts w:asciiTheme="minorHAnsi" w:hAnsiTheme="minorHAnsi" w:cstheme="minorHAnsi"/>
          <w:i/>
          <w:vertAlign w:val="superscript"/>
        </w:rPr>
        <w:t>1</w:t>
      </w:r>
      <w:bookmarkEnd w:id="138"/>
    </w:p>
    <w:p w14:paraId="260188AE" w14:textId="77777777" w:rsidR="00A718AD" w:rsidRDefault="00A718AD" w:rsidP="00BA39B9">
      <w:pPr>
        <w:spacing w:before="0" w:line="240" w:lineRule="auto"/>
        <w:ind w:left="1276" w:right="1380" w:hanging="283"/>
        <w:rPr>
          <w:rFonts w:asciiTheme="minorHAnsi" w:hAnsiTheme="minorHAnsi" w:cstheme="minorHAnsi"/>
          <w:sz w:val="16"/>
        </w:rPr>
      </w:pPr>
      <w:r>
        <w:rPr>
          <w:noProof/>
          <w:lang w:eastAsia="en-NZ"/>
        </w:rPr>
        <w:drawing>
          <wp:inline distT="0" distB="0" distL="0" distR="0" wp14:anchorId="6F71EA85" wp14:editId="003EE210">
            <wp:extent cx="5076825" cy="2819400"/>
            <wp:effectExtent l="0" t="0" r="9525"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E53668" w14:textId="77777777" w:rsidR="00BA39B9" w:rsidRPr="00AF3A24" w:rsidRDefault="00BA39B9" w:rsidP="00BA39B9">
      <w:pPr>
        <w:spacing w:before="0" w:line="240" w:lineRule="auto"/>
        <w:ind w:left="1276" w:right="1380" w:hanging="283"/>
        <w:rPr>
          <w:rFonts w:asciiTheme="minorHAnsi" w:hAnsiTheme="minorHAnsi" w:cstheme="minorHAnsi"/>
          <w:sz w:val="16"/>
        </w:rPr>
      </w:pPr>
      <w:r w:rsidRPr="00AF3A24">
        <w:rPr>
          <w:rFonts w:asciiTheme="minorHAnsi" w:hAnsiTheme="minorHAnsi" w:cstheme="minorHAnsi"/>
          <w:sz w:val="16"/>
        </w:rPr>
        <w:t>Notes:</w:t>
      </w:r>
    </w:p>
    <w:p w14:paraId="2B64FA4A" w14:textId="77777777" w:rsidR="00BA39B9" w:rsidRPr="00AF3A24" w:rsidRDefault="00BA39B9" w:rsidP="006A0B0E">
      <w:pPr>
        <w:pStyle w:val="ListParagraph"/>
        <w:numPr>
          <w:ilvl w:val="0"/>
          <w:numId w:val="45"/>
        </w:numPr>
        <w:spacing w:line="240" w:lineRule="auto"/>
        <w:ind w:right="1380"/>
        <w:rPr>
          <w:rFonts w:asciiTheme="minorHAnsi" w:hAnsiTheme="minorHAnsi" w:cstheme="minorHAnsi"/>
          <w:sz w:val="16"/>
        </w:rPr>
      </w:pPr>
      <w:r w:rsidRPr="00AF3A24">
        <w:rPr>
          <w:rFonts w:asciiTheme="minorHAnsi" w:hAnsiTheme="minorHAnsi" w:cstheme="minorHAnsi"/>
          <w:sz w:val="16"/>
        </w:rPr>
        <w:t>Source: 201</w:t>
      </w:r>
      <w:r>
        <w:rPr>
          <w:rFonts w:asciiTheme="minorHAnsi" w:hAnsiTheme="minorHAnsi" w:cstheme="minorHAnsi"/>
          <w:sz w:val="16"/>
        </w:rPr>
        <w:t>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5BE2BFCC" w14:textId="77777777" w:rsidR="00C56571" w:rsidRDefault="00C56571" w:rsidP="00B4249C">
      <w:pPr>
        <w:rPr>
          <w:rFonts w:asciiTheme="minorHAnsi" w:hAnsiTheme="minorHAnsi"/>
        </w:rPr>
      </w:pPr>
    </w:p>
    <w:p w14:paraId="24E4E9ED" w14:textId="77777777" w:rsidR="00FB3A64" w:rsidRPr="000074FF" w:rsidRDefault="00FB3A64" w:rsidP="00F061EF">
      <w:pPr>
        <w:pStyle w:val="Heading3"/>
      </w:pPr>
      <w:bookmarkStart w:id="139" w:name="_Toc403833181"/>
      <w:r w:rsidRPr="000074FF">
        <w:t>Drug use</w:t>
      </w:r>
      <w:bookmarkEnd w:id="139"/>
    </w:p>
    <w:p w14:paraId="7CEEE363" w14:textId="77777777" w:rsidR="006A3A78" w:rsidRDefault="00DC4E02" w:rsidP="004A1D9C">
      <w:pPr>
        <w:rPr>
          <w:rFonts w:asciiTheme="minorHAnsi" w:hAnsiTheme="minorHAnsi"/>
        </w:rPr>
      </w:pPr>
      <w:r w:rsidRPr="00DC4E02">
        <w:rPr>
          <w:rFonts w:asciiTheme="minorHAnsi" w:hAnsiTheme="minorHAnsi"/>
        </w:rPr>
        <w:t xml:space="preserve">Respondents </w:t>
      </w:r>
      <w:r>
        <w:rPr>
          <w:rFonts w:asciiTheme="minorHAnsi" w:hAnsiTheme="minorHAnsi"/>
        </w:rPr>
        <w:t>were asked “Apart from alcohol and tobacco, in the last 12 months have you used any</w:t>
      </w:r>
      <w:r w:rsidRPr="00DC4E02">
        <w:rPr>
          <w:rFonts w:asciiTheme="minorHAnsi" w:hAnsiTheme="minorHAnsi"/>
        </w:rPr>
        <w:t xml:space="preserve"> </w:t>
      </w:r>
      <w:r>
        <w:rPr>
          <w:rFonts w:asciiTheme="minorHAnsi" w:hAnsiTheme="minorHAnsi"/>
        </w:rPr>
        <w:t xml:space="preserve">drugs for recreational purposes or to get high?”  </w:t>
      </w:r>
      <w:r w:rsidR="004A1D9C">
        <w:rPr>
          <w:rFonts w:asciiTheme="minorHAnsi" w:hAnsiTheme="minorHAnsi"/>
        </w:rPr>
        <w:t xml:space="preserve"> </w:t>
      </w:r>
      <w:r>
        <w:rPr>
          <w:rFonts w:asciiTheme="minorHAnsi" w:hAnsiTheme="minorHAnsi"/>
        </w:rPr>
        <w:t xml:space="preserve"> </w:t>
      </w:r>
      <w:r w:rsidR="00063CF1">
        <w:rPr>
          <w:rFonts w:asciiTheme="minorHAnsi" w:hAnsiTheme="minorHAnsi"/>
        </w:rPr>
        <w:t>The overall rate of drug use</w:t>
      </w:r>
      <w:r w:rsidR="008D5BEA">
        <w:rPr>
          <w:rFonts w:asciiTheme="minorHAnsi" w:hAnsiTheme="minorHAnsi"/>
        </w:rPr>
        <w:t xml:space="preserve"> (i.e. having used </w:t>
      </w:r>
      <w:r w:rsidR="006A3A78">
        <w:rPr>
          <w:rFonts w:asciiTheme="minorHAnsi" w:hAnsiTheme="minorHAnsi"/>
        </w:rPr>
        <w:t>‘</w:t>
      </w:r>
      <w:r w:rsidR="008D5BEA">
        <w:rPr>
          <w:rFonts w:asciiTheme="minorHAnsi" w:hAnsiTheme="minorHAnsi"/>
        </w:rPr>
        <w:t>any drug</w:t>
      </w:r>
      <w:r w:rsidR="006A3A78">
        <w:rPr>
          <w:rFonts w:asciiTheme="minorHAnsi" w:hAnsiTheme="minorHAnsi"/>
        </w:rPr>
        <w:t>’</w:t>
      </w:r>
      <w:r w:rsidR="008D5BEA">
        <w:rPr>
          <w:rFonts w:asciiTheme="minorHAnsi" w:hAnsiTheme="minorHAnsi"/>
        </w:rPr>
        <w:t xml:space="preserve"> in the past year)</w:t>
      </w:r>
      <w:r w:rsidR="00063CF1">
        <w:rPr>
          <w:rFonts w:asciiTheme="minorHAnsi" w:hAnsiTheme="minorHAnsi"/>
        </w:rPr>
        <w:t xml:space="preserve"> in the </w:t>
      </w:r>
      <w:r w:rsidR="00C84751">
        <w:rPr>
          <w:rFonts w:asciiTheme="minorHAnsi" w:hAnsiTheme="minorHAnsi"/>
        </w:rPr>
        <w:t xml:space="preserve">total adult </w:t>
      </w:r>
      <w:r w:rsidR="00063CF1">
        <w:rPr>
          <w:rFonts w:asciiTheme="minorHAnsi" w:hAnsiTheme="minorHAnsi"/>
        </w:rPr>
        <w:t>population was 8.9%</w:t>
      </w:r>
      <w:r w:rsidR="008D5BEA">
        <w:rPr>
          <w:rFonts w:asciiTheme="minorHAnsi" w:hAnsiTheme="minorHAnsi"/>
        </w:rPr>
        <w:t xml:space="preserve"> and </w:t>
      </w:r>
      <w:r w:rsidR="00C84751">
        <w:rPr>
          <w:rFonts w:asciiTheme="minorHAnsi" w:hAnsiTheme="minorHAnsi"/>
        </w:rPr>
        <w:t xml:space="preserve">rose to 21.5% for low-risk and 31.4% for moderate-risk/problem gamblers.  The relationship between overall drug use and gambling was significant (p&lt;0.0001), with </w:t>
      </w:r>
      <w:r w:rsidR="00180302">
        <w:rPr>
          <w:rFonts w:asciiTheme="minorHAnsi" w:hAnsiTheme="minorHAnsi"/>
        </w:rPr>
        <w:t xml:space="preserve">low-risk gamblers being three (OR 2.7) and </w:t>
      </w:r>
      <w:r w:rsidR="00C84751">
        <w:rPr>
          <w:rFonts w:asciiTheme="minorHAnsi" w:hAnsiTheme="minorHAnsi"/>
        </w:rPr>
        <w:t xml:space="preserve">moderate-risk/problem gamblers being four </w:t>
      </w:r>
      <w:r w:rsidR="00180302">
        <w:rPr>
          <w:rFonts w:asciiTheme="minorHAnsi" w:hAnsiTheme="minorHAnsi"/>
        </w:rPr>
        <w:t xml:space="preserve">(OR 3.7) </w:t>
      </w:r>
      <w:r w:rsidR="00C84751">
        <w:rPr>
          <w:rFonts w:asciiTheme="minorHAnsi" w:hAnsiTheme="minorHAnsi"/>
        </w:rPr>
        <w:t xml:space="preserve">times more likely than people with no gambling problems to </w:t>
      </w:r>
      <w:r w:rsidR="008D5BEA">
        <w:rPr>
          <w:rFonts w:asciiTheme="minorHAnsi" w:hAnsiTheme="minorHAnsi"/>
        </w:rPr>
        <w:t xml:space="preserve">have </w:t>
      </w:r>
      <w:r w:rsidR="00C84751">
        <w:rPr>
          <w:rFonts w:asciiTheme="minorHAnsi" w:hAnsiTheme="minorHAnsi"/>
        </w:rPr>
        <w:t>use</w:t>
      </w:r>
      <w:r w:rsidR="008D5BEA">
        <w:rPr>
          <w:rFonts w:asciiTheme="minorHAnsi" w:hAnsiTheme="minorHAnsi"/>
        </w:rPr>
        <w:t>d</w:t>
      </w:r>
      <w:r w:rsidR="00C84751">
        <w:rPr>
          <w:rFonts w:asciiTheme="minorHAnsi" w:hAnsiTheme="minorHAnsi"/>
        </w:rPr>
        <w:t xml:space="preserve"> drugs. </w:t>
      </w:r>
      <w:r w:rsidR="00F80061">
        <w:rPr>
          <w:rFonts w:asciiTheme="minorHAnsi" w:hAnsiTheme="minorHAnsi"/>
        </w:rPr>
        <w:t xml:space="preserve"> </w:t>
      </w:r>
    </w:p>
    <w:p w14:paraId="7396594D" w14:textId="77777777" w:rsidR="006A3A78" w:rsidRDefault="006A3A78" w:rsidP="006A3A78">
      <w:pPr>
        <w:rPr>
          <w:rFonts w:asciiTheme="minorHAnsi" w:hAnsiTheme="minorHAnsi"/>
        </w:rPr>
      </w:pPr>
      <w:r>
        <w:rPr>
          <w:rFonts w:asciiTheme="minorHAnsi" w:hAnsiTheme="minorHAnsi"/>
        </w:rPr>
        <w:t>Those who responded affirmatively to using drugs in the past year were then asked to specify which drugs they had used.  Cannabis was the most commonly cited drug:</w:t>
      </w:r>
      <w:r w:rsidRPr="00C87CE1">
        <w:rPr>
          <w:rFonts w:asciiTheme="minorHAnsi" w:hAnsiTheme="minorHAnsi"/>
        </w:rPr>
        <w:t xml:space="preserve"> 8.1% of the total adult population</w:t>
      </w:r>
      <w:r>
        <w:rPr>
          <w:rFonts w:asciiTheme="minorHAnsi" w:hAnsiTheme="minorHAnsi"/>
        </w:rPr>
        <w:t xml:space="preserve"> had used cannabis in the last 12 months</w:t>
      </w:r>
      <w:r w:rsidRPr="00C87CE1">
        <w:rPr>
          <w:rFonts w:asciiTheme="minorHAnsi" w:hAnsiTheme="minorHAnsi"/>
        </w:rPr>
        <w:t xml:space="preserve">, </w:t>
      </w:r>
      <w:r>
        <w:rPr>
          <w:rFonts w:asciiTheme="minorHAnsi" w:hAnsiTheme="minorHAnsi"/>
        </w:rPr>
        <w:t>compared t</w:t>
      </w:r>
      <w:r w:rsidRPr="00C87CE1">
        <w:rPr>
          <w:rFonts w:asciiTheme="minorHAnsi" w:hAnsiTheme="minorHAnsi"/>
        </w:rPr>
        <w:t xml:space="preserve">o 19.9% for low-risk and 25.0% for moderate-risk/problem gamblers.  Use of cannabis was significantly associated with the severity of gambling problems (p&lt;0.0001): compared with </w:t>
      </w:r>
      <w:r w:rsidRPr="00C87CE1">
        <w:rPr>
          <w:rFonts w:asciiTheme="minorHAnsi" w:hAnsiTheme="minorHAnsi"/>
        </w:rPr>
        <w:lastRenderedPageBreak/>
        <w:t>people with no gambling problems, both low-risk and moderate-risk/problem gamblers were more than two and a half times as likely to have used cannabis in the past 12 months (OR 2.6 and OR 2.7 respectively).</w:t>
      </w:r>
    </w:p>
    <w:p w14:paraId="69ECE76A" w14:textId="77777777" w:rsidR="00F80061" w:rsidRDefault="001710FE" w:rsidP="004A1D9C">
      <w:pPr>
        <w:rPr>
          <w:rFonts w:asciiTheme="minorHAnsi" w:hAnsiTheme="minorHAnsi"/>
        </w:rPr>
      </w:pPr>
      <w:r>
        <w:rPr>
          <w:rFonts w:asciiTheme="minorHAnsi" w:hAnsiTheme="minorHAnsi"/>
        </w:rPr>
        <w:t>Figure 25</w:t>
      </w:r>
      <w:r w:rsidR="00BC2997">
        <w:rPr>
          <w:rFonts w:asciiTheme="minorHAnsi" w:hAnsiTheme="minorHAnsi"/>
        </w:rPr>
        <w:t xml:space="preserve"> illustrates the increasing prevalence of drug and cannabis use with increasing severity of gambling problems.</w:t>
      </w:r>
    </w:p>
    <w:p w14:paraId="4076C4DE" w14:textId="77777777" w:rsidR="00DC4E02" w:rsidRPr="00AF20CE" w:rsidRDefault="00DC4E02" w:rsidP="00FB0414">
      <w:pPr>
        <w:pStyle w:val="Caption"/>
        <w:keepNext/>
        <w:tabs>
          <w:tab w:val="left" w:pos="993"/>
        </w:tabs>
        <w:spacing w:after="0" w:line="276" w:lineRule="auto"/>
        <w:ind w:left="993" w:hanging="993"/>
        <w:jc w:val="left"/>
        <w:rPr>
          <w:rFonts w:asciiTheme="minorHAnsi" w:hAnsiTheme="minorHAnsi" w:cstheme="minorHAnsi"/>
          <w:i/>
        </w:rPr>
      </w:pPr>
      <w:bookmarkStart w:id="140" w:name="_Ref397592633"/>
      <w:bookmarkStart w:id="141" w:name="_Toc425426998"/>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25</w:t>
      </w:r>
      <w:r w:rsidRPr="00AF20CE">
        <w:rPr>
          <w:rFonts w:asciiTheme="minorHAnsi" w:hAnsiTheme="minorHAnsi" w:cstheme="minorHAnsi"/>
          <w:i/>
        </w:rPr>
        <w:fldChar w:fldCharType="end"/>
      </w:r>
      <w:bookmarkEnd w:id="140"/>
      <w:r w:rsidRPr="00AF20CE">
        <w:rPr>
          <w:rFonts w:asciiTheme="minorHAnsi" w:hAnsiTheme="minorHAnsi" w:cstheme="minorHAnsi"/>
          <w:i/>
        </w:rPr>
        <w:t xml:space="preserve">: </w:t>
      </w:r>
      <w:r w:rsidR="00FB0414">
        <w:rPr>
          <w:rFonts w:asciiTheme="minorHAnsi" w:hAnsiTheme="minorHAnsi" w:cstheme="minorHAnsi"/>
          <w:i/>
        </w:rPr>
        <w:tab/>
      </w:r>
      <w:r w:rsidRPr="00AF20CE">
        <w:rPr>
          <w:rFonts w:asciiTheme="minorHAnsi" w:hAnsiTheme="minorHAnsi" w:cstheme="minorHAnsi"/>
          <w:i/>
        </w:rPr>
        <w:t xml:space="preserve">Prevalence of </w:t>
      </w:r>
      <w:r>
        <w:rPr>
          <w:rFonts w:asciiTheme="minorHAnsi" w:hAnsiTheme="minorHAnsi" w:cstheme="minorHAnsi"/>
          <w:i/>
        </w:rPr>
        <w:t>drug use</w:t>
      </w:r>
      <w:r w:rsidRPr="00AF20CE">
        <w:rPr>
          <w:rFonts w:asciiTheme="minorHAnsi" w:hAnsiTheme="minorHAnsi" w:cstheme="minorHAnsi"/>
          <w:i/>
        </w:rPr>
        <w:t xml:space="preserve"> by gambling status, </w:t>
      </w:r>
      <w:r w:rsidRPr="00AF3A24">
        <w:rPr>
          <w:rFonts w:asciiTheme="minorHAnsi" w:hAnsiTheme="minorHAnsi" w:cstheme="minorHAnsi"/>
          <w:i/>
        </w:rPr>
        <w:t>total population aged 15 years and over (unadjusted prevalence; N=12,59</w:t>
      </w:r>
      <w:r w:rsidR="004A1D9C">
        <w:rPr>
          <w:rFonts w:asciiTheme="minorHAnsi" w:hAnsiTheme="minorHAnsi" w:cstheme="minorHAnsi"/>
          <w:i/>
        </w:rPr>
        <w:t>6</w:t>
      </w:r>
      <w:r w:rsidRPr="00AF3A24">
        <w:rPr>
          <w:rFonts w:asciiTheme="minorHAnsi" w:hAnsiTheme="minorHAnsi" w:cstheme="minorHAnsi"/>
          <w:i/>
        </w:rPr>
        <w:t xml:space="preserve">) </w:t>
      </w:r>
      <w:r w:rsidRPr="00FB0414">
        <w:rPr>
          <w:rFonts w:asciiTheme="minorHAnsi" w:hAnsiTheme="minorHAnsi" w:cstheme="minorHAnsi"/>
          <w:i/>
          <w:vertAlign w:val="superscript"/>
        </w:rPr>
        <w:t>1</w:t>
      </w:r>
      <w:bookmarkEnd w:id="141"/>
    </w:p>
    <w:p w14:paraId="276B600D" w14:textId="77777777" w:rsidR="005C01CF" w:rsidRDefault="00063CF1" w:rsidP="008D5BEA">
      <w:pPr>
        <w:spacing w:line="240" w:lineRule="auto"/>
        <w:jc w:val="center"/>
        <w:rPr>
          <w:rFonts w:asciiTheme="minorHAnsi" w:hAnsiTheme="minorHAnsi"/>
        </w:rPr>
      </w:pPr>
      <w:r>
        <w:rPr>
          <w:noProof/>
          <w:lang w:eastAsia="en-NZ"/>
        </w:rPr>
        <w:drawing>
          <wp:inline distT="0" distB="0" distL="0" distR="0" wp14:anchorId="0773291A" wp14:editId="67FC8124">
            <wp:extent cx="5431809" cy="2975212"/>
            <wp:effectExtent l="0" t="0" r="16510" b="1587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D509FAC" w14:textId="77777777" w:rsidR="00063CF1" w:rsidRPr="00AF3A24" w:rsidRDefault="00063CF1" w:rsidP="00063CF1">
      <w:pPr>
        <w:spacing w:before="0" w:line="240" w:lineRule="auto"/>
        <w:ind w:left="1276" w:right="1380" w:hanging="283"/>
        <w:rPr>
          <w:rFonts w:asciiTheme="minorHAnsi" w:hAnsiTheme="minorHAnsi" w:cstheme="minorHAnsi"/>
          <w:sz w:val="16"/>
        </w:rPr>
      </w:pPr>
      <w:r w:rsidRPr="00AF3A24">
        <w:rPr>
          <w:rFonts w:asciiTheme="minorHAnsi" w:hAnsiTheme="minorHAnsi" w:cstheme="minorHAnsi"/>
          <w:sz w:val="16"/>
        </w:rPr>
        <w:t>Notes:</w:t>
      </w:r>
    </w:p>
    <w:p w14:paraId="790A783A" w14:textId="77777777" w:rsidR="00C87CE1" w:rsidRPr="00C87CE1" w:rsidRDefault="00063CF1" w:rsidP="006A0B0E">
      <w:pPr>
        <w:pStyle w:val="ListParagraph"/>
        <w:numPr>
          <w:ilvl w:val="0"/>
          <w:numId w:val="46"/>
        </w:numPr>
        <w:spacing w:line="240" w:lineRule="auto"/>
        <w:ind w:right="1380"/>
        <w:rPr>
          <w:rFonts w:asciiTheme="minorHAnsi" w:hAnsiTheme="minorHAnsi" w:cstheme="minorHAnsi"/>
          <w:sz w:val="16"/>
        </w:rPr>
      </w:pPr>
      <w:r w:rsidRPr="00AF3A24">
        <w:rPr>
          <w:rFonts w:asciiTheme="minorHAnsi" w:hAnsiTheme="minorHAnsi" w:cstheme="minorHAnsi"/>
          <w:sz w:val="16"/>
        </w:rPr>
        <w:t>Source: 201</w:t>
      </w:r>
      <w:r>
        <w:rPr>
          <w:rFonts w:asciiTheme="minorHAnsi" w:hAnsiTheme="minorHAnsi" w:cstheme="minorHAnsi"/>
          <w:sz w:val="16"/>
        </w:rPr>
        <w:t>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21B334BF" w14:textId="77777777" w:rsidR="00C87CE1" w:rsidRDefault="00C87CE1" w:rsidP="00E9659C">
      <w:pPr>
        <w:rPr>
          <w:rFonts w:asciiTheme="minorHAnsi" w:hAnsiTheme="minorHAnsi"/>
        </w:rPr>
      </w:pPr>
    </w:p>
    <w:p w14:paraId="72FB379C" w14:textId="77777777" w:rsidR="00ED14B4" w:rsidRDefault="00F80061" w:rsidP="00E9659C">
      <w:pPr>
        <w:rPr>
          <w:rFonts w:asciiTheme="minorHAnsi" w:hAnsiTheme="minorHAnsi"/>
        </w:rPr>
      </w:pPr>
      <w:r>
        <w:rPr>
          <w:rFonts w:asciiTheme="minorHAnsi" w:hAnsiTheme="minorHAnsi"/>
        </w:rPr>
        <w:t>There was also a significant relationship between use of other drugs</w:t>
      </w:r>
      <w:r>
        <w:rPr>
          <w:rStyle w:val="FootnoteReference"/>
          <w:rFonts w:asciiTheme="minorHAnsi" w:hAnsiTheme="minorHAnsi"/>
        </w:rPr>
        <w:footnoteReference w:id="11"/>
      </w:r>
      <w:r>
        <w:rPr>
          <w:rFonts w:asciiTheme="minorHAnsi" w:hAnsiTheme="minorHAnsi"/>
        </w:rPr>
        <w:t xml:space="preserve"> and gambling status (p&lt;0.0001).  </w:t>
      </w:r>
      <w:r w:rsidR="00ED14B4">
        <w:rPr>
          <w:rFonts w:asciiTheme="minorHAnsi" w:hAnsiTheme="minorHAnsi"/>
        </w:rPr>
        <w:t>Compared with adults with no gambling problems, low-risk and moderate-risk/problem gamblers were nearly</w:t>
      </w:r>
      <w:r w:rsidR="00ED14B4" w:rsidRPr="00ED14B4">
        <w:rPr>
          <w:rFonts w:asciiTheme="minorHAnsi" w:hAnsiTheme="minorHAnsi"/>
        </w:rPr>
        <w:t xml:space="preserve"> </w:t>
      </w:r>
      <w:r w:rsidR="00ED14B4">
        <w:rPr>
          <w:rFonts w:asciiTheme="minorHAnsi" w:hAnsiTheme="minorHAnsi"/>
        </w:rPr>
        <w:t xml:space="preserve">three (OR 2.7) and seven (OR 6.9) times more likely to have used other drugs in the last year.  </w:t>
      </w:r>
    </w:p>
    <w:p w14:paraId="2A914CAA" w14:textId="77777777" w:rsidR="00F80061" w:rsidRDefault="00F80061" w:rsidP="00F80061">
      <w:pPr>
        <w:rPr>
          <w:rFonts w:asciiTheme="minorHAnsi" w:hAnsiTheme="minorHAnsi"/>
        </w:rPr>
      </w:pPr>
      <w:r>
        <w:rPr>
          <w:rFonts w:asciiTheme="minorHAnsi" w:hAnsiTheme="minorHAnsi"/>
        </w:rPr>
        <w:t xml:space="preserve">Males were </w:t>
      </w:r>
      <w:r w:rsidR="00ED14B4">
        <w:rPr>
          <w:rFonts w:asciiTheme="minorHAnsi" w:hAnsiTheme="minorHAnsi"/>
        </w:rPr>
        <w:t xml:space="preserve">also </w:t>
      </w:r>
      <w:r>
        <w:rPr>
          <w:rFonts w:asciiTheme="minorHAnsi" w:hAnsiTheme="minorHAnsi"/>
        </w:rPr>
        <w:t xml:space="preserve">significantly more likely than females to report overall drug use, cannabis use and use of other drugs (p&lt;0.0001). </w:t>
      </w:r>
      <w:r w:rsidR="00F204F0">
        <w:rPr>
          <w:rFonts w:asciiTheme="minorHAnsi" w:hAnsiTheme="minorHAnsi"/>
        </w:rPr>
        <w:t xml:space="preserve"> </w:t>
      </w:r>
      <w:r>
        <w:rPr>
          <w:rFonts w:asciiTheme="minorHAnsi" w:hAnsiTheme="minorHAnsi"/>
        </w:rPr>
        <w:t xml:space="preserve">Further details on this set of analyses can be found in </w:t>
      </w:r>
      <w:r w:rsidR="001710FE">
        <w:rPr>
          <w:rFonts w:asciiTheme="minorHAnsi" w:hAnsiTheme="minorHAnsi"/>
        </w:rPr>
        <w:t xml:space="preserve">Appendix I </w:t>
      </w:r>
      <w:r>
        <w:rPr>
          <w:rFonts w:asciiTheme="minorHAnsi" w:hAnsiTheme="minorHAnsi"/>
        </w:rPr>
        <w:t>(</w:t>
      </w:r>
      <w:r w:rsidR="001710FE">
        <w:rPr>
          <w:rFonts w:asciiTheme="minorHAnsi" w:hAnsiTheme="minorHAnsi"/>
        </w:rPr>
        <w:t>Table 28</w:t>
      </w:r>
      <w:r>
        <w:rPr>
          <w:rFonts w:asciiTheme="minorHAnsi" w:hAnsiTheme="minorHAnsi"/>
        </w:rPr>
        <w:t xml:space="preserve"> and </w:t>
      </w:r>
      <w:r w:rsidR="001710FE">
        <w:rPr>
          <w:rFonts w:asciiTheme="minorHAnsi" w:hAnsiTheme="minorHAnsi"/>
        </w:rPr>
        <w:t>Table 29</w:t>
      </w:r>
      <w:r>
        <w:rPr>
          <w:rFonts w:asciiTheme="minorHAnsi" w:hAnsiTheme="minorHAnsi"/>
        </w:rPr>
        <w:t>).</w:t>
      </w:r>
    </w:p>
    <w:p w14:paraId="2336EC4D" w14:textId="77777777" w:rsidR="00F204F0" w:rsidRDefault="00F204F0" w:rsidP="00F80061">
      <w:pPr>
        <w:rPr>
          <w:rFonts w:asciiTheme="minorHAnsi" w:hAnsiTheme="minorHAnsi"/>
        </w:rPr>
      </w:pPr>
    </w:p>
    <w:p w14:paraId="0D1417F3" w14:textId="77777777" w:rsidR="00820B47" w:rsidRPr="00AF3A24" w:rsidRDefault="00820B47" w:rsidP="00F061EF">
      <w:pPr>
        <w:pStyle w:val="Heading2"/>
      </w:pPr>
      <w:bookmarkStart w:id="142" w:name="_Toc403833182"/>
      <w:r w:rsidRPr="00AF3A24">
        <w:lastRenderedPageBreak/>
        <w:t>Health and gambling</w:t>
      </w:r>
      <w:bookmarkEnd w:id="142"/>
      <w:r w:rsidRPr="00AF3A24">
        <w:t xml:space="preserve"> </w:t>
      </w:r>
    </w:p>
    <w:p w14:paraId="56E76DD0" w14:textId="77777777" w:rsidR="00304499" w:rsidRDefault="002B4FE9" w:rsidP="002B4FE9">
      <w:pPr>
        <w:rPr>
          <w:rFonts w:asciiTheme="minorHAnsi" w:hAnsiTheme="minorHAnsi"/>
        </w:rPr>
      </w:pPr>
      <w:r>
        <w:rPr>
          <w:rFonts w:asciiTheme="minorHAnsi" w:hAnsiTheme="minorHAnsi"/>
        </w:rPr>
        <w:t>Three areas of health-related information were selected for analysis in relation to gambling. The</w:t>
      </w:r>
      <w:r w:rsidR="00F204F0">
        <w:rPr>
          <w:rFonts w:asciiTheme="minorHAnsi" w:hAnsiTheme="minorHAnsi"/>
        </w:rPr>
        <w:t>se include</w:t>
      </w:r>
      <w:r>
        <w:rPr>
          <w:rFonts w:asciiTheme="minorHAnsi" w:hAnsiTheme="minorHAnsi"/>
        </w:rPr>
        <w:t xml:space="preserve"> measures of self-rated health</w:t>
      </w:r>
      <w:r w:rsidR="00F204F0">
        <w:rPr>
          <w:rFonts w:asciiTheme="minorHAnsi" w:hAnsiTheme="minorHAnsi"/>
        </w:rPr>
        <w:t xml:space="preserve"> and psychological distress, and diagnoses of common mental health disorders by a doctor.  Results for each of these areas are outlined in the following sections, with further details being available in </w:t>
      </w:r>
      <w:r w:rsidR="001710FE">
        <w:rPr>
          <w:rFonts w:asciiTheme="minorHAnsi" w:hAnsiTheme="minorHAnsi"/>
        </w:rPr>
        <w:t>Appendix J</w:t>
      </w:r>
      <w:r w:rsidR="00F204F0">
        <w:rPr>
          <w:rFonts w:asciiTheme="minorHAnsi" w:hAnsiTheme="minorHAnsi"/>
        </w:rPr>
        <w:t xml:space="preserve">.  </w:t>
      </w:r>
    </w:p>
    <w:p w14:paraId="076CA8AC" w14:textId="77777777" w:rsidR="00665A18" w:rsidRDefault="0059356E" w:rsidP="00F061EF">
      <w:pPr>
        <w:pStyle w:val="Heading3"/>
      </w:pPr>
      <w:bookmarkStart w:id="143" w:name="_Toc403833183"/>
      <w:r>
        <w:t>SF-12</w:t>
      </w:r>
      <w:r w:rsidR="00E713D8">
        <w:t xml:space="preserve"> Health Survey</w:t>
      </w:r>
      <w:bookmarkEnd w:id="143"/>
    </w:p>
    <w:p w14:paraId="6E8F755F" w14:textId="6BDFBB16" w:rsidR="00925376" w:rsidRDefault="002A3BD6" w:rsidP="000074FF">
      <w:pPr>
        <w:rPr>
          <w:rFonts w:asciiTheme="minorHAnsi" w:hAnsiTheme="minorHAnsi"/>
        </w:rPr>
      </w:pPr>
      <w:r>
        <w:rPr>
          <w:rFonts w:asciiTheme="minorHAnsi" w:hAnsiTheme="minorHAnsi"/>
        </w:rPr>
        <w:t xml:space="preserve">Self-rated health was measured by the </w:t>
      </w:r>
      <w:r w:rsidR="00701F22">
        <w:rPr>
          <w:rFonts w:asciiTheme="minorHAnsi" w:hAnsiTheme="minorHAnsi"/>
        </w:rPr>
        <w:t>Short Form Health Survey (</w:t>
      </w:r>
      <w:r>
        <w:rPr>
          <w:rFonts w:asciiTheme="minorHAnsi" w:hAnsiTheme="minorHAnsi"/>
        </w:rPr>
        <w:t>SF-12</w:t>
      </w:r>
      <w:r w:rsidR="00701F22">
        <w:rPr>
          <w:rFonts w:asciiTheme="minorHAnsi" w:hAnsiTheme="minorHAnsi"/>
        </w:rPr>
        <w:t>)</w:t>
      </w:r>
      <w:r w:rsidR="007141C2">
        <w:rPr>
          <w:rFonts w:asciiTheme="minorHAnsi" w:hAnsiTheme="minorHAnsi"/>
        </w:rPr>
        <w:t>; a</w:t>
      </w:r>
      <w:r>
        <w:rPr>
          <w:rFonts w:asciiTheme="minorHAnsi" w:hAnsiTheme="minorHAnsi"/>
        </w:rPr>
        <w:t xml:space="preserve"> multipurpose 12 question survey that provides a generic measure of</w:t>
      </w:r>
      <w:r w:rsidR="008B3694">
        <w:rPr>
          <w:rFonts w:asciiTheme="minorHAnsi" w:hAnsiTheme="minorHAnsi"/>
        </w:rPr>
        <w:t xml:space="preserve"> an individual’s</w:t>
      </w:r>
      <w:r>
        <w:rPr>
          <w:rFonts w:asciiTheme="minorHAnsi" w:hAnsiTheme="minorHAnsi"/>
        </w:rPr>
        <w:t xml:space="preserve"> health and wellbeing</w:t>
      </w:r>
      <w:r w:rsidR="008B3694">
        <w:rPr>
          <w:rFonts w:asciiTheme="minorHAnsi" w:hAnsiTheme="minorHAnsi"/>
        </w:rPr>
        <w:t xml:space="preserve"> over the past four weeks</w:t>
      </w:r>
      <w:r>
        <w:rPr>
          <w:rFonts w:asciiTheme="minorHAnsi" w:hAnsiTheme="minorHAnsi"/>
        </w:rPr>
        <w:t xml:space="preserve">.  </w:t>
      </w:r>
      <w:r w:rsidR="007141C2">
        <w:rPr>
          <w:rFonts w:asciiTheme="minorHAnsi" w:hAnsiTheme="minorHAnsi"/>
        </w:rPr>
        <w:t>The SF-12</w:t>
      </w:r>
      <w:r>
        <w:rPr>
          <w:rFonts w:asciiTheme="minorHAnsi" w:hAnsiTheme="minorHAnsi"/>
        </w:rPr>
        <w:t xml:space="preserve"> </w:t>
      </w:r>
      <w:r w:rsidR="00C77218">
        <w:rPr>
          <w:rFonts w:asciiTheme="minorHAnsi" w:hAnsiTheme="minorHAnsi"/>
        </w:rPr>
        <w:t xml:space="preserve">is based on the original and much longer SF-36, </w:t>
      </w:r>
      <w:r w:rsidR="00601739">
        <w:rPr>
          <w:rFonts w:asciiTheme="minorHAnsi" w:hAnsiTheme="minorHAnsi"/>
        </w:rPr>
        <w:t>takes approxim</w:t>
      </w:r>
      <w:r w:rsidR="00C77218">
        <w:rPr>
          <w:rFonts w:asciiTheme="minorHAnsi" w:hAnsiTheme="minorHAnsi"/>
        </w:rPr>
        <w:t>ately two minutes to administer and</w:t>
      </w:r>
      <w:r w:rsidR="00601739">
        <w:rPr>
          <w:rFonts w:asciiTheme="minorHAnsi" w:hAnsiTheme="minorHAnsi"/>
        </w:rPr>
        <w:t xml:space="preserve"> </w:t>
      </w:r>
      <w:r w:rsidR="00985A5F">
        <w:rPr>
          <w:rFonts w:asciiTheme="minorHAnsi" w:hAnsiTheme="minorHAnsi"/>
        </w:rPr>
        <w:t xml:space="preserve">has </w:t>
      </w:r>
      <w:r w:rsidR="000D7624">
        <w:rPr>
          <w:rFonts w:asciiTheme="minorHAnsi" w:hAnsiTheme="minorHAnsi"/>
        </w:rPr>
        <w:t>demonstrated</w:t>
      </w:r>
      <w:r w:rsidR="00985A5F">
        <w:rPr>
          <w:rFonts w:asciiTheme="minorHAnsi" w:hAnsiTheme="minorHAnsi"/>
        </w:rPr>
        <w:t xml:space="preserve"> good </w:t>
      </w:r>
      <w:r w:rsidR="000D7624">
        <w:rPr>
          <w:rFonts w:asciiTheme="minorHAnsi" w:hAnsiTheme="minorHAnsi"/>
        </w:rPr>
        <w:t xml:space="preserve">psychometric qualities </w:t>
      </w:r>
      <w:r w:rsidR="00864BAE">
        <w:rPr>
          <w:rFonts w:asciiTheme="minorHAnsi" w:hAnsiTheme="minorHAnsi"/>
        </w:rPr>
        <w:fldChar w:fldCharType="begin">
          <w:fldData xml:space="preserve">PEVuZE5vdGU+PENpdGU+PEF1dGhvcj5HYW5kZWs8L0F1dGhvcj48WWVhcj4xOTk4PC9ZZWFyPjxS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PEVuZE5vdGU+PENpdGU+PEF1dGhvcj5HYW5kZWs8L0F1dGhvcj48WWVhcj4xOTk4PC9ZZWFyPjxS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864BAE">
        <w:rPr>
          <w:rFonts w:asciiTheme="minorHAnsi" w:hAnsiTheme="minorHAnsi"/>
        </w:rPr>
      </w:r>
      <w:r w:rsidR="00864BAE">
        <w:rPr>
          <w:rFonts w:asciiTheme="minorHAnsi" w:hAnsiTheme="minorHAnsi"/>
        </w:rPr>
        <w:fldChar w:fldCharType="separate"/>
      </w:r>
      <w:r w:rsidR="00864BAE">
        <w:rPr>
          <w:rFonts w:asciiTheme="minorHAnsi" w:hAnsiTheme="minorHAnsi"/>
          <w:noProof/>
        </w:rPr>
        <w:t>(</w:t>
      </w:r>
      <w:hyperlink w:anchor="_ENREF_28" w:tooltip="Gandek, 1998 #950" w:history="1">
        <w:r w:rsidR="00765F46">
          <w:rPr>
            <w:rFonts w:asciiTheme="minorHAnsi" w:hAnsiTheme="minorHAnsi"/>
            <w:noProof/>
          </w:rPr>
          <w:t>Gandek et al., 1998</w:t>
        </w:r>
      </w:hyperlink>
      <w:r w:rsidR="00864BAE">
        <w:rPr>
          <w:rFonts w:asciiTheme="minorHAnsi" w:hAnsiTheme="minorHAnsi"/>
          <w:noProof/>
        </w:rPr>
        <w:t xml:space="preserve">; </w:t>
      </w:r>
      <w:hyperlink w:anchor="_ENREF_62" w:tooltip="Ware, 1996 #949" w:history="1">
        <w:r w:rsidR="00765F46">
          <w:rPr>
            <w:rFonts w:asciiTheme="minorHAnsi" w:hAnsiTheme="minorHAnsi"/>
            <w:noProof/>
          </w:rPr>
          <w:t>Ware, Kosinki, &amp; Keller, 1996</w:t>
        </w:r>
      </w:hyperlink>
      <w:r w:rsidR="00864BAE">
        <w:rPr>
          <w:rFonts w:asciiTheme="minorHAnsi" w:hAnsiTheme="minorHAnsi"/>
          <w:noProof/>
        </w:rPr>
        <w:t xml:space="preserve">; </w:t>
      </w:r>
      <w:hyperlink w:anchor="_ENREF_63" w:tooltip="Ware, 2002 #948" w:history="1">
        <w:r w:rsidR="00765F46">
          <w:rPr>
            <w:rFonts w:asciiTheme="minorHAnsi" w:hAnsiTheme="minorHAnsi"/>
            <w:noProof/>
          </w:rPr>
          <w:t>Ware, Kosinki, Turner-Bowker, &amp; Gandek, 2002</w:t>
        </w:r>
      </w:hyperlink>
      <w:r w:rsidR="00864BAE">
        <w:rPr>
          <w:rFonts w:asciiTheme="minorHAnsi" w:hAnsiTheme="minorHAnsi"/>
          <w:noProof/>
        </w:rPr>
        <w:t>)</w:t>
      </w:r>
      <w:r w:rsidR="00864BAE">
        <w:rPr>
          <w:rFonts w:asciiTheme="minorHAnsi" w:hAnsiTheme="minorHAnsi"/>
        </w:rPr>
        <w:fldChar w:fldCharType="end"/>
      </w:r>
      <w:r w:rsidR="00985A5F">
        <w:rPr>
          <w:rFonts w:asciiTheme="minorHAnsi" w:hAnsiTheme="minorHAnsi"/>
        </w:rPr>
        <w:t>.</w:t>
      </w:r>
      <w:r w:rsidR="007141C2">
        <w:rPr>
          <w:rFonts w:asciiTheme="minorHAnsi" w:hAnsiTheme="minorHAnsi"/>
        </w:rPr>
        <w:t xml:space="preserve">  The SF-36 is the most widely used health survey throughout the world</w:t>
      </w:r>
      <w:r w:rsidR="00985A5F">
        <w:rPr>
          <w:rFonts w:asciiTheme="minorHAnsi" w:hAnsiTheme="minorHAnsi"/>
        </w:rPr>
        <w:t xml:space="preserve"> </w:t>
      </w:r>
      <w:r w:rsidR="00601739">
        <w:rPr>
          <w:rFonts w:asciiTheme="minorHAnsi" w:hAnsiTheme="minorHAnsi"/>
        </w:rPr>
        <w:t>and has been used to measure and monitor health outcomes in both general and specific populations</w:t>
      </w:r>
      <w:r w:rsidR="00C77218">
        <w:rPr>
          <w:rFonts w:asciiTheme="minorHAnsi" w:hAnsiTheme="minorHAnsi"/>
        </w:rPr>
        <w:t xml:space="preserve"> </w:t>
      </w:r>
      <w:r w:rsidR="00C77218">
        <w:rPr>
          <w:rFonts w:asciiTheme="minorHAnsi" w:hAnsiTheme="minorHAnsi"/>
        </w:rPr>
        <w:fldChar w:fldCharType="begin"/>
      </w:r>
      <w:r w:rsidR="00A34C5E">
        <w:rPr>
          <w:rFonts w:asciiTheme="minorHAnsi" w:hAnsiTheme="minorHAnsi"/>
        </w:rPr>
        <w:instrText xml:space="preserve"> ADDIN EN.CITE &lt;EndNote&gt;&lt;Cite&gt;&lt;Author&gt;Ware&lt;/Author&gt;&lt;Year&gt;2002&lt;/Year&gt;&lt;RecNum&gt;948&lt;/RecNum&gt;&lt;DisplayText&gt;(Ware et al., 2002)&lt;/DisplayText&gt;&lt;record&gt;&lt;rec-number&gt;948&lt;/rec-number&gt;&lt;foreign-keys&gt;&lt;key app="EN" db-id="9pzse05rcvx956etremxfzdh9fzdxvd95rp2"&gt;948&lt;/key&gt;&lt;/foreign-keys&gt;&lt;ref-type name="Book"&gt;6&lt;/ref-type&gt;&lt;contributors&gt;&lt;authors&gt;&lt;author&gt;Ware, J.E.&lt;/author&gt;&lt;author&gt;Kosinki, M.&lt;/author&gt;&lt;author&gt;Turner-Bowker, D.M.&lt;/author&gt;&lt;author&gt;Gandek, B.&lt;/author&gt;&lt;/authors&gt;&lt;/contributors&gt;&lt;titles&gt;&lt;title&gt;How to score Version 2 of the SF-12 Health Survey (With a Supplement Documenting Version 1)&lt;/title&gt;&lt;/titles&gt;&lt;dates&gt;&lt;year&gt;2002&lt;/year&gt;&lt;/dates&gt;&lt;pub-location&gt;Lincoln, RI&lt;/pub-location&gt;&lt;publisher&gt;QualityMetric Incorporated&lt;/publisher&gt;&lt;urls&gt;&lt;/urls&gt;&lt;/record&gt;&lt;/Cite&gt;&lt;/EndNote&gt;</w:instrText>
      </w:r>
      <w:r w:rsidR="00C77218">
        <w:rPr>
          <w:rFonts w:asciiTheme="minorHAnsi" w:hAnsiTheme="minorHAnsi"/>
        </w:rPr>
        <w:fldChar w:fldCharType="separate"/>
      </w:r>
      <w:r w:rsidR="00864BAE">
        <w:rPr>
          <w:rFonts w:asciiTheme="minorHAnsi" w:hAnsiTheme="minorHAnsi"/>
          <w:noProof/>
        </w:rPr>
        <w:t>(</w:t>
      </w:r>
      <w:hyperlink w:anchor="_ENREF_63" w:tooltip="Ware, 2002 #948" w:history="1">
        <w:r w:rsidR="00765F46">
          <w:rPr>
            <w:rFonts w:asciiTheme="minorHAnsi" w:hAnsiTheme="minorHAnsi"/>
            <w:noProof/>
          </w:rPr>
          <w:t>Ware et al., 2002</w:t>
        </w:r>
      </w:hyperlink>
      <w:r w:rsidR="00864BAE">
        <w:rPr>
          <w:rFonts w:asciiTheme="minorHAnsi" w:hAnsiTheme="minorHAnsi"/>
          <w:noProof/>
        </w:rPr>
        <w:t>)</w:t>
      </w:r>
      <w:r w:rsidR="00C77218">
        <w:rPr>
          <w:rFonts w:asciiTheme="minorHAnsi" w:hAnsiTheme="minorHAnsi"/>
        </w:rPr>
        <w:fldChar w:fldCharType="end"/>
      </w:r>
      <w:r w:rsidR="00601739">
        <w:rPr>
          <w:rFonts w:asciiTheme="minorHAnsi" w:hAnsiTheme="minorHAnsi"/>
        </w:rPr>
        <w:t xml:space="preserve">.  </w:t>
      </w:r>
      <w:r w:rsidR="00864BAE">
        <w:rPr>
          <w:rFonts w:asciiTheme="minorHAnsi" w:hAnsiTheme="minorHAnsi"/>
        </w:rPr>
        <w:t>The SF-36 and SF-12 both gather i</w:t>
      </w:r>
      <w:r w:rsidR="00601739">
        <w:rPr>
          <w:rFonts w:asciiTheme="minorHAnsi" w:hAnsiTheme="minorHAnsi"/>
        </w:rPr>
        <w:t xml:space="preserve">nformation </w:t>
      </w:r>
      <w:r w:rsidR="008B3694">
        <w:rPr>
          <w:rFonts w:asciiTheme="minorHAnsi" w:hAnsiTheme="minorHAnsi"/>
        </w:rPr>
        <w:t xml:space="preserve">on eight health dimensions </w:t>
      </w:r>
      <w:r w:rsidR="003C130C">
        <w:rPr>
          <w:rFonts w:asciiTheme="minorHAnsi" w:hAnsiTheme="minorHAnsi"/>
        </w:rPr>
        <w:t>(</w:t>
      </w:r>
      <w:r w:rsidR="008B3694">
        <w:rPr>
          <w:rFonts w:asciiTheme="minorHAnsi" w:hAnsiTheme="minorHAnsi"/>
        </w:rPr>
        <w:t xml:space="preserve">outlined in </w:t>
      </w:r>
      <w:r w:rsidR="001710FE">
        <w:rPr>
          <w:rFonts w:asciiTheme="minorHAnsi" w:hAnsiTheme="minorHAnsi"/>
        </w:rPr>
        <w:t>Table 16</w:t>
      </w:r>
      <w:r w:rsidR="003C130C">
        <w:rPr>
          <w:rFonts w:asciiTheme="minorHAnsi" w:hAnsiTheme="minorHAnsi"/>
        </w:rPr>
        <w:t xml:space="preserve">), </w:t>
      </w:r>
      <w:r w:rsidR="00B77E64">
        <w:rPr>
          <w:rFonts w:asciiTheme="minorHAnsi" w:hAnsiTheme="minorHAnsi"/>
        </w:rPr>
        <w:t>w</w:t>
      </w:r>
      <w:r w:rsidR="00B77E64" w:rsidRPr="00B77E64">
        <w:rPr>
          <w:rFonts w:asciiTheme="minorHAnsi" w:hAnsiTheme="minorHAnsi"/>
        </w:rPr>
        <w:t>ith scores being transformed into a 0-100 scale</w:t>
      </w:r>
      <w:r w:rsidR="00B77E64">
        <w:rPr>
          <w:rFonts w:asciiTheme="minorHAnsi" w:hAnsiTheme="minorHAnsi"/>
        </w:rPr>
        <w:t xml:space="preserve">. </w:t>
      </w:r>
      <w:r w:rsidR="00453078">
        <w:rPr>
          <w:rFonts w:asciiTheme="minorHAnsi" w:hAnsiTheme="minorHAnsi"/>
        </w:rPr>
        <w:t xml:space="preserve"> Interpretation of the SF-12 is based on the mean scores for each domain, with l</w:t>
      </w:r>
      <w:r w:rsidR="003C130C">
        <w:rPr>
          <w:rFonts w:asciiTheme="minorHAnsi" w:hAnsiTheme="minorHAnsi"/>
        </w:rPr>
        <w:t xml:space="preserve">ower scores </w:t>
      </w:r>
      <w:r w:rsidR="00453078">
        <w:rPr>
          <w:rFonts w:asciiTheme="minorHAnsi" w:hAnsiTheme="minorHAnsi"/>
        </w:rPr>
        <w:t>being</w:t>
      </w:r>
      <w:r w:rsidR="00B77E64">
        <w:rPr>
          <w:rFonts w:asciiTheme="minorHAnsi" w:hAnsiTheme="minorHAnsi"/>
        </w:rPr>
        <w:t xml:space="preserve"> </w:t>
      </w:r>
      <w:r w:rsidR="003C130C">
        <w:rPr>
          <w:rFonts w:asciiTheme="minorHAnsi" w:hAnsiTheme="minorHAnsi"/>
        </w:rPr>
        <w:t>indicative of more disability and higher scores with less disability</w:t>
      </w:r>
      <w:r w:rsidR="00B77E64">
        <w:rPr>
          <w:rFonts w:asciiTheme="minorHAnsi" w:hAnsiTheme="minorHAnsi"/>
        </w:rPr>
        <w:t>: a score of</w:t>
      </w:r>
      <w:r w:rsidR="00B77E64" w:rsidRPr="00B77E64">
        <w:rPr>
          <w:rFonts w:asciiTheme="minorHAnsi" w:hAnsiTheme="minorHAnsi"/>
        </w:rPr>
        <w:t> zero is equivalent to maximum disability and a score of 100 is equivalent to no disability</w:t>
      </w:r>
      <w:r w:rsidR="00453078">
        <w:rPr>
          <w:rFonts w:asciiTheme="minorHAnsi" w:hAnsiTheme="minorHAnsi"/>
        </w:rPr>
        <w:t xml:space="preserve"> in the specified domain</w:t>
      </w:r>
      <w:r w:rsidR="00B77E64" w:rsidRPr="00B77E64">
        <w:rPr>
          <w:rFonts w:asciiTheme="minorHAnsi" w:hAnsiTheme="minorHAnsi"/>
        </w:rPr>
        <w:t>.</w:t>
      </w:r>
      <w:r w:rsidR="00453078">
        <w:rPr>
          <w:rFonts w:asciiTheme="minorHAnsi" w:hAnsiTheme="minorHAnsi"/>
        </w:rPr>
        <w:t xml:space="preserve">  The domains are independent of each other and domain scores cannot be compared. </w:t>
      </w:r>
      <w:r w:rsidR="002B01BF">
        <w:rPr>
          <w:rFonts w:asciiTheme="minorHAnsi" w:hAnsiTheme="minorHAnsi"/>
        </w:rPr>
        <w:t xml:space="preserve"> However, scores for different sub-populations can be compared for each domain (e.g. ‘physical functioning’ by gambling status).  </w:t>
      </w:r>
      <w:r w:rsidR="00815CEF">
        <w:rPr>
          <w:rFonts w:asciiTheme="minorHAnsi" w:hAnsiTheme="minorHAnsi"/>
        </w:rPr>
        <w:t xml:space="preserve"> Scores have been calculated using New Zealand-specific population norms</w:t>
      </w:r>
      <w:r w:rsidR="00815CEF" w:rsidRPr="00815CEF">
        <w:rPr>
          <w:rFonts w:asciiTheme="minorHAnsi" w:hAnsiTheme="minorHAnsi"/>
        </w:rPr>
        <w:t xml:space="preserve"> </w:t>
      </w:r>
      <w:r w:rsidR="00C903FF">
        <w:rPr>
          <w:rFonts w:asciiTheme="minorHAnsi" w:hAnsiTheme="minorHAnsi"/>
        </w:rPr>
        <w:fldChar w:fldCharType="begin"/>
      </w:r>
      <w:r w:rsidR="00A34C5E">
        <w:rPr>
          <w:rFonts w:asciiTheme="minorHAnsi" w:hAnsiTheme="minorHAnsi"/>
        </w:rPr>
        <w:instrText xml:space="preserve"> ADDIN EN.CITE &lt;EndNote&gt;&lt;Cite&gt;&lt;Author&gt;Frieling&lt;/Author&gt;&lt;Year&gt;2013&lt;/Year&gt;&lt;RecNum&gt;967&lt;/RecNum&gt;&lt;DisplayText&gt;(Frieling, Davis, &amp;amp; Chiang, 2013)&lt;/DisplayText&gt;&lt;record&gt;&lt;rec-number&gt;967&lt;/rec-number&gt;&lt;foreign-keys&gt;&lt;key app="EN" db-id="9pzse05rcvx956etremxfzdh9fzdxvd95rp2"&gt;967&lt;/key&gt;&lt;/foreign-keys&gt;&lt;ref-type name="Journal Article"&gt;17&lt;/ref-type&gt;&lt;contributors&gt;&lt;authors&gt;&lt;author&gt;Frieling, M. A.&lt;/author&gt;&lt;author&gt;Davis, W. R.&lt;/author&gt;&lt;author&gt;Chiang, G.&lt;/author&gt;&lt;/authors&gt;&lt;/contributors&gt;&lt;titles&gt;&lt;title&gt;The SF-36v2 and SF-12v2 health surveys in New Zealand: norms, scoring coefficients and cross-country comparisons&lt;/title&gt;&lt;secondary-title&gt;Australian and New Zealand Journal of Publlic Health&lt;/secondary-title&gt;&lt;/titles&gt;&lt;pages&gt;24-31&lt;/pages&gt;&lt;volume&gt;37&lt;/volume&gt;&lt;number&gt;1&lt;/number&gt;&lt;dates&gt;&lt;year&gt;2013&lt;/year&gt;&lt;/dates&gt;&lt;urls&gt;&lt;/urls&gt;&lt;/record&gt;&lt;/Cite&gt;&lt;/EndNote&gt;</w:instrText>
      </w:r>
      <w:r w:rsidR="00C903FF">
        <w:rPr>
          <w:rFonts w:asciiTheme="minorHAnsi" w:hAnsiTheme="minorHAnsi"/>
        </w:rPr>
        <w:fldChar w:fldCharType="separate"/>
      </w:r>
      <w:r w:rsidR="00C903FF">
        <w:rPr>
          <w:rFonts w:asciiTheme="minorHAnsi" w:hAnsiTheme="minorHAnsi"/>
          <w:noProof/>
        </w:rPr>
        <w:t>(</w:t>
      </w:r>
      <w:hyperlink w:anchor="_ENREF_27" w:tooltip="Frieling, 2013 #967" w:history="1">
        <w:r w:rsidR="00765F46">
          <w:rPr>
            <w:rFonts w:asciiTheme="minorHAnsi" w:hAnsiTheme="minorHAnsi"/>
            <w:noProof/>
          </w:rPr>
          <w:t>Frieling, Davis, &amp; Chiang, 2013</w:t>
        </w:r>
      </w:hyperlink>
      <w:r w:rsidR="00C903FF">
        <w:rPr>
          <w:rFonts w:asciiTheme="minorHAnsi" w:hAnsiTheme="minorHAnsi"/>
          <w:noProof/>
        </w:rPr>
        <w:t>)</w:t>
      </w:r>
      <w:r w:rsidR="00C903FF">
        <w:rPr>
          <w:rFonts w:asciiTheme="minorHAnsi" w:hAnsiTheme="minorHAnsi"/>
        </w:rPr>
        <w:fldChar w:fldCharType="end"/>
      </w:r>
      <w:r w:rsidR="00C903FF">
        <w:rPr>
          <w:rFonts w:asciiTheme="minorHAnsi" w:hAnsiTheme="minorHAnsi"/>
        </w:rPr>
        <w:t xml:space="preserve">. </w:t>
      </w:r>
    </w:p>
    <w:p w14:paraId="1096A1C5" w14:textId="77777777" w:rsidR="008731A1" w:rsidRDefault="008731A1">
      <w:pPr>
        <w:spacing w:before="0" w:after="200" w:line="276" w:lineRule="auto"/>
        <w:jc w:val="left"/>
        <w:rPr>
          <w:rFonts w:asciiTheme="minorHAnsi" w:hAnsiTheme="minorHAnsi"/>
          <w:b/>
          <w:bCs/>
          <w:i/>
          <w:sz w:val="20"/>
          <w:szCs w:val="20"/>
        </w:rPr>
      </w:pPr>
      <w:bookmarkStart w:id="144" w:name="_Ref401737415"/>
      <w:r>
        <w:rPr>
          <w:rFonts w:asciiTheme="minorHAnsi" w:hAnsiTheme="minorHAnsi"/>
          <w:i/>
        </w:rPr>
        <w:br w:type="page"/>
      </w:r>
    </w:p>
    <w:p w14:paraId="7DC8B78A" w14:textId="77777777" w:rsidR="008B3694" w:rsidRPr="00AF3A24" w:rsidRDefault="008B3694" w:rsidP="008B3694">
      <w:pPr>
        <w:pStyle w:val="Caption"/>
        <w:keepNext/>
        <w:spacing w:line="276" w:lineRule="auto"/>
        <w:ind w:left="993" w:hanging="993"/>
        <w:rPr>
          <w:rFonts w:asciiTheme="minorHAnsi" w:hAnsiTheme="minorHAnsi" w:cstheme="minorHAnsi"/>
          <w:i/>
        </w:rPr>
      </w:pPr>
      <w:bookmarkStart w:id="145" w:name="_Toc425426883"/>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16</w:t>
      </w:r>
      <w:r w:rsidRPr="00AF3A24">
        <w:rPr>
          <w:rFonts w:asciiTheme="minorHAnsi" w:hAnsiTheme="minorHAnsi"/>
          <w:i/>
        </w:rPr>
        <w:fldChar w:fldCharType="end"/>
      </w:r>
      <w:bookmarkEnd w:id="144"/>
      <w:r w:rsidRPr="00AF3A24">
        <w:rPr>
          <w:rFonts w:asciiTheme="minorHAnsi" w:hAnsiTheme="minorHAnsi"/>
          <w:i/>
        </w:rPr>
        <w:t>:</w:t>
      </w:r>
      <w:r w:rsidRPr="00AF3A24">
        <w:rPr>
          <w:rFonts w:asciiTheme="minorHAnsi" w:hAnsiTheme="minorHAnsi" w:cstheme="minorHAnsi"/>
          <w:i/>
        </w:rPr>
        <w:tab/>
      </w:r>
      <w:r w:rsidR="003C130C">
        <w:rPr>
          <w:rFonts w:asciiTheme="minorHAnsi" w:hAnsiTheme="minorHAnsi" w:cstheme="minorHAnsi"/>
          <w:i/>
        </w:rPr>
        <w:t>SF-12 domains and guide to interpre</w:t>
      </w:r>
      <w:r w:rsidR="003C130C" w:rsidRPr="003C130C">
        <w:rPr>
          <w:rFonts w:asciiTheme="minorHAnsi" w:hAnsiTheme="minorHAnsi" w:cstheme="minorHAnsi"/>
          <w:i/>
        </w:rPr>
        <w:t>tation</w:t>
      </w:r>
      <w:r w:rsidRPr="003C130C">
        <w:rPr>
          <w:rFonts w:asciiTheme="minorHAnsi" w:hAnsiTheme="minorHAnsi" w:cstheme="minorHAnsi"/>
          <w:i/>
        </w:rPr>
        <w:t xml:space="preserve"> </w:t>
      </w:r>
      <w:r w:rsidRPr="003C130C">
        <w:rPr>
          <w:rFonts w:asciiTheme="minorHAnsi" w:hAnsiTheme="minorHAnsi" w:cstheme="minorHAnsi"/>
          <w:i/>
          <w:vertAlign w:val="superscript"/>
        </w:rPr>
        <w:t>1</w:t>
      </w:r>
      <w:bookmarkEnd w:id="145"/>
    </w:p>
    <w:tbl>
      <w:tblPr>
        <w:tblStyle w:val="TableGrid"/>
        <w:tblW w:w="9957" w:type="dxa"/>
        <w:jc w:val="center"/>
        <w:tblLayout w:type="fixed"/>
        <w:tblLook w:val="04A0" w:firstRow="1" w:lastRow="0" w:firstColumn="1" w:lastColumn="0" w:noHBand="0" w:noVBand="1"/>
      </w:tblPr>
      <w:tblGrid>
        <w:gridCol w:w="683"/>
        <w:gridCol w:w="2126"/>
        <w:gridCol w:w="3574"/>
        <w:gridCol w:w="3574"/>
      </w:tblGrid>
      <w:tr w:rsidR="00592572" w:rsidRPr="00AF3A24" w14:paraId="6AF22B76" w14:textId="77777777" w:rsidTr="00E21ECC">
        <w:trPr>
          <w:trHeight w:val="386"/>
          <w:jc w:val="center"/>
        </w:trPr>
        <w:tc>
          <w:tcPr>
            <w:tcW w:w="683" w:type="dxa"/>
            <w:tcBorders>
              <w:bottom w:val="single" w:sz="4" w:space="0" w:color="auto"/>
            </w:tcBorders>
            <w:shd w:val="clear" w:color="auto" w:fill="92CDDC" w:themeFill="accent5" w:themeFillTint="99"/>
            <w:vAlign w:val="center"/>
          </w:tcPr>
          <w:p w14:paraId="18361316" w14:textId="77777777" w:rsidR="00592572" w:rsidRPr="00AF3A24" w:rsidRDefault="003C130C" w:rsidP="001633EC">
            <w:pPr>
              <w:spacing w:before="0" w:line="240" w:lineRule="auto"/>
              <w:jc w:val="left"/>
              <w:rPr>
                <w:rFonts w:asciiTheme="minorHAnsi" w:hAnsiTheme="minorHAnsi" w:cstheme="minorHAnsi"/>
                <w:b/>
                <w:sz w:val="18"/>
                <w:szCs w:val="18"/>
              </w:rPr>
            </w:pPr>
            <w:r>
              <w:rPr>
                <w:rFonts w:asciiTheme="minorHAnsi" w:hAnsiTheme="minorHAnsi" w:cstheme="minorHAnsi"/>
                <w:b/>
                <w:sz w:val="18"/>
                <w:szCs w:val="18"/>
              </w:rPr>
              <w:t>Code</w:t>
            </w:r>
          </w:p>
        </w:tc>
        <w:tc>
          <w:tcPr>
            <w:tcW w:w="2126" w:type="dxa"/>
            <w:tcBorders>
              <w:bottom w:val="single" w:sz="4" w:space="0" w:color="auto"/>
            </w:tcBorders>
            <w:shd w:val="clear" w:color="auto" w:fill="92CDDC" w:themeFill="accent5" w:themeFillTint="99"/>
            <w:vAlign w:val="center"/>
          </w:tcPr>
          <w:p w14:paraId="6D86E079" w14:textId="77777777" w:rsidR="00592572" w:rsidRPr="00AF3A24" w:rsidRDefault="003C130C" w:rsidP="001633EC">
            <w:pPr>
              <w:spacing w:before="0" w:line="240" w:lineRule="auto"/>
              <w:jc w:val="left"/>
              <w:rPr>
                <w:rFonts w:asciiTheme="minorHAnsi" w:hAnsiTheme="minorHAnsi" w:cstheme="minorHAnsi"/>
                <w:b/>
                <w:sz w:val="18"/>
                <w:szCs w:val="18"/>
              </w:rPr>
            </w:pPr>
            <w:r>
              <w:rPr>
                <w:rFonts w:asciiTheme="minorHAnsi" w:hAnsiTheme="minorHAnsi" w:cstheme="minorHAnsi"/>
                <w:b/>
                <w:sz w:val="18"/>
                <w:szCs w:val="18"/>
              </w:rPr>
              <w:t>Domain</w:t>
            </w:r>
          </w:p>
        </w:tc>
        <w:tc>
          <w:tcPr>
            <w:tcW w:w="3574" w:type="dxa"/>
            <w:tcBorders>
              <w:bottom w:val="single" w:sz="4" w:space="0" w:color="auto"/>
            </w:tcBorders>
            <w:shd w:val="clear" w:color="auto" w:fill="92CDDC" w:themeFill="accent5" w:themeFillTint="99"/>
            <w:vAlign w:val="center"/>
          </w:tcPr>
          <w:p w14:paraId="6A5E659C" w14:textId="77777777" w:rsidR="00592572" w:rsidRPr="00AF3A24" w:rsidRDefault="003C130C" w:rsidP="001633EC">
            <w:pPr>
              <w:spacing w:before="0" w:line="240" w:lineRule="auto"/>
              <w:jc w:val="left"/>
              <w:rPr>
                <w:rFonts w:asciiTheme="minorHAnsi" w:hAnsiTheme="minorHAnsi" w:cstheme="minorHAnsi"/>
                <w:b/>
                <w:sz w:val="18"/>
                <w:szCs w:val="18"/>
              </w:rPr>
            </w:pPr>
            <w:r>
              <w:rPr>
                <w:rFonts w:asciiTheme="minorHAnsi" w:hAnsiTheme="minorHAnsi" w:cstheme="minorHAnsi"/>
                <w:b/>
                <w:sz w:val="18"/>
                <w:szCs w:val="18"/>
              </w:rPr>
              <w:t>Low score interpretation</w:t>
            </w:r>
          </w:p>
        </w:tc>
        <w:tc>
          <w:tcPr>
            <w:tcW w:w="3574" w:type="dxa"/>
            <w:tcBorders>
              <w:bottom w:val="single" w:sz="4" w:space="0" w:color="auto"/>
            </w:tcBorders>
            <w:shd w:val="clear" w:color="auto" w:fill="92CDDC" w:themeFill="accent5" w:themeFillTint="99"/>
            <w:vAlign w:val="center"/>
          </w:tcPr>
          <w:p w14:paraId="426D01FD" w14:textId="77777777" w:rsidR="00592572" w:rsidRPr="00AF3A24" w:rsidRDefault="003C130C" w:rsidP="001633EC">
            <w:pPr>
              <w:spacing w:before="0" w:line="240" w:lineRule="auto"/>
              <w:jc w:val="left"/>
              <w:rPr>
                <w:rFonts w:asciiTheme="minorHAnsi" w:hAnsiTheme="minorHAnsi" w:cstheme="minorHAnsi"/>
                <w:b/>
                <w:sz w:val="18"/>
                <w:szCs w:val="18"/>
              </w:rPr>
            </w:pPr>
            <w:r>
              <w:rPr>
                <w:rFonts w:asciiTheme="minorHAnsi" w:hAnsiTheme="minorHAnsi" w:cstheme="minorHAnsi"/>
                <w:b/>
                <w:sz w:val="18"/>
                <w:szCs w:val="18"/>
              </w:rPr>
              <w:t>High score interpretation</w:t>
            </w:r>
          </w:p>
        </w:tc>
      </w:tr>
      <w:tr w:rsidR="00592572" w:rsidRPr="00AF3A24" w14:paraId="230F4866" w14:textId="77777777" w:rsidTr="00E21ECC">
        <w:trPr>
          <w:jc w:val="center"/>
        </w:trPr>
        <w:tc>
          <w:tcPr>
            <w:tcW w:w="683" w:type="dxa"/>
            <w:tcBorders>
              <w:top w:val="single" w:sz="4" w:space="0" w:color="auto"/>
              <w:bottom w:val="nil"/>
            </w:tcBorders>
            <w:shd w:val="clear" w:color="auto" w:fill="DAEEF3" w:themeFill="accent5" w:themeFillTint="33"/>
          </w:tcPr>
          <w:p w14:paraId="677A44ED"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PF</w:t>
            </w:r>
          </w:p>
        </w:tc>
        <w:tc>
          <w:tcPr>
            <w:tcW w:w="2126" w:type="dxa"/>
            <w:tcBorders>
              <w:left w:val="nil"/>
              <w:bottom w:val="nil"/>
              <w:right w:val="single" w:sz="4" w:space="0" w:color="auto"/>
            </w:tcBorders>
            <w:shd w:val="clear" w:color="auto" w:fill="DAEEF3" w:themeFill="accent5" w:themeFillTint="33"/>
          </w:tcPr>
          <w:p w14:paraId="58B32A10" w14:textId="77777777" w:rsidR="00592572" w:rsidRPr="00453078" w:rsidRDefault="003C130C" w:rsidP="0040494A">
            <w:pPr>
              <w:spacing w:before="0" w:line="240" w:lineRule="auto"/>
              <w:jc w:val="left"/>
              <w:rPr>
                <w:rFonts w:asciiTheme="minorHAnsi" w:hAnsiTheme="minorHAnsi"/>
                <w:bCs/>
                <w:color w:val="000000"/>
                <w:sz w:val="18"/>
                <w:szCs w:val="18"/>
              </w:rPr>
            </w:pPr>
            <w:r w:rsidRPr="00453078">
              <w:rPr>
                <w:rFonts w:asciiTheme="minorHAnsi" w:hAnsiTheme="minorHAnsi"/>
                <w:bCs/>
                <w:color w:val="000000"/>
                <w:sz w:val="18"/>
                <w:szCs w:val="18"/>
              </w:rPr>
              <w:t xml:space="preserve">Physical </w:t>
            </w:r>
            <w:r w:rsidR="00A514BC" w:rsidRPr="00453078">
              <w:rPr>
                <w:rFonts w:asciiTheme="minorHAnsi" w:hAnsiTheme="minorHAnsi"/>
                <w:bCs/>
                <w:color w:val="000000"/>
                <w:sz w:val="18"/>
                <w:szCs w:val="18"/>
              </w:rPr>
              <w:t>f</w:t>
            </w:r>
            <w:r w:rsidRPr="00453078">
              <w:rPr>
                <w:rFonts w:asciiTheme="minorHAnsi" w:hAnsiTheme="minorHAnsi"/>
                <w:bCs/>
                <w:color w:val="000000"/>
                <w:sz w:val="18"/>
                <w:szCs w:val="18"/>
              </w:rPr>
              <w:t>unctioning</w:t>
            </w:r>
          </w:p>
        </w:tc>
        <w:tc>
          <w:tcPr>
            <w:tcW w:w="3574" w:type="dxa"/>
            <w:tcBorders>
              <w:left w:val="nil"/>
              <w:bottom w:val="nil"/>
              <w:right w:val="single" w:sz="4" w:space="0" w:color="auto"/>
            </w:tcBorders>
            <w:shd w:val="clear" w:color="auto" w:fill="DAEEF3" w:themeFill="accent5" w:themeFillTint="33"/>
          </w:tcPr>
          <w:p w14:paraId="6C618C37" w14:textId="77777777" w:rsidR="00592572" w:rsidRPr="00453078" w:rsidRDefault="0040494A"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Limited a lot in performing all physical activities, including self-care, due to health</w:t>
            </w:r>
          </w:p>
        </w:tc>
        <w:tc>
          <w:tcPr>
            <w:tcW w:w="3574" w:type="dxa"/>
            <w:tcBorders>
              <w:left w:val="single" w:sz="4" w:space="0" w:color="auto"/>
              <w:bottom w:val="nil"/>
              <w:right w:val="single" w:sz="4" w:space="0" w:color="auto"/>
            </w:tcBorders>
            <w:shd w:val="clear" w:color="auto" w:fill="DAEEF3" w:themeFill="accent5" w:themeFillTint="33"/>
          </w:tcPr>
          <w:p w14:paraId="754D031A" w14:textId="77777777" w:rsidR="00592572" w:rsidRDefault="0040494A"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Performs all types of physical activities, including the most vigorous, without limitations due to health</w:t>
            </w:r>
          </w:p>
          <w:p w14:paraId="267CF6A8" w14:textId="77777777" w:rsidR="007A3F9C" w:rsidRPr="00453078" w:rsidRDefault="007A3F9C" w:rsidP="0040494A">
            <w:pPr>
              <w:spacing w:before="0" w:line="240" w:lineRule="auto"/>
              <w:jc w:val="left"/>
              <w:rPr>
                <w:rFonts w:asciiTheme="minorHAnsi" w:hAnsiTheme="minorHAnsi"/>
                <w:bCs/>
                <w:color w:val="000000"/>
                <w:sz w:val="18"/>
                <w:szCs w:val="16"/>
              </w:rPr>
            </w:pPr>
          </w:p>
        </w:tc>
      </w:tr>
      <w:tr w:rsidR="00592572" w:rsidRPr="00AF3A24" w14:paraId="0356D755" w14:textId="77777777" w:rsidTr="00E21ECC">
        <w:trPr>
          <w:jc w:val="center"/>
        </w:trPr>
        <w:tc>
          <w:tcPr>
            <w:tcW w:w="683" w:type="dxa"/>
            <w:tcBorders>
              <w:top w:val="nil"/>
              <w:bottom w:val="nil"/>
            </w:tcBorders>
            <w:shd w:val="clear" w:color="auto" w:fill="DAEEF3" w:themeFill="accent5" w:themeFillTint="33"/>
          </w:tcPr>
          <w:p w14:paraId="1C5941D4"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RP</w:t>
            </w:r>
          </w:p>
        </w:tc>
        <w:tc>
          <w:tcPr>
            <w:tcW w:w="2126" w:type="dxa"/>
            <w:tcBorders>
              <w:top w:val="nil"/>
              <w:left w:val="nil"/>
              <w:bottom w:val="nil"/>
              <w:right w:val="single" w:sz="4" w:space="0" w:color="auto"/>
            </w:tcBorders>
            <w:shd w:val="clear" w:color="auto" w:fill="DAEEF3" w:themeFill="accent5" w:themeFillTint="33"/>
          </w:tcPr>
          <w:p w14:paraId="273F3483" w14:textId="77777777" w:rsidR="00592572" w:rsidRPr="00453078" w:rsidRDefault="003C130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 xml:space="preserve">Role limitation – </w:t>
            </w:r>
            <w:r w:rsidR="00A514BC" w:rsidRPr="00453078">
              <w:rPr>
                <w:rFonts w:asciiTheme="minorHAnsi" w:hAnsiTheme="minorHAnsi"/>
                <w:bCs/>
                <w:color w:val="000000"/>
                <w:sz w:val="18"/>
                <w:szCs w:val="16"/>
              </w:rPr>
              <w:t>p</w:t>
            </w:r>
            <w:r w:rsidRPr="00453078">
              <w:rPr>
                <w:rFonts w:asciiTheme="minorHAnsi" w:hAnsiTheme="minorHAnsi"/>
                <w:bCs/>
                <w:color w:val="000000"/>
                <w:sz w:val="18"/>
                <w:szCs w:val="16"/>
              </w:rPr>
              <w:t xml:space="preserve">hysical </w:t>
            </w:r>
          </w:p>
        </w:tc>
        <w:tc>
          <w:tcPr>
            <w:tcW w:w="3574" w:type="dxa"/>
            <w:tcBorders>
              <w:top w:val="nil"/>
              <w:left w:val="nil"/>
              <w:bottom w:val="nil"/>
              <w:right w:val="single" w:sz="4" w:space="0" w:color="auto"/>
            </w:tcBorders>
            <w:shd w:val="clear" w:color="auto" w:fill="DAEEF3" w:themeFill="accent5" w:themeFillTint="33"/>
          </w:tcPr>
          <w:p w14:paraId="3ECE5EE8" w14:textId="77777777" w:rsidR="00592572" w:rsidRPr="00453078" w:rsidRDefault="0040494A"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Limited a lot in work or other daily activities as a result of physical health</w:t>
            </w:r>
          </w:p>
        </w:tc>
        <w:tc>
          <w:tcPr>
            <w:tcW w:w="3574" w:type="dxa"/>
            <w:tcBorders>
              <w:top w:val="nil"/>
              <w:left w:val="single" w:sz="4" w:space="0" w:color="auto"/>
              <w:bottom w:val="nil"/>
              <w:right w:val="single" w:sz="4" w:space="0" w:color="auto"/>
            </w:tcBorders>
            <w:shd w:val="clear" w:color="auto" w:fill="DAEEF3" w:themeFill="accent5" w:themeFillTint="33"/>
          </w:tcPr>
          <w:p w14:paraId="0E1BB18B" w14:textId="77777777" w:rsidR="00592572" w:rsidRDefault="008E59A5"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No problems with work or other daily activities as a result of physical health</w:t>
            </w:r>
          </w:p>
          <w:p w14:paraId="5776CB01" w14:textId="77777777" w:rsidR="007A3F9C" w:rsidRPr="00453078" w:rsidRDefault="007A3F9C" w:rsidP="0040494A">
            <w:pPr>
              <w:spacing w:before="0" w:line="240" w:lineRule="auto"/>
              <w:jc w:val="left"/>
              <w:rPr>
                <w:rFonts w:asciiTheme="minorHAnsi" w:hAnsiTheme="minorHAnsi"/>
                <w:bCs/>
                <w:color w:val="000000"/>
                <w:sz w:val="18"/>
                <w:szCs w:val="16"/>
              </w:rPr>
            </w:pPr>
          </w:p>
        </w:tc>
      </w:tr>
      <w:tr w:rsidR="00592572" w:rsidRPr="00AF3A24" w14:paraId="10C3A610" w14:textId="77777777" w:rsidTr="00E21ECC">
        <w:trPr>
          <w:jc w:val="center"/>
        </w:trPr>
        <w:tc>
          <w:tcPr>
            <w:tcW w:w="683" w:type="dxa"/>
            <w:tcBorders>
              <w:top w:val="nil"/>
              <w:bottom w:val="nil"/>
            </w:tcBorders>
            <w:shd w:val="clear" w:color="auto" w:fill="DAEEF3" w:themeFill="accent5" w:themeFillTint="33"/>
          </w:tcPr>
          <w:p w14:paraId="358F95EC"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BP</w:t>
            </w:r>
          </w:p>
        </w:tc>
        <w:tc>
          <w:tcPr>
            <w:tcW w:w="2126" w:type="dxa"/>
            <w:tcBorders>
              <w:top w:val="nil"/>
              <w:left w:val="nil"/>
              <w:bottom w:val="nil"/>
              <w:right w:val="single" w:sz="4" w:space="0" w:color="auto"/>
            </w:tcBorders>
            <w:shd w:val="clear" w:color="auto" w:fill="DAEEF3" w:themeFill="accent5" w:themeFillTint="33"/>
          </w:tcPr>
          <w:p w14:paraId="6077417E"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Bodily pain</w:t>
            </w:r>
          </w:p>
        </w:tc>
        <w:tc>
          <w:tcPr>
            <w:tcW w:w="3574" w:type="dxa"/>
            <w:tcBorders>
              <w:top w:val="nil"/>
              <w:left w:val="nil"/>
              <w:bottom w:val="nil"/>
              <w:right w:val="single" w:sz="4" w:space="0" w:color="auto"/>
            </w:tcBorders>
            <w:shd w:val="clear" w:color="auto" w:fill="DAEEF3" w:themeFill="accent5" w:themeFillTint="33"/>
          </w:tcPr>
          <w:p w14:paraId="5A1878E8" w14:textId="77777777" w:rsidR="00592572" w:rsidRDefault="008E59A5"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Very severe and extremely limiting bodily pain</w:t>
            </w:r>
          </w:p>
          <w:p w14:paraId="77E338F7"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630D5004" w14:textId="77777777" w:rsidR="00592572" w:rsidRPr="00453078" w:rsidRDefault="008E59A5"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No pain or limitations due to pain</w:t>
            </w:r>
          </w:p>
        </w:tc>
      </w:tr>
      <w:tr w:rsidR="00592572" w:rsidRPr="00AF3A24" w14:paraId="392B123D" w14:textId="77777777" w:rsidTr="00E21ECC">
        <w:trPr>
          <w:jc w:val="center"/>
        </w:trPr>
        <w:tc>
          <w:tcPr>
            <w:tcW w:w="683" w:type="dxa"/>
            <w:tcBorders>
              <w:top w:val="nil"/>
              <w:bottom w:val="nil"/>
            </w:tcBorders>
            <w:shd w:val="clear" w:color="auto" w:fill="DAEEF3" w:themeFill="accent5" w:themeFillTint="33"/>
          </w:tcPr>
          <w:p w14:paraId="3CC669E9"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GH</w:t>
            </w:r>
          </w:p>
        </w:tc>
        <w:tc>
          <w:tcPr>
            <w:tcW w:w="2126" w:type="dxa"/>
            <w:tcBorders>
              <w:top w:val="nil"/>
              <w:left w:val="nil"/>
              <w:bottom w:val="nil"/>
              <w:right w:val="single" w:sz="4" w:space="0" w:color="auto"/>
            </w:tcBorders>
            <w:shd w:val="clear" w:color="auto" w:fill="DAEEF3" w:themeFill="accent5" w:themeFillTint="33"/>
          </w:tcPr>
          <w:p w14:paraId="22D9EF08"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General health perceptions</w:t>
            </w:r>
          </w:p>
        </w:tc>
        <w:tc>
          <w:tcPr>
            <w:tcW w:w="3574" w:type="dxa"/>
            <w:tcBorders>
              <w:top w:val="nil"/>
              <w:left w:val="nil"/>
              <w:bottom w:val="nil"/>
              <w:right w:val="single" w:sz="4" w:space="0" w:color="auto"/>
            </w:tcBorders>
            <w:shd w:val="clear" w:color="auto" w:fill="DAEEF3" w:themeFill="accent5" w:themeFillTint="33"/>
          </w:tcPr>
          <w:p w14:paraId="1DB3C227" w14:textId="77777777" w:rsidR="00592572"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Evaluates own health as poor and believes it is likely to get worse</w:t>
            </w:r>
          </w:p>
          <w:p w14:paraId="142C0725"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781ADA06" w14:textId="77777777" w:rsidR="00592572" w:rsidRPr="00453078"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Evaluates own health as excellent</w:t>
            </w:r>
          </w:p>
        </w:tc>
      </w:tr>
      <w:tr w:rsidR="00592572" w:rsidRPr="00AF3A24" w14:paraId="6382C021" w14:textId="77777777" w:rsidTr="00E21ECC">
        <w:trPr>
          <w:jc w:val="center"/>
        </w:trPr>
        <w:tc>
          <w:tcPr>
            <w:tcW w:w="683" w:type="dxa"/>
            <w:tcBorders>
              <w:top w:val="nil"/>
              <w:bottom w:val="nil"/>
            </w:tcBorders>
            <w:shd w:val="clear" w:color="auto" w:fill="DAEEF3" w:themeFill="accent5" w:themeFillTint="33"/>
          </w:tcPr>
          <w:p w14:paraId="446783F4"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VT</w:t>
            </w:r>
          </w:p>
        </w:tc>
        <w:tc>
          <w:tcPr>
            <w:tcW w:w="2126" w:type="dxa"/>
            <w:tcBorders>
              <w:top w:val="nil"/>
              <w:left w:val="nil"/>
              <w:bottom w:val="nil"/>
              <w:right w:val="single" w:sz="4" w:space="0" w:color="auto"/>
            </w:tcBorders>
            <w:shd w:val="clear" w:color="auto" w:fill="DAEEF3" w:themeFill="accent5" w:themeFillTint="33"/>
          </w:tcPr>
          <w:p w14:paraId="523E00A8"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Vitality</w:t>
            </w:r>
          </w:p>
        </w:tc>
        <w:tc>
          <w:tcPr>
            <w:tcW w:w="3574" w:type="dxa"/>
            <w:tcBorders>
              <w:top w:val="nil"/>
              <w:left w:val="nil"/>
              <w:bottom w:val="nil"/>
              <w:right w:val="single" w:sz="4" w:space="0" w:color="auto"/>
            </w:tcBorders>
            <w:shd w:val="clear" w:color="auto" w:fill="DAEEF3" w:themeFill="accent5" w:themeFillTint="33"/>
          </w:tcPr>
          <w:p w14:paraId="2FABFEC8" w14:textId="77777777" w:rsidR="00592572"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Feels tired and worn out all of the time</w:t>
            </w:r>
          </w:p>
          <w:p w14:paraId="7459F8A6"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3AA4E8C6" w14:textId="77777777" w:rsidR="00592572" w:rsidRPr="00453078"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Feels full of energy all of the time</w:t>
            </w:r>
          </w:p>
        </w:tc>
      </w:tr>
      <w:tr w:rsidR="00592572" w:rsidRPr="00AF3A24" w14:paraId="10D40CAC" w14:textId="77777777" w:rsidTr="00E21ECC">
        <w:trPr>
          <w:jc w:val="center"/>
        </w:trPr>
        <w:tc>
          <w:tcPr>
            <w:tcW w:w="683" w:type="dxa"/>
            <w:tcBorders>
              <w:top w:val="nil"/>
              <w:bottom w:val="nil"/>
            </w:tcBorders>
            <w:shd w:val="clear" w:color="auto" w:fill="DAEEF3" w:themeFill="accent5" w:themeFillTint="33"/>
          </w:tcPr>
          <w:p w14:paraId="2A11A7C7"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SF</w:t>
            </w:r>
          </w:p>
        </w:tc>
        <w:tc>
          <w:tcPr>
            <w:tcW w:w="2126" w:type="dxa"/>
            <w:tcBorders>
              <w:top w:val="nil"/>
              <w:left w:val="nil"/>
              <w:bottom w:val="nil"/>
              <w:right w:val="single" w:sz="4" w:space="0" w:color="auto"/>
            </w:tcBorders>
            <w:shd w:val="clear" w:color="auto" w:fill="DAEEF3" w:themeFill="accent5" w:themeFillTint="33"/>
          </w:tcPr>
          <w:p w14:paraId="025E4574"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Social functioning</w:t>
            </w:r>
          </w:p>
        </w:tc>
        <w:tc>
          <w:tcPr>
            <w:tcW w:w="3574" w:type="dxa"/>
            <w:tcBorders>
              <w:top w:val="nil"/>
              <w:left w:val="nil"/>
              <w:bottom w:val="nil"/>
              <w:right w:val="single" w:sz="4" w:space="0" w:color="auto"/>
            </w:tcBorders>
            <w:shd w:val="clear" w:color="auto" w:fill="DAEEF3" w:themeFill="accent5" w:themeFillTint="33"/>
          </w:tcPr>
          <w:p w14:paraId="759B238B" w14:textId="77777777" w:rsidR="00592572"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Extreme and frequent interference with normal social activities due to physical or emotional problems</w:t>
            </w:r>
          </w:p>
          <w:p w14:paraId="5BAF7260"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74C3A669" w14:textId="77777777" w:rsidR="00592572" w:rsidRPr="00453078"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Performs normal social activities without interferences due to physical or emotional problems</w:t>
            </w:r>
          </w:p>
        </w:tc>
      </w:tr>
      <w:tr w:rsidR="00592572" w:rsidRPr="00AF3A24" w14:paraId="5D7D2589" w14:textId="77777777" w:rsidTr="00E21ECC">
        <w:trPr>
          <w:jc w:val="center"/>
        </w:trPr>
        <w:tc>
          <w:tcPr>
            <w:tcW w:w="683" w:type="dxa"/>
            <w:tcBorders>
              <w:top w:val="nil"/>
              <w:bottom w:val="nil"/>
            </w:tcBorders>
            <w:shd w:val="clear" w:color="auto" w:fill="DAEEF3" w:themeFill="accent5" w:themeFillTint="33"/>
          </w:tcPr>
          <w:p w14:paraId="31F6E625"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RE</w:t>
            </w:r>
          </w:p>
        </w:tc>
        <w:tc>
          <w:tcPr>
            <w:tcW w:w="2126" w:type="dxa"/>
            <w:tcBorders>
              <w:top w:val="nil"/>
              <w:left w:val="nil"/>
              <w:bottom w:val="nil"/>
              <w:right w:val="single" w:sz="4" w:space="0" w:color="auto"/>
            </w:tcBorders>
            <w:shd w:val="clear" w:color="auto" w:fill="DAEEF3" w:themeFill="accent5" w:themeFillTint="33"/>
          </w:tcPr>
          <w:p w14:paraId="67E7F41A"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Role limitation – emotional</w:t>
            </w:r>
          </w:p>
        </w:tc>
        <w:tc>
          <w:tcPr>
            <w:tcW w:w="3574" w:type="dxa"/>
            <w:tcBorders>
              <w:top w:val="nil"/>
              <w:left w:val="nil"/>
              <w:bottom w:val="nil"/>
              <w:right w:val="single" w:sz="4" w:space="0" w:color="auto"/>
            </w:tcBorders>
            <w:shd w:val="clear" w:color="auto" w:fill="DAEEF3" w:themeFill="accent5" w:themeFillTint="33"/>
          </w:tcPr>
          <w:p w14:paraId="488C8168" w14:textId="77777777" w:rsidR="00592572"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Problems with work or other daily activities as a result of emotional problems</w:t>
            </w:r>
          </w:p>
          <w:p w14:paraId="514D4534"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1C64AE3D" w14:textId="77777777" w:rsidR="00592572" w:rsidRPr="00453078"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No problems with work or other daily activities as a result of emotional problems</w:t>
            </w:r>
          </w:p>
        </w:tc>
      </w:tr>
      <w:tr w:rsidR="00592572" w:rsidRPr="00AF3A24" w14:paraId="40A83E70" w14:textId="77777777" w:rsidTr="00E21ECC">
        <w:trPr>
          <w:jc w:val="center"/>
        </w:trPr>
        <w:tc>
          <w:tcPr>
            <w:tcW w:w="683" w:type="dxa"/>
            <w:tcBorders>
              <w:top w:val="nil"/>
              <w:bottom w:val="nil"/>
            </w:tcBorders>
            <w:shd w:val="clear" w:color="auto" w:fill="DAEEF3" w:themeFill="accent5" w:themeFillTint="33"/>
          </w:tcPr>
          <w:p w14:paraId="2515EEA2" w14:textId="77777777" w:rsidR="00592572" w:rsidRPr="00453078" w:rsidRDefault="003C130C" w:rsidP="0040494A">
            <w:pPr>
              <w:spacing w:before="0" w:line="240" w:lineRule="auto"/>
              <w:ind w:left="78"/>
              <w:jc w:val="left"/>
              <w:rPr>
                <w:rFonts w:asciiTheme="minorHAnsi" w:hAnsiTheme="minorHAnsi" w:cstheme="minorHAnsi"/>
                <w:sz w:val="18"/>
                <w:szCs w:val="16"/>
              </w:rPr>
            </w:pPr>
            <w:r w:rsidRPr="00453078">
              <w:rPr>
                <w:rFonts w:asciiTheme="minorHAnsi" w:hAnsiTheme="minorHAnsi" w:cstheme="minorHAnsi"/>
                <w:sz w:val="18"/>
                <w:szCs w:val="16"/>
              </w:rPr>
              <w:t>MH</w:t>
            </w:r>
          </w:p>
        </w:tc>
        <w:tc>
          <w:tcPr>
            <w:tcW w:w="2126" w:type="dxa"/>
            <w:tcBorders>
              <w:top w:val="nil"/>
              <w:left w:val="nil"/>
              <w:bottom w:val="nil"/>
              <w:right w:val="single" w:sz="4" w:space="0" w:color="auto"/>
            </w:tcBorders>
            <w:shd w:val="clear" w:color="auto" w:fill="DAEEF3" w:themeFill="accent5" w:themeFillTint="33"/>
          </w:tcPr>
          <w:p w14:paraId="55708BFA" w14:textId="77777777" w:rsidR="00592572" w:rsidRPr="00453078" w:rsidRDefault="00A514B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Mental health</w:t>
            </w:r>
          </w:p>
        </w:tc>
        <w:tc>
          <w:tcPr>
            <w:tcW w:w="3574" w:type="dxa"/>
            <w:tcBorders>
              <w:top w:val="nil"/>
              <w:left w:val="nil"/>
              <w:bottom w:val="nil"/>
              <w:right w:val="single" w:sz="4" w:space="0" w:color="auto"/>
            </w:tcBorders>
            <w:shd w:val="clear" w:color="auto" w:fill="DAEEF3" w:themeFill="accent5" w:themeFillTint="33"/>
          </w:tcPr>
          <w:p w14:paraId="59B6C877" w14:textId="77777777" w:rsidR="00592572"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Has feelings of nervousness and depression all of the time</w:t>
            </w:r>
          </w:p>
          <w:p w14:paraId="5435647B" w14:textId="77777777" w:rsidR="007A3F9C" w:rsidRPr="00453078" w:rsidRDefault="007A3F9C" w:rsidP="0040494A">
            <w:pPr>
              <w:spacing w:before="0" w:line="240" w:lineRule="auto"/>
              <w:jc w:val="left"/>
              <w:rPr>
                <w:rFonts w:asciiTheme="minorHAnsi" w:hAnsiTheme="minorHAnsi"/>
                <w:bCs/>
                <w:color w:val="000000"/>
                <w:sz w:val="18"/>
                <w:szCs w:val="16"/>
              </w:rPr>
            </w:pPr>
          </w:p>
        </w:tc>
        <w:tc>
          <w:tcPr>
            <w:tcW w:w="3574" w:type="dxa"/>
            <w:tcBorders>
              <w:top w:val="nil"/>
              <w:left w:val="single" w:sz="4" w:space="0" w:color="auto"/>
              <w:bottom w:val="nil"/>
              <w:right w:val="single" w:sz="4" w:space="0" w:color="auto"/>
            </w:tcBorders>
            <w:shd w:val="clear" w:color="auto" w:fill="DAEEF3" w:themeFill="accent5" w:themeFillTint="33"/>
          </w:tcPr>
          <w:p w14:paraId="1F5CA810" w14:textId="77777777" w:rsidR="00592572" w:rsidRPr="00453078" w:rsidRDefault="001633EC" w:rsidP="0040494A">
            <w:pPr>
              <w:spacing w:before="0" w:line="240" w:lineRule="auto"/>
              <w:jc w:val="left"/>
              <w:rPr>
                <w:rFonts w:asciiTheme="minorHAnsi" w:hAnsiTheme="minorHAnsi"/>
                <w:bCs/>
                <w:color w:val="000000"/>
                <w:sz w:val="18"/>
                <w:szCs w:val="16"/>
              </w:rPr>
            </w:pPr>
            <w:r w:rsidRPr="00453078">
              <w:rPr>
                <w:rFonts w:asciiTheme="minorHAnsi" w:hAnsiTheme="minorHAnsi"/>
                <w:bCs/>
                <w:color w:val="000000"/>
                <w:sz w:val="18"/>
                <w:szCs w:val="16"/>
              </w:rPr>
              <w:t>Feels peaceful, happy and calm all of the time</w:t>
            </w:r>
          </w:p>
        </w:tc>
      </w:tr>
      <w:tr w:rsidR="00592572" w:rsidRPr="00815CEF" w14:paraId="17D28191" w14:textId="77777777" w:rsidTr="00E21ECC">
        <w:trPr>
          <w:jc w:val="center"/>
        </w:trPr>
        <w:tc>
          <w:tcPr>
            <w:tcW w:w="683" w:type="dxa"/>
            <w:tcBorders>
              <w:top w:val="dashed" w:sz="4" w:space="0" w:color="auto"/>
              <w:bottom w:val="nil"/>
            </w:tcBorders>
            <w:shd w:val="clear" w:color="auto" w:fill="DAEEF3" w:themeFill="accent5" w:themeFillTint="33"/>
          </w:tcPr>
          <w:p w14:paraId="11701340" w14:textId="77777777" w:rsidR="00592572" w:rsidRPr="00815CEF" w:rsidRDefault="005772B9" w:rsidP="0040494A">
            <w:pPr>
              <w:spacing w:before="0" w:line="240" w:lineRule="auto"/>
              <w:ind w:left="78"/>
              <w:jc w:val="left"/>
              <w:rPr>
                <w:rFonts w:asciiTheme="minorHAnsi" w:hAnsiTheme="minorHAnsi" w:cstheme="minorHAnsi"/>
                <w:sz w:val="18"/>
                <w:szCs w:val="16"/>
              </w:rPr>
            </w:pPr>
            <w:r w:rsidRPr="00815CEF">
              <w:rPr>
                <w:rFonts w:asciiTheme="minorHAnsi" w:hAnsiTheme="minorHAnsi" w:cstheme="minorHAnsi"/>
                <w:sz w:val="18"/>
                <w:szCs w:val="16"/>
              </w:rPr>
              <w:t>PCS</w:t>
            </w:r>
          </w:p>
        </w:tc>
        <w:tc>
          <w:tcPr>
            <w:tcW w:w="2126" w:type="dxa"/>
            <w:tcBorders>
              <w:top w:val="dashed" w:sz="4" w:space="0" w:color="auto"/>
              <w:left w:val="nil"/>
              <w:bottom w:val="nil"/>
              <w:right w:val="single" w:sz="4" w:space="0" w:color="auto"/>
            </w:tcBorders>
            <w:shd w:val="clear" w:color="auto" w:fill="DAEEF3" w:themeFill="accent5" w:themeFillTint="33"/>
          </w:tcPr>
          <w:p w14:paraId="139F3972" w14:textId="77777777" w:rsidR="00592572" w:rsidRPr="00815CEF" w:rsidRDefault="003C130C" w:rsidP="005772B9">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Physical</w:t>
            </w:r>
            <w:r w:rsidR="005772B9" w:rsidRPr="00815CEF">
              <w:rPr>
                <w:rFonts w:asciiTheme="minorHAnsi" w:hAnsiTheme="minorHAnsi"/>
                <w:bCs/>
                <w:color w:val="000000"/>
                <w:sz w:val="18"/>
                <w:szCs w:val="16"/>
              </w:rPr>
              <w:t xml:space="preserve"> Component Summary</w:t>
            </w:r>
          </w:p>
        </w:tc>
        <w:tc>
          <w:tcPr>
            <w:tcW w:w="3574" w:type="dxa"/>
            <w:tcBorders>
              <w:top w:val="dashed" w:sz="4" w:space="0" w:color="auto"/>
              <w:left w:val="nil"/>
              <w:bottom w:val="nil"/>
              <w:right w:val="single" w:sz="4" w:space="0" w:color="auto"/>
            </w:tcBorders>
            <w:shd w:val="clear" w:color="auto" w:fill="DAEEF3" w:themeFill="accent5" w:themeFillTint="33"/>
          </w:tcPr>
          <w:p w14:paraId="5E6B90EC" w14:textId="77777777" w:rsidR="00592572" w:rsidRDefault="00815CEF" w:rsidP="0040494A">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Poorer physical health</w:t>
            </w:r>
          </w:p>
          <w:p w14:paraId="5FA384A6" w14:textId="77777777" w:rsidR="007A3F9C" w:rsidRDefault="007A3F9C" w:rsidP="0040494A">
            <w:pPr>
              <w:spacing w:before="0" w:line="240" w:lineRule="auto"/>
              <w:jc w:val="left"/>
              <w:rPr>
                <w:rFonts w:asciiTheme="minorHAnsi" w:hAnsiTheme="minorHAnsi"/>
                <w:bCs/>
                <w:color w:val="000000"/>
                <w:sz w:val="18"/>
                <w:szCs w:val="16"/>
              </w:rPr>
            </w:pPr>
          </w:p>
          <w:p w14:paraId="1F24C91F" w14:textId="77777777" w:rsidR="007A3F9C" w:rsidRPr="00815CEF" w:rsidRDefault="007A3F9C" w:rsidP="0040494A">
            <w:pPr>
              <w:spacing w:before="0" w:line="240" w:lineRule="auto"/>
              <w:jc w:val="left"/>
              <w:rPr>
                <w:rFonts w:asciiTheme="minorHAnsi" w:hAnsiTheme="minorHAnsi"/>
                <w:bCs/>
                <w:color w:val="000000"/>
                <w:sz w:val="18"/>
                <w:szCs w:val="16"/>
              </w:rPr>
            </w:pPr>
          </w:p>
        </w:tc>
        <w:tc>
          <w:tcPr>
            <w:tcW w:w="3574" w:type="dxa"/>
            <w:tcBorders>
              <w:top w:val="dashed" w:sz="4" w:space="0" w:color="auto"/>
              <w:left w:val="single" w:sz="4" w:space="0" w:color="auto"/>
              <w:bottom w:val="nil"/>
              <w:right w:val="single" w:sz="4" w:space="0" w:color="auto"/>
            </w:tcBorders>
            <w:shd w:val="clear" w:color="auto" w:fill="DAEEF3" w:themeFill="accent5" w:themeFillTint="33"/>
          </w:tcPr>
          <w:p w14:paraId="6144648E" w14:textId="77777777" w:rsidR="00592572" w:rsidRPr="00815CEF" w:rsidRDefault="00815CEF" w:rsidP="0040494A">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Better physical health</w:t>
            </w:r>
          </w:p>
        </w:tc>
      </w:tr>
      <w:tr w:rsidR="00592572" w:rsidRPr="00AF3A24" w14:paraId="4AB065ED" w14:textId="77777777" w:rsidTr="00E21ECC">
        <w:trPr>
          <w:jc w:val="center"/>
        </w:trPr>
        <w:tc>
          <w:tcPr>
            <w:tcW w:w="683" w:type="dxa"/>
            <w:tcBorders>
              <w:top w:val="nil"/>
              <w:bottom w:val="single" w:sz="4" w:space="0" w:color="auto"/>
            </w:tcBorders>
            <w:shd w:val="clear" w:color="auto" w:fill="DAEEF3" w:themeFill="accent5" w:themeFillTint="33"/>
          </w:tcPr>
          <w:p w14:paraId="01C15353" w14:textId="77777777" w:rsidR="00592572" w:rsidRPr="00815CEF" w:rsidRDefault="00683D3E" w:rsidP="0040494A">
            <w:pPr>
              <w:spacing w:before="0" w:line="240" w:lineRule="auto"/>
              <w:ind w:left="78"/>
              <w:jc w:val="left"/>
              <w:rPr>
                <w:rFonts w:asciiTheme="minorHAnsi" w:hAnsiTheme="minorHAnsi" w:cstheme="minorHAnsi"/>
                <w:sz w:val="18"/>
                <w:szCs w:val="16"/>
              </w:rPr>
            </w:pPr>
            <w:r w:rsidRPr="00815CEF">
              <w:rPr>
                <w:rFonts w:asciiTheme="minorHAnsi" w:hAnsiTheme="minorHAnsi" w:cstheme="minorHAnsi"/>
                <w:sz w:val="18"/>
                <w:szCs w:val="16"/>
              </w:rPr>
              <w:t>MCS</w:t>
            </w:r>
          </w:p>
        </w:tc>
        <w:tc>
          <w:tcPr>
            <w:tcW w:w="2126" w:type="dxa"/>
            <w:tcBorders>
              <w:top w:val="nil"/>
              <w:left w:val="nil"/>
              <w:bottom w:val="single" w:sz="4" w:space="0" w:color="auto"/>
              <w:right w:val="single" w:sz="4" w:space="0" w:color="auto"/>
            </w:tcBorders>
            <w:shd w:val="clear" w:color="auto" w:fill="DAEEF3" w:themeFill="accent5" w:themeFillTint="33"/>
          </w:tcPr>
          <w:p w14:paraId="70A63ABE" w14:textId="77777777" w:rsidR="00592572" w:rsidRPr="00815CEF" w:rsidRDefault="003C130C" w:rsidP="0040494A">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 xml:space="preserve">Mental </w:t>
            </w:r>
            <w:r w:rsidR="005772B9" w:rsidRPr="00815CEF">
              <w:rPr>
                <w:rFonts w:asciiTheme="minorHAnsi" w:hAnsiTheme="minorHAnsi"/>
                <w:bCs/>
                <w:color w:val="000000"/>
                <w:sz w:val="18"/>
                <w:szCs w:val="16"/>
              </w:rPr>
              <w:t>Component Summary</w:t>
            </w:r>
          </w:p>
        </w:tc>
        <w:tc>
          <w:tcPr>
            <w:tcW w:w="3574" w:type="dxa"/>
            <w:tcBorders>
              <w:top w:val="nil"/>
              <w:left w:val="nil"/>
              <w:bottom w:val="single" w:sz="4" w:space="0" w:color="auto"/>
              <w:right w:val="single" w:sz="4" w:space="0" w:color="auto"/>
            </w:tcBorders>
            <w:shd w:val="clear" w:color="auto" w:fill="DAEEF3" w:themeFill="accent5" w:themeFillTint="33"/>
          </w:tcPr>
          <w:p w14:paraId="34286F95" w14:textId="77777777" w:rsidR="00592572" w:rsidRPr="00815CEF" w:rsidRDefault="00815CEF" w:rsidP="0040494A">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Poorer mental health</w:t>
            </w:r>
          </w:p>
        </w:tc>
        <w:tc>
          <w:tcPr>
            <w:tcW w:w="3574" w:type="dxa"/>
            <w:tcBorders>
              <w:top w:val="nil"/>
              <w:left w:val="single" w:sz="4" w:space="0" w:color="auto"/>
              <w:bottom w:val="single" w:sz="4" w:space="0" w:color="auto"/>
              <w:right w:val="single" w:sz="4" w:space="0" w:color="auto"/>
            </w:tcBorders>
            <w:shd w:val="clear" w:color="auto" w:fill="DAEEF3" w:themeFill="accent5" w:themeFillTint="33"/>
          </w:tcPr>
          <w:p w14:paraId="0E4D688B" w14:textId="77777777" w:rsidR="00592572" w:rsidRPr="00453078" w:rsidRDefault="00815CEF" w:rsidP="0040494A">
            <w:pPr>
              <w:spacing w:before="0" w:line="240" w:lineRule="auto"/>
              <w:jc w:val="left"/>
              <w:rPr>
                <w:rFonts w:asciiTheme="minorHAnsi" w:hAnsiTheme="minorHAnsi"/>
                <w:bCs/>
                <w:color w:val="000000"/>
                <w:sz w:val="18"/>
                <w:szCs w:val="16"/>
              </w:rPr>
            </w:pPr>
            <w:r w:rsidRPr="00815CEF">
              <w:rPr>
                <w:rFonts w:asciiTheme="minorHAnsi" w:hAnsiTheme="minorHAnsi"/>
                <w:bCs/>
                <w:color w:val="000000"/>
                <w:sz w:val="18"/>
                <w:szCs w:val="16"/>
              </w:rPr>
              <w:t>Better mental health</w:t>
            </w:r>
          </w:p>
        </w:tc>
      </w:tr>
    </w:tbl>
    <w:p w14:paraId="6C430F3C" w14:textId="77777777" w:rsidR="008B3694" w:rsidRPr="00AF3A24" w:rsidRDefault="008B3694" w:rsidP="008B3694">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63AC5E57" w14:textId="2E35B414" w:rsidR="0040494A" w:rsidRPr="00864BAE" w:rsidRDefault="008B3694" w:rsidP="004F129A">
      <w:pPr>
        <w:pStyle w:val="ListParagraph"/>
        <w:numPr>
          <w:ilvl w:val="0"/>
          <w:numId w:val="82"/>
        </w:numPr>
        <w:spacing w:line="240" w:lineRule="auto"/>
        <w:ind w:right="615"/>
        <w:rPr>
          <w:rFonts w:asciiTheme="minorHAnsi" w:hAnsiTheme="minorHAnsi" w:cstheme="minorHAnsi"/>
          <w:sz w:val="16"/>
        </w:rPr>
      </w:pPr>
      <w:r w:rsidRPr="00864BAE">
        <w:rPr>
          <w:rFonts w:asciiTheme="minorHAnsi" w:hAnsiTheme="minorHAnsi" w:cstheme="minorHAnsi"/>
          <w:sz w:val="16"/>
        </w:rPr>
        <w:t>Source:</w:t>
      </w:r>
      <w:r w:rsidR="006A3A78">
        <w:rPr>
          <w:rFonts w:asciiTheme="minorHAnsi" w:hAnsiTheme="minorHAnsi" w:cstheme="minorHAnsi"/>
          <w:sz w:val="16"/>
        </w:rPr>
        <w:t xml:space="preserve"> Based on </w:t>
      </w:r>
      <w:r w:rsidRPr="00864BAE">
        <w:rPr>
          <w:rFonts w:asciiTheme="minorHAnsi" w:hAnsiTheme="minorHAnsi" w:cstheme="minorHAnsi"/>
          <w:sz w:val="16"/>
        </w:rPr>
        <w:t xml:space="preserve"> </w:t>
      </w:r>
      <w:r w:rsidR="006A3A78">
        <w:rPr>
          <w:rFonts w:asciiTheme="minorHAnsi" w:hAnsiTheme="minorHAnsi" w:cstheme="minorHAnsi"/>
          <w:sz w:val="16"/>
        </w:rPr>
        <w:t xml:space="preserve">Ministry of Health </w:t>
      </w:r>
      <w:r w:rsidR="003C130C" w:rsidRPr="00864BAE">
        <w:rPr>
          <w:rFonts w:asciiTheme="minorHAnsi" w:hAnsiTheme="minorHAnsi" w:cstheme="minorHAnsi"/>
          <w:sz w:val="16"/>
        </w:rPr>
        <w:fldChar w:fldCharType="begin"/>
      </w:r>
      <w:r w:rsidR="00A34C5E">
        <w:rPr>
          <w:rFonts w:asciiTheme="minorHAnsi" w:hAnsiTheme="minorHAnsi" w:cstheme="minorHAnsi"/>
          <w:sz w:val="16"/>
        </w:rPr>
        <w:instrText xml:space="preserve"> ADDIN EN.CITE &lt;EndNote&gt;&lt;Cite ExcludeAuth="1"&gt;&lt;Author&gt;Ministry of Health&lt;/Author&gt;&lt;Year&gt;2009&lt;/Year&gt;&lt;RecNum&gt;33&lt;/RecNum&gt;&lt;Suffix&gt;`, p. 72&lt;/Suffix&gt;&lt;DisplayText&gt;(2009, p. 72)&lt;/DisplayText&gt;&lt;record&gt;&lt;rec-number&gt;33&lt;/rec-number&gt;&lt;foreign-keys&gt;&lt;key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3C130C" w:rsidRPr="00864BAE">
        <w:rPr>
          <w:rFonts w:asciiTheme="minorHAnsi" w:hAnsiTheme="minorHAnsi" w:cstheme="minorHAnsi"/>
          <w:sz w:val="16"/>
        </w:rPr>
        <w:fldChar w:fldCharType="separate"/>
      </w:r>
      <w:r w:rsidR="006A3A78">
        <w:rPr>
          <w:rFonts w:asciiTheme="minorHAnsi" w:hAnsiTheme="minorHAnsi" w:cstheme="minorHAnsi"/>
          <w:noProof/>
          <w:sz w:val="16"/>
        </w:rPr>
        <w:t>(</w:t>
      </w:r>
      <w:hyperlink w:anchor="_ENREF_36" w:tooltip="Ministry of Health, 2009 #33" w:history="1">
        <w:r w:rsidR="00765F46">
          <w:rPr>
            <w:rFonts w:asciiTheme="minorHAnsi" w:hAnsiTheme="minorHAnsi" w:cstheme="minorHAnsi"/>
            <w:noProof/>
            <w:sz w:val="16"/>
          </w:rPr>
          <w:t>2009, p. 72</w:t>
        </w:r>
      </w:hyperlink>
      <w:r w:rsidR="006A3A78">
        <w:rPr>
          <w:rFonts w:asciiTheme="minorHAnsi" w:hAnsiTheme="minorHAnsi" w:cstheme="minorHAnsi"/>
          <w:noProof/>
          <w:sz w:val="16"/>
        </w:rPr>
        <w:t>)</w:t>
      </w:r>
      <w:r w:rsidR="003C130C" w:rsidRPr="00864BAE">
        <w:rPr>
          <w:rFonts w:asciiTheme="minorHAnsi" w:hAnsiTheme="minorHAnsi" w:cstheme="minorHAnsi"/>
          <w:sz w:val="16"/>
        </w:rPr>
        <w:fldChar w:fldCharType="end"/>
      </w:r>
      <w:r w:rsidRPr="00864BAE">
        <w:rPr>
          <w:rFonts w:asciiTheme="minorHAnsi" w:hAnsiTheme="minorHAnsi" w:cstheme="minorHAnsi"/>
          <w:sz w:val="16"/>
        </w:rPr>
        <w:t xml:space="preserve">. </w:t>
      </w:r>
      <w:r w:rsidR="006A3A78">
        <w:rPr>
          <w:rFonts w:asciiTheme="minorHAnsi" w:hAnsiTheme="minorHAnsi" w:cstheme="minorHAnsi"/>
          <w:sz w:val="16"/>
        </w:rPr>
        <w:t xml:space="preserve">NB: </w:t>
      </w:r>
      <w:r w:rsidR="00864BAE">
        <w:rPr>
          <w:rFonts w:asciiTheme="minorHAnsi" w:hAnsiTheme="minorHAnsi" w:cstheme="minorHAnsi"/>
          <w:sz w:val="16"/>
        </w:rPr>
        <w:t xml:space="preserve"> </w:t>
      </w:r>
      <w:r w:rsidR="0040494A" w:rsidRPr="00864BAE">
        <w:rPr>
          <w:rFonts w:asciiTheme="minorHAnsi" w:hAnsiTheme="minorHAnsi" w:cstheme="minorHAnsi"/>
          <w:sz w:val="16"/>
        </w:rPr>
        <w:t xml:space="preserve">A four-week recall period is used in all domains, except GH, which specifies an ‘in general’ recall period. </w:t>
      </w:r>
    </w:p>
    <w:p w14:paraId="66AC1F06" w14:textId="77777777" w:rsidR="00925376" w:rsidRDefault="00925376" w:rsidP="000074FF">
      <w:pPr>
        <w:rPr>
          <w:rFonts w:asciiTheme="minorHAnsi" w:hAnsiTheme="minorHAnsi"/>
        </w:rPr>
      </w:pPr>
    </w:p>
    <w:p w14:paraId="742F06D6" w14:textId="7297BB55" w:rsidR="003503B8" w:rsidRDefault="001710FE" w:rsidP="000074FF">
      <w:pPr>
        <w:rPr>
          <w:rFonts w:asciiTheme="minorHAnsi" w:hAnsiTheme="minorHAnsi"/>
        </w:rPr>
      </w:pPr>
      <w:r>
        <w:rPr>
          <w:rFonts w:asciiTheme="minorHAnsi" w:hAnsiTheme="minorHAnsi"/>
        </w:rPr>
        <w:t>Figure 26</w:t>
      </w:r>
      <w:r w:rsidR="007336F4">
        <w:rPr>
          <w:rFonts w:asciiTheme="minorHAnsi" w:hAnsiTheme="minorHAnsi"/>
        </w:rPr>
        <w:t xml:space="preserve"> illustrates the mean scores for each of the SF-12 </w:t>
      </w:r>
      <w:r w:rsidR="003503B8">
        <w:rPr>
          <w:rFonts w:asciiTheme="minorHAnsi" w:hAnsiTheme="minorHAnsi"/>
        </w:rPr>
        <w:t xml:space="preserve">health </w:t>
      </w:r>
      <w:r w:rsidR="007336F4">
        <w:rPr>
          <w:rFonts w:asciiTheme="minorHAnsi" w:hAnsiTheme="minorHAnsi"/>
        </w:rPr>
        <w:t>domains by gambling status (non-gamblers, non-problem/recreational, low-risk, moderate-risk/problem)</w:t>
      </w:r>
      <w:r w:rsidR="00ED4A3E">
        <w:rPr>
          <w:rFonts w:asciiTheme="minorHAnsi" w:hAnsiTheme="minorHAnsi"/>
        </w:rPr>
        <w:t>.</w:t>
      </w:r>
      <w:r w:rsidR="003503B8">
        <w:rPr>
          <w:rFonts w:asciiTheme="minorHAnsi" w:hAnsiTheme="minorHAnsi"/>
        </w:rPr>
        <w:t xml:space="preserve">  The ordering of the domains used in </w:t>
      </w:r>
      <w:r>
        <w:rPr>
          <w:rFonts w:asciiTheme="minorHAnsi" w:hAnsiTheme="minorHAnsi"/>
        </w:rPr>
        <w:t xml:space="preserve">Figure 26 </w:t>
      </w:r>
      <w:r w:rsidR="003503B8">
        <w:rPr>
          <w:rFonts w:asciiTheme="minorHAnsi" w:hAnsiTheme="minorHAnsi"/>
        </w:rPr>
        <w:t xml:space="preserve">is in accordance with an international standard, whereby the order from left to right represents the extent to which each scale measures physical health (closer to the left) or mental health (closer to the right) </w:t>
      </w:r>
      <w:r w:rsidR="003503B8">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3503B8">
        <w:rPr>
          <w:rFonts w:asciiTheme="minorHAnsi" w:hAnsiTheme="minorHAnsi"/>
        </w:rPr>
        <w:fldChar w:fldCharType="separate"/>
      </w:r>
      <w:r w:rsidR="003503B8">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3503B8">
        <w:rPr>
          <w:rFonts w:asciiTheme="minorHAnsi" w:hAnsiTheme="minorHAnsi"/>
          <w:noProof/>
        </w:rPr>
        <w:t>)</w:t>
      </w:r>
      <w:r w:rsidR="003503B8">
        <w:rPr>
          <w:rFonts w:asciiTheme="minorHAnsi" w:hAnsiTheme="minorHAnsi"/>
        </w:rPr>
        <w:fldChar w:fldCharType="end"/>
      </w:r>
      <w:r w:rsidR="003503B8">
        <w:rPr>
          <w:rFonts w:asciiTheme="minorHAnsi" w:hAnsiTheme="minorHAnsi"/>
        </w:rPr>
        <w:t>.  It is apparent that people with increased severity of gambling problems had lower levels of functioning in all health domains.  While this trend was not so strong for the physical functioning (PF) domain, it was particularly strong for the domains of general health (GH), vitality (VT), social functioning (SF), r</w:t>
      </w:r>
      <w:r w:rsidR="003503B8" w:rsidRPr="003503B8">
        <w:rPr>
          <w:rFonts w:asciiTheme="minorHAnsi" w:hAnsiTheme="minorHAnsi"/>
        </w:rPr>
        <w:t xml:space="preserve">ole limitation – emotional (RE), and </w:t>
      </w:r>
      <w:r w:rsidR="003503B8">
        <w:rPr>
          <w:rFonts w:asciiTheme="minorHAnsi" w:hAnsiTheme="minorHAnsi"/>
        </w:rPr>
        <w:t>m</w:t>
      </w:r>
      <w:r w:rsidR="003503B8" w:rsidRPr="003503B8">
        <w:rPr>
          <w:rFonts w:asciiTheme="minorHAnsi" w:hAnsiTheme="minorHAnsi"/>
        </w:rPr>
        <w:t>ental health</w:t>
      </w:r>
      <w:r w:rsidR="003503B8">
        <w:rPr>
          <w:rFonts w:asciiTheme="minorHAnsi" w:hAnsiTheme="minorHAnsi"/>
        </w:rPr>
        <w:t xml:space="preserve"> (MH). </w:t>
      </w:r>
      <w:r w:rsidR="00153C9E">
        <w:rPr>
          <w:rFonts w:asciiTheme="minorHAnsi" w:hAnsiTheme="minorHAnsi"/>
        </w:rPr>
        <w:t xml:space="preserve"> </w:t>
      </w:r>
      <w:r w:rsidR="00502F29">
        <w:rPr>
          <w:rFonts w:asciiTheme="minorHAnsi" w:hAnsiTheme="minorHAnsi"/>
        </w:rPr>
        <w:t xml:space="preserve">A trend was also observed in relation to gambling status </w:t>
      </w:r>
      <w:r w:rsidR="00502F29">
        <w:rPr>
          <w:rFonts w:asciiTheme="minorHAnsi" w:hAnsiTheme="minorHAnsi"/>
        </w:rPr>
        <w:lastRenderedPageBreak/>
        <w:t xml:space="preserve">and Summary Physical (SPH) and Mental (SMH) Health scores: people with increasing severity of gambling problems were more likely to report lower SPH and SMH scores.  </w:t>
      </w:r>
      <w:r w:rsidR="00153C9E">
        <w:rPr>
          <w:rFonts w:asciiTheme="minorHAnsi" w:hAnsiTheme="minorHAnsi"/>
        </w:rPr>
        <w:t xml:space="preserve">Further details are available in </w:t>
      </w:r>
      <w:r>
        <w:rPr>
          <w:rFonts w:asciiTheme="minorHAnsi" w:hAnsiTheme="minorHAnsi"/>
        </w:rPr>
        <w:t xml:space="preserve">Appendix J </w:t>
      </w:r>
      <w:r w:rsidR="00153C9E" w:rsidRPr="00C87CE1">
        <w:rPr>
          <w:rFonts w:asciiTheme="minorHAnsi" w:hAnsiTheme="minorHAnsi"/>
        </w:rPr>
        <w:t>(</w:t>
      </w:r>
      <w:r>
        <w:rPr>
          <w:rFonts w:asciiTheme="minorHAnsi" w:hAnsiTheme="minorHAnsi"/>
        </w:rPr>
        <w:t xml:space="preserve">Table 30 </w:t>
      </w:r>
      <w:r w:rsidR="00153C9E" w:rsidRPr="00C87CE1">
        <w:rPr>
          <w:rFonts w:asciiTheme="minorHAnsi" w:hAnsiTheme="minorHAnsi"/>
        </w:rPr>
        <w:t xml:space="preserve">and </w:t>
      </w:r>
      <w:r>
        <w:rPr>
          <w:rFonts w:asciiTheme="minorHAnsi" w:hAnsiTheme="minorHAnsi"/>
        </w:rPr>
        <w:t>Table 31</w:t>
      </w:r>
      <w:r w:rsidR="00153C9E" w:rsidRPr="00C87CE1">
        <w:rPr>
          <w:rFonts w:asciiTheme="minorHAnsi" w:hAnsiTheme="minorHAnsi"/>
        </w:rPr>
        <w:t>).</w:t>
      </w:r>
    </w:p>
    <w:p w14:paraId="4B2641E4" w14:textId="0C1ECBD1" w:rsidR="00F94BB7" w:rsidRDefault="00F94BB7" w:rsidP="004A396F">
      <w:pPr>
        <w:pStyle w:val="Caption"/>
        <w:keepNext/>
        <w:tabs>
          <w:tab w:val="left" w:pos="993"/>
        </w:tabs>
        <w:spacing w:after="0" w:line="360" w:lineRule="auto"/>
        <w:ind w:left="993" w:hanging="993"/>
        <w:jc w:val="left"/>
        <w:rPr>
          <w:rFonts w:asciiTheme="minorHAnsi" w:hAnsiTheme="minorHAnsi" w:cstheme="minorHAnsi"/>
          <w:i/>
          <w:vertAlign w:val="superscript"/>
        </w:rPr>
      </w:pPr>
      <w:bookmarkStart w:id="146" w:name="_Ref401740238"/>
      <w:bookmarkStart w:id="147" w:name="_Toc425426999"/>
      <w:r w:rsidRPr="00143F8D">
        <w:rPr>
          <w:rFonts w:asciiTheme="minorHAnsi" w:hAnsiTheme="minorHAnsi" w:cstheme="minorHAnsi"/>
          <w:i/>
        </w:rPr>
        <w:t xml:space="preserve">Figure </w:t>
      </w:r>
      <w:r w:rsidRPr="00143F8D">
        <w:rPr>
          <w:rFonts w:asciiTheme="minorHAnsi" w:hAnsiTheme="minorHAnsi" w:cstheme="minorHAnsi"/>
          <w:i/>
        </w:rPr>
        <w:fldChar w:fldCharType="begin"/>
      </w:r>
      <w:r w:rsidRPr="00143F8D">
        <w:rPr>
          <w:rFonts w:asciiTheme="minorHAnsi" w:hAnsiTheme="minorHAnsi" w:cstheme="minorHAnsi"/>
          <w:i/>
        </w:rPr>
        <w:instrText xml:space="preserve"> SEQ Figure \* ARABIC </w:instrText>
      </w:r>
      <w:r w:rsidRPr="00143F8D">
        <w:rPr>
          <w:rFonts w:asciiTheme="minorHAnsi" w:hAnsiTheme="minorHAnsi" w:cstheme="minorHAnsi"/>
          <w:i/>
        </w:rPr>
        <w:fldChar w:fldCharType="separate"/>
      </w:r>
      <w:r w:rsidR="00D71107">
        <w:rPr>
          <w:rFonts w:asciiTheme="minorHAnsi" w:hAnsiTheme="minorHAnsi" w:cstheme="minorHAnsi"/>
          <w:i/>
          <w:noProof/>
        </w:rPr>
        <w:t>26</w:t>
      </w:r>
      <w:r w:rsidRPr="00143F8D">
        <w:rPr>
          <w:rFonts w:asciiTheme="minorHAnsi" w:hAnsiTheme="minorHAnsi" w:cstheme="minorHAnsi"/>
          <w:i/>
        </w:rPr>
        <w:fldChar w:fldCharType="end"/>
      </w:r>
      <w:bookmarkEnd w:id="146"/>
      <w:r w:rsidRPr="00143F8D">
        <w:rPr>
          <w:rFonts w:asciiTheme="minorHAnsi" w:hAnsiTheme="minorHAnsi" w:cstheme="minorHAnsi"/>
          <w:i/>
        </w:rPr>
        <w:t xml:space="preserve">: </w:t>
      </w:r>
      <w:r w:rsidRPr="00143F8D">
        <w:rPr>
          <w:rFonts w:asciiTheme="minorHAnsi" w:hAnsiTheme="minorHAnsi" w:cstheme="minorHAnsi"/>
          <w:i/>
        </w:rPr>
        <w:tab/>
      </w:r>
      <w:r w:rsidR="007336F4">
        <w:rPr>
          <w:rFonts w:asciiTheme="minorHAnsi" w:hAnsiTheme="minorHAnsi" w:cstheme="minorHAnsi"/>
          <w:i/>
        </w:rPr>
        <w:t>Mean</w:t>
      </w:r>
      <w:r w:rsidR="00453078">
        <w:rPr>
          <w:rFonts w:asciiTheme="minorHAnsi" w:hAnsiTheme="minorHAnsi" w:cstheme="minorHAnsi"/>
          <w:i/>
        </w:rPr>
        <w:t xml:space="preserve"> </w:t>
      </w:r>
      <w:r w:rsidRPr="00143F8D">
        <w:rPr>
          <w:rFonts w:asciiTheme="minorHAnsi" w:hAnsiTheme="minorHAnsi" w:cstheme="minorHAnsi"/>
          <w:i/>
        </w:rPr>
        <w:t>SF-12 scores by gambling status, total population aged 15 years and over (unadjusted prevalence</w:t>
      </w:r>
      <w:r w:rsidR="00900937">
        <w:rPr>
          <w:rFonts w:asciiTheme="minorHAnsi" w:hAnsiTheme="minorHAnsi" w:cstheme="minorHAnsi"/>
          <w:i/>
        </w:rPr>
        <w:t>; N=12,596</w:t>
      </w:r>
      <w:r w:rsidRPr="00143F8D">
        <w:rPr>
          <w:rFonts w:asciiTheme="minorHAnsi" w:hAnsiTheme="minorHAnsi" w:cstheme="minorHAnsi"/>
          <w:i/>
        </w:rPr>
        <w:t xml:space="preserve">) </w:t>
      </w:r>
      <w:r w:rsidRPr="00143F8D">
        <w:rPr>
          <w:rFonts w:asciiTheme="minorHAnsi" w:hAnsiTheme="minorHAnsi" w:cstheme="minorHAnsi"/>
          <w:i/>
          <w:vertAlign w:val="superscript"/>
        </w:rPr>
        <w:t>1</w:t>
      </w:r>
      <w:bookmarkEnd w:id="147"/>
    </w:p>
    <w:p w14:paraId="15BAB54D" w14:textId="77777777" w:rsidR="004A396F" w:rsidRDefault="004A396F" w:rsidP="000D568F">
      <w:pPr>
        <w:pStyle w:val="Caption"/>
        <w:keepNext/>
        <w:spacing w:before="0" w:after="0" w:line="276" w:lineRule="auto"/>
        <w:ind w:left="709" w:hanging="284"/>
        <w:jc w:val="left"/>
        <w:rPr>
          <w:rFonts w:asciiTheme="minorHAnsi" w:hAnsiTheme="minorHAnsi" w:cstheme="minorHAnsi"/>
          <w:sz w:val="16"/>
        </w:rPr>
      </w:pPr>
    </w:p>
    <w:p w14:paraId="36CA0CE9" w14:textId="77777777" w:rsidR="004A396F" w:rsidRDefault="004A396F" w:rsidP="008731A1">
      <w:pPr>
        <w:pStyle w:val="Caption"/>
        <w:keepNext/>
        <w:spacing w:before="0" w:after="0" w:line="276" w:lineRule="auto"/>
        <w:ind w:hanging="1"/>
        <w:jc w:val="center"/>
        <w:rPr>
          <w:rFonts w:asciiTheme="minorHAnsi" w:hAnsiTheme="minorHAnsi" w:cstheme="minorHAnsi"/>
          <w:sz w:val="16"/>
        </w:rPr>
      </w:pPr>
      <w:r>
        <w:rPr>
          <w:noProof/>
          <w:lang w:eastAsia="en-NZ"/>
        </w:rPr>
        <w:drawing>
          <wp:inline distT="0" distB="0" distL="0" distR="0" wp14:anchorId="5CF34138" wp14:editId="7B19FBA0">
            <wp:extent cx="6315075" cy="3390900"/>
            <wp:effectExtent l="0" t="0" r="9525"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05E1A7E" w14:textId="77777777" w:rsidR="000D568F" w:rsidRPr="009570D4" w:rsidRDefault="000D568F" w:rsidP="004A396F">
      <w:pPr>
        <w:pStyle w:val="Caption"/>
        <w:keepNext/>
        <w:spacing w:before="0" w:after="0" w:line="276" w:lineRule="auto"/>
        <w:ind w:left="851" w:hanging="284"/>
        <w:jc w:val="left"/>
        <w:rPr>
          <w:rFonts w:asciiTheme="minorHAnsi" w:hAnsiTheme="minorHAnsi" w:cstheme="minorHAnsi"/>
          <w:b w:val="0"/>
          <w:sz w:val="16"/>
        </w:rPr>
      </w:pPr>
      <w:r w:rsidRPr="009570D4">
        <w:rPr>
          <w:rFonts w:asciiTheme="minorHAnsi" w:hAnsiTheme="minorHAnsi" w:cstheme="minorHAnsi"/>
          <w:b w:val="0"/>
          <w:sz w:val="16"/>
        </w:rPr>
        <w:t>Notes:</w:t>
      </w:r>
    </w:p>
    <w:p w14:paraId="503A82FB" w14:textId="146EED42" w:rsidR="0059356E" w:rsidRPr="001B4A71" w:rsidRDefault="000D568F" w:rsidP="00304499">
      <w:pPr>
        <w:pStyle w:val="ListParagraph"/>
        <w:numPr>
          <w:ilvl w:val="0"/>
          <w:numId w:val="47"/>
        </w:numPr>
        <w:spacing w:line="240" w:lineRule="auto"/>
        <w:ind w:left="851" w:right="1380" w:hanging="284"/>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265703BC" w14:textId="77777777" w:rsidR="001B4A71" w:rsidRPr="001B4A71" w:rsidRDefault="001B4A71" w:rsidP="001B4A71">
      <w:pPr>
        <w:spacing w:line="240" w:lineRule="auto"/>
        <w:ind w:left="567" w:right="1380"/>
        <w:rPr>
          <w:rFonts w:asciiTheme="minorHAnsi" w:hAnsiTheme="minorHAnsi" w:cstheme="minorHAnsi"/>
          <w:sz w:val="16"/>
        </w:rPr>
      </w:pPr>
    </w:p>
    <w:p w14:paraId="6FBFBC2F" w14:textId="77777777" w:rsidR="0059356E" w:rsidRPr="0059356E" w:rsidRDefault="0059356E" w:rsidP="00F061EF">
      <w:pPr>
        <w:pStyle w:val="Heading3"/>
      </w:pPr>
      <w:bookmarkStart w:id="148" w:name="_Toc403833184"/>
      <w:r>
        <w:t>Self-rated health</w:t>
      </w:r>
      <w:bookmarkEnd w:id="148"/>
    </w:p>
    <w:p w14:paraId="29A35195" w14:textId="2D4C4747" w:rsidR="00304499" w:rsidRPr="00C87CE1" w:rsidRDefault="0018098C" w:rsidP="00304499">
      <w:pPr>
        <w:rPr>
          <w:rFonts w:asciiTheme="minorHAnsi" w:hAnsiTheme="minorHAnsi"/>
        </w:rPr>
      </w:pPr>
      <w:r>
        <w:rPr>
          <w:rFonts w:asciiTheme="minorHAnsi" w:hAnsiTheme="minorHAnsi"/>
        </w:rPr>
        <w:t xml:space="preserve">Respondents were </w:t>
      </w:r>
      <w:r w:rsidR="00E710AE">
        <w:rPr>
          <w:rFonts w:asciiTheme="minorHAnsi" w:hAnsiTheme="minorHAnsi"/>
        </w:rPr>
        <w:t xml:space="preserve">also </w:t>
      </w:r>
      <w:r>
        <w:rPr>
          <w:rFonts w:asciiTheme="minorHAnsi" w:hAnsiTheme="minorHAnsi"/>
        </w:rPr>
        <w:t xml:space="preserve">asked </w:t>
      </w:r>
      <w:r w:rsidR="00EE2F46">
        <w:rPr>
          <w:rFonts w:asciiTheme="minorHAnsi" w:hAnsiTheme="minorHAnsi"/>
        </w:rPr>
        <w:t xml:space="preserve">“How would you rate your health? </w:t>
      </w:r>
      <w:r w:rsidR="00E710AE">
        <w:rPr>
          <w:rFonts w:asciiTheme="minorHAnsi" w:hAnsiTheme="minorHAnsi"/>
        </w:rPr>
        <w:t xml:space="preserve"> </w:t>
      </w:r>
      <w:proofErr w:type="gramStart"/>
      <w:r w:rsidR="00EE2F46">
        <w:rPr>
          <w:rFonts w:asciiTheme="minorHAnsi" w:hAnsiTheme="minorHAnsi"/>
        </w:rPr>
        <w:t>Excellent, very good, good, fair or poor?”</w:t>
      </w:r>
      <w:proofErr w:type="gramEnd"/>
      <w:r w:rsidR="00EE2F46">
        <w:rPr>
          <w:rFonts w:asciiTheme="minorHAnsi" w:hAnsiTheme="minorHAnsi"/>
        </w:rPr>
        <w:t xml:space="preserve">  This measure of </w:t>
      </w:r>
      <w:r>
        <w:rPr>
          <w:rFonts w:asciiTheme="minorHAnsi" w:hAnsiTheme="minorHAnsi"/>
        </w:rPr>
        <w:t>s</w:t>
      </w:r>
      <w:r w:rsidR="00AE3CCF">
        <w:rPr>
          <w:rFonts w:asciiTheme="minorHAnsi" w:hAnsiTheme="minorHAnsi"/>
        </w:rPr>
        <w:t>elf-</w:t>
      </w:r>
      <w:r w:rsidR="00273C55">
        <w:rPr>
          <w:rFonts w:asciiTheme="minorHAnsi" w:hAnsiTheme="minorHAnsi"/>
        </w:rPr>
        <w:t xml:space="preserve">rated health </w:t>
      </w:r>
      <w:r w:rsidR="00EE2F46">
        <w:rPr>
          <w:rFonts w:asciiTheme="minorHAnsi" w:hAnsiTheme="minorHAnsi"/>
        </w:rPr>
        <w:t>was</w:t>
      </w:r>
      <w:r w:rsidR="00AE3CCF">
        <w:rPr>
          <w:rFonts w:asciiTheme="minorHAnsi" w:hAnsiTheme="minorHAnsi"/>
        </w:rPr>
        <w:t xml:space="preserve"> significantly associated with gambling status (p=0.0003). </w:t>
      </w:r>
      <w:r w:rsidR="00787450">
        <w:rPr>
          <w:rFonts w:asciiTheme="minorHAnsi" w:hAnsiTheme="minorHAnsi"/>
        </w:rPr>
        <w:t xml:space="preserve"> </w:t>
      </w:r>
      <w:r w:rsidR="00EE6AEB">
        <w:rPr>
          <w:rFonts w:asciiTheme="minorHAnsi" w:hAnsiTheme="minorHAnsi"/>
        </w:rPr>
        <w:t>As shown in</w:t>
      </w:r>
      <w:r w:rsidR="00134D1B">
        <w:rPr>
          <w:rFonts w:asciiTheme="minorHAnsi" w:hAnsiTheme="minorHAnsi"/>
        </w:rPr>
        <w:t xml:space="preserve"> Figure 28</w:t>
      </w:r>
      <w:r w:rsidR="00EE6AEB">
        <w:rPr>
          <w:rFonts w:asciiTheme="minorHAnsi" w:hAnsiTheme="minorHAnsi"/>
        </w:rPr>
        <w:t xml:space="preserve">, greater proportions of low-risk </w:t>
      </w:r>
      <w:r w:rsidR="007C1E30">
        <w:rPr>
          <w:rFonts w:asciiTheme="minorHAnsi" w:hAnsiTheme="minorHAnsi"/>
        </w:rPr>
        <w:t xml:space="preserve">(14.6%) </w:t>
      </w:r>
      <w:r w:rsidR="00EE6AEB">
        <w:rPr>
          <w:rFonts w:asciiTheme="minorHAnsi" w:hAnsiTheme="minorHAnsi"/>
        </w:rPr>
        <w:t xml:space="preserve">and moderate-risk/problem </w:t>
      </w:r>
      <w:r w:rsidR="007C1E30">
        <w:rPr>
          <w:rFonts w:asciiTheme="minorHAnsi" w:hAnsiTheme="minorHAnsi"/>
        </w:rPr>
        <w:t xml:space="preserve">(27.0%) </w:t>
      </w:r>
      <w:r w:rsidR="00EE6AEB">
        <w:rPr>
          <w:rFonts w:asciiTheme="minorHAnsi" w:hAnsiTheme="minorHAnsi"/>
        </w:rPr>
        <w:t>gamblers rated their health as being fair or poor</w:t>
      </w:r>
      <w:r w:rsidR="00787450">
        <w:rPr>
          <w:rFonts w:asciiTheme="minorHAnsi" w:hAnsiTheme="minorHAnsi"/>
        </w:rPr>
        <w:t xml:space="preserve"> in comparison to those with no gambling problems</w:t>
      </w:r>
      <w:r w:rsidR="007C1E30">
        <w:rPr>
          <w:rFonts w:asciiTheme="minorHAnsi" w:hAnsiTheme="minorHAnsi"/>
        </w:rPr>
        <w:t xml:space="preserve"> (10.2%) and those who did not gamble (10.6%)</w:t>
      </w:r>
      <w:r w:rsidR="00EE6AEB">
        <w:rPr>
          <w:rFonts w:asciiTheme="minorHAnsi" w:hAnsiTheme="minorHAnsi"/>
        </w:rPr>
        <w:t>.</w:t>
      </w:r>
      <w:r w:rsidR="00EE2F46">
        <w:rPr>
          <w:rFonts w:asciiTheme="minorHAnsi" w:hAnsiTheme="minorHAnsi"/>
        </w:rPr>
        <w:t xml:space="preserve"> </w:t>
      </w:r>
      <w:r w:rsidR="00EE6AEB">
        <w:rPr>
          <w:rFonts w:asciiTheme="minorHAnsi" w:hAnsiTheme="minorHAnsi"/>
        </w:rPr>
        <w:t xml:space="preserve"> </w:t>
      </w:r>
      <w:r w:rsidR="00787450">
        <w:rPr>
          <w:rFonts w:asciiTheme="minorHAnsi" w:hAnsiTheme="minorHAnsi"/>
        </w:rPr>
        <w:t>Moderate-risk/problem gamblers were 2.5 t</w:t>
      </w:r>
      <w:r w:rsidR="00EE2F46">
        <w:rPr>
          <w:rFonts w:asciiTheme="minorHAnsi" w:hAnsiTheme="minorHAnsi"/>
        </w:rPr>
        <w:t xml:space="preserve">imes more likely (OR 2.5) to report fair or </w:t>
      </w:r>
      <w:r w:rsidR="00787450">
        <w:rPr>
          <w:rFonts w:asciiTheme="minorHAnsi" w:hAnsiTheme="minorHAnsi"/>
        </w:rPr>
        <w:t xml:space="preserve">poor </w:t>
      </w:r>
      <w:r w:rsidR="00787450">
        <w:rPr>
          <w:rFonts w:asciiTheme="minorHAnsi" w:hAnsiTheme="minorHAnsi"/>
        </w:rPr>
        <w:lastRenderedPageBreak/>
        <w:t>health than those wi</w:t>
      </w:r>
      <w:r w:rsidR="00EE2F46">
        <w:rPr>
          <w:rFonts w:asciiTheme="minorHAnsi" w:hAnsiTheme="minorHAnsi"/>
        </w:rPr>
        <w:t>th no gambling problems</w:t>
      </w:r>
      <w:r w:rsidR="00787450">
        <w:rPr>
          <w:rFonts w:asciiTheme="minorHAnsi" w:hAnsiTheme="minorHAnsi"/>
        </w:rPr>
        <w:t xml:space="preserve">. </w:t>
      </w:r>
      <w:r w:rsidR="00EE2F46">
        <w:rPr>
          <w:rFonts w:asciiTheme="minorHAnsi" w:hAnsiTheme="minorHAnsi"/>
        </w:rPr>
        <w:t xml:space="preserve"> </w:t>
      </w:r>
      <w:r w:rsidR="00787450">
        <w:rPr>
          <w:rFonts w:asciiTheme="minorHAnsi" w:hAnsiTheme="minorHAnsi"/>
        </w:rPr>
        <w:t>No gender differences were observed in relation to self-rated health.</w:t>
      </w:r>
      <w:r w:rsidR="00304499">
        <w:rPr>
          <w:rFonts w:asciiTheme="minorHAnsi" w:hAnsiTheme="minorHAnsi"/>
        </w:rPr>
        <w:t xml:space="preserve">  </w:t>
      </w:r>
      <w:r w:rsidR="00EE2F46">
        <w:rPr>
          <w:rFonts w:asciiTheme="minorHAnsi" w:hAnsiTheme="minorHAnsi"/>
        </w:rPr>
        <w:t>Further details can be found in</w:t>
      </w:r>
      <w:r w:rsidR="001710FE">
        <w:rPr>
          <w:rFonts w:asciiTheme="minorHAnsi" w:hAnsiTheme="minorHAnsi"/>
        </w:rPr>
        <w:t xml:space="preserve"> Appendix J </w:t>
      </w:r>
      <w:r w:rsidR="001710FE" w:rsidRPr="00C87CE1">
        <w:rPr>
          <w:rFonts w:asciiTheme="minorHAnsi" w:hAnsiTheme="minorHAnsi"/>
        </w:rPr>
        <w:t>(</w:t>
      </w:r>
      <w:r w:rsidR="001710FE">
        <w:rPr>
          <w:rFonts w:asciiTheme="minorHAnsi" w:hAnsiTheme="minorHAnsi"/>
        </w:rPr>
        <w:t xml:space="preserve">Table 30 </w:t>
      </w:r>
      <w:r w:rsidR="001710FE" w:rsidRPr="00C87CE1">
        <w:rPr>
          <w:rFonts w:asciiTheme="minorHAnsi" w:hAnsiTheme="minorHAnsi"/>
        </w:rPr>
        <w:t xml:space="preserve">and </w:t>
      </w:r>
      <w:r w:rsidR="001710FE">
        <w:rPr>
          <w:rFonts w:asciiTheme="minorHAnsi" w:hAnsiTheme="minorHAnsi"/>
        </w:rPr>
        <w:t>Table 31</w:t>
      </w:r>
      <w:r w:rsidR="001710FE" w:rsidRPr="00C87CE1">
        <w:rPr>
          <w:rFonts w:asciiTheme="minorHAnsi" w:hAnsiTheme="minorHAnsi"/>
        </w:rPr>
        <w:t>).</w:t>
      </w:r>
    </w:p>
    <w:p w14:paraId="797D9A5E" w14:textId="77777777" w:rsidR="00304499" w:rsidRDefault="00304499" w:rsidP="00FB0414">
      <w:pPr>
        <w:pStyle w:val="Caption"/>
        <w:keepNext/>
        <w:tabs>
          <w:tab w:val="left" w:pos="993"/>
        </w:tabs>
        <w:spacing w:after="0" w:line="276" w:lineRule="auto"/>
        <w:ind w:left="993" w:hanging="993"/>
        <w:jc w:val="left"/>
        <w:rPr>
          <w:rFonts w:asciiTheme="minorHAnsi" w:hAnsiTheme="minorHAnsi" w:cstheme="minorHAnsi"/>
          <w:i/>
          <w:vertAlign w:val="superscript"/>
        </w:rPr>
      </w:pPr>
      <w:bookmarkStart w:id="149" w:name="_Toc425427000"/>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27</w:t>
      </w:r>
      <w:r w:rsidRPr="00AF20CE">
        <w:rPr>
          <w:rFonts w:asciiTheme="minorHAnsi" w:hAnsiTheme="minorHAnsi" w:cstheme="minorHAnsi"/>
          <w:i/>
        </w:rPr>
        <w:fldChar w:fldCharType="end"/>
      </w:r>
      <w:r w:rsidRPr="00AF20CE">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 xml:space="preserve">Fair or poor general health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w:t>
      </w:r>
      <w:r>
        <w:rPr>
          <w:rFonts w:asciiTheme="minorHAnsi" w:hAnsiTheme="minorHAnsi" w:cstheme="minorHAnsi"/>
          <w:i/>
        </w:rPr>
        <w:t xml:space="preserve"> (unadjusted prevalence; N=12,576</w:t>
      </w:r>
      <w:r w:rsidRPr="00AF3A24">
        <w:rPr>
          <w:rFonts w:asciiTheme="minorHAnsi" w:hAnsiTheme="minorHAnsi" w:cstheme="minorHAnsi"/>
          <w:i/>
        </w:rPr>
        <w:t xml:space="preserve">) </w:t>
      </w:r>
      <w:r>
        <w:rPr>
          <w:rFonts w:asciiTheme="minorHAnsi" w:hAnsiTheme="minorHAnsi" w:cstheme="minorHAnsi"/>
          <w:i/>
          <w:vertAlign w:val="superscript"/>
        </w:rPr>
        <w:t>1</w:t>
      </w:r>
      <w:bookmarkEnd w:id="149"/>
    </w:p>
    <w:p w14:paraId="6297EECC" w14:textId="77777777" w:rsidR="00304499" w:rsidRDefault="00304499" w:rsidP="00304499">
      <w:pPr>
        <w:spacing w:line="276" w:lineRule="auto"/>
        <w:jc w:val="center"/>
      </w:pPr>
      <w:r>
        <w:rPr>
          <w:noProof/>
          <w:lang w:eastAsia="en-NZ"/>
        </w:rPr>
        <w:drawing>
          <wp:inline distT="0" distB="0" distL="0" distR="0" wp14:anchorId="2ED713C0" wp14:editId="0C1D7283">
            <wp:extent cx="4640239" cy="2975212"/>
            <wp:effectExtent l="0" t="0" r="27305" b="1587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9B1029D" w14:textId="77777777" w:rsidR="00304499" w:rsidRDefault="00304499" w:rsidP="005C7AD7">
      <w:pPr>
        <w:pStyle w:val="Caption"/>
        <w:keepNext/>
        <w:spacing w:before="0" w:after="0" w:line="276" w:lineRule="auto"/>
        <w:ind w:left="1701" w:hanging="284"/>
        <w:jc w:val="left"/>
        <w:rPr>
          <w:rFonts w:asciiTheme="minorHAnsi" w:hAnsiTheme="minorHAnsi" w:cstheme="minorHAnsi"/>
          <w:b w:val="0"/>
          <w:sz w:val="16"/>
        </w:rPr>
      </w:pPr>
      <w:r w:rsidRPr="009570D4">
        <w:rPr>
          <w:rFonts w:asciiTheme="minorHAnsi" w:hAnsiTheme="minorHAnsi" w:cstheme="minorHAnsi"/>
          <w:b w:val="0"/>
          <w:sz w:val="16"/>
        </w:rPr>
        <w:t>Notes:</w:t>
      </w:r>
    </w:p>
    <w:p w14:paraId="12E6BB1A" w14:textId="5BBFF6CE" w:rsidR="008F4BA8" w:rsidRPr="008F4BA8" w:rsidRDefault="008F4BA8" w:rsidP="008F4BA8">
      <w:pPr>
        <w:pStyle w:val="Caption"/>
        <w:keepNext/>
        <w:numPr>
          <w:ilvl w:val="0"/>
          <w:numId w:val="106"/>
        </w:numPr>
        <w:spacing w:before="0" w:after="0" w:line="276" w:lineRule="auto"/>
        <w:jc w:val="left"/>
        <w:rPr>
          <w:rFonts w:asciiTheme="minorHAnsi" w:hAnsiTheme="minorHAnsi" w:cstheme="minorHAnsi"/>
          <w:b w:val="0"/>
          <w:sz w:val="16"/>
        </w:rPr>
      </w:pPr>
      <w:r w:rsidRPr="008F4BA8">
        <w:rPr>
          <w:rFonts w:asciiTheme="minorHAnsi" w:hAnsiTheme="minorHAnsi" w:cstheme="minorHAnsi"/>
          <w:b w:val="0"/>
          <w:sz w:val="16"/>
        </w:rPr>
        <w:t>Source: 2011/12 New Zealand Health Survey.  Error bars are indicative of 95% confidence intervals.</w:t>
      </w:r>
    </w:p>
    <w:p w14:paraId="246ED57F" w14:textId="77777777" w:rsidR="00304499" w:rsidRDefault="00304499" w:rsidP="00F061EF">
      <w:pPr>
        <w:pStyle w:val="Heading3"/>
      </w:pPr>
      <w:bookmarkStart w:id="150" w:name="_Toc403833185"/>
      <w:r>
        <w:t>Psychological distress</w:t>
      </w:r>
      <w:bookmarkEnd w:id="150"/>
    </w:p>
    <w:p w14:paraId="4B012BBF" w14:textId="40F67B12" w:rsidR="00AB253D" w:rsidRDefault="00B92FC7" w:rsidP="00512DC9">
      <w:pPr>
        <w:rPr>
          <w:rFonts w:asciiTheme="minorHAnsi" w:hAnsiTheme="minorHAnsi"/>
        </w:rPr>
      </w:pPr>
      <w:r w:rsidRPr="00B92FC7">
        <w:rPr>
          <w:rFonts w:asciiTheme="minorHAnsi" w:hAnsiTheme="minorHAnsi"/>
        </w:rPr>
        <w:t xml:space="preserve">The Kessler 10-item Psychological Distress Scale (K10) </w:t>
      </w:r>
      <w:r>
        <w:rPr>
          <w:rFonts w:asciiTheme="minorHAnsi" w:hAnsiTheme="minorHAnsi"/>
        </w:rPr>
        <w:t>was</w:t>
      </w:r>
      <w:r w:rsidR="00AB253D">
        <w:rPr>
          <w:rFonts w:asciiTheme="minorHAnsi" w:hAnsiTheme="minorHAnsi"/>
        </w:rPr>
        <w:t xml:space="preserve"> included in the NZHS </w:t>
      </w:r>
      <w:r>
        <w:rPr>
          <w:rFonts w:asciiTheme="minorHAnsi" w:hAnsiTheme="minorHAnsi"/>
        </w:rPr>
        <w:t xml:space="preserve">to provide a measure of non-specific psychological distress.  The K10 is an internationally validated instrument that is highly correlated with anxiety </w:t>
      </w:r>
      <w:r w:rsidR="00AB253D">
        <w:rPr>
          <w:rFonts w:asciiTheme="minorHAnsi" w:hAnsiTheme="minorHAnsi"/>
        </w:rPr>
        <w:t xml:space="preserve">and </w:t>
      </w:r>
      <w:r>
        <w:rPr>
          <w:rFonts w:asciiTheme="minorHAnsi" w:hAnsiTheme="minorHAnsi"/>
        </w:rPr>
        <w:t>depressive disorders</w:t>
      </w:r>
      <w:r w:rsidR="00041289">
        <w:rPr>
          <w:rFonts w:asciiTheme="minorHAnsi" w:hAnsiTheme="minorHAnsi"/>
        </w:rPr>
        <w:t xml:space="preserve"> </w:t>
      </w:r>
      <w:r w:rsidR="00041289">
        <w:rPr>
          <w:rFonts w:asciiTheme="minorHAnsi" w:hAnsiTheme="minorHAnsi"/>
        </w:rPr>
        <w:fldChar w:fldCharType="begin"/>
      </w:r>
      <w:r w:rsidR="00A34C5E">
        <w:rPr>
          <w:rFonts w:asciiTheme="minorHAnsi" w:hAnsiTheme="minorHAnsi"/>
        </w:rPr>
        <w:instrText xml:space="preserve"> ADDIN EN.CITE &lt;EndNote&gt;&lt;Cite&gt;&lt;Author&gt;Andrews&lt;/Author&gt;&lt;Year&gt;2001&lt;/Year&gt;&lt;RecNum&gt;915&lt;/RecNum&gt;&lt;DisplayText&gt;(Andrews &amp;amp; Slade, 2001)&lt;/DisplayText&gt;&lt;record&gt;&lt;rec-number&gt;915&lt;/rec-number&gt;&lt;foreign-keys&gt;&lt;key app="EN" db-id="9pzse05rcvx956etremxfzdh9fzdxvd95rp2"&gt;915&lt;/key&gt;&lt;/foreign-keys&gt;&lt;ref-type name="Journal Article"&gt;17&lt;/ref-type&gt;&lt;contributors&gt;&lt;authors&gt;&lt;author&gt;Andrews, G. &lt;/author&gt;&lt;author&gt;Slade, T. &lt;/author&gt;&lt;/authors&gt;&lt;/contributors&gt;&lt;titles&gt;&lt;title&gt;Interpreting scores on the Kessler Psychological Distress Scale (k10)&lt;/title&gt;&lt;secondary-title&gt;Australian and New Zealand Journal of Public Health&lt;/secondary-title&gt;&lt;/titles&gt;&lt;pages&gt;494-497&lt;/pages&gt;&lt;volume&gt;25&lt;/volume&gt;&lt;dates&gt;&lt;year&gt;2001&lt;/year&gt;&lt;/dates&gt;&lt;urls&gt;&lt;/urls&gt;&lt;/record&gt;&lt;/Cite&gt;&lt;/EndNote&gt;</w:instrText>
      </w:r>
      <w:r w:rsidR="00041289">
        <w:rPr>
          <w:rFonts w:asciiTheme="minorHAnsi" w:hAnsiTheme="minorHAnsi"/>
        </w:rPr>
        <w:fldChar w:fldCharType="separate"/>
      </w:r>
      <w:r w:rsidR="00041289">
        <w:rPr>
          <w:rFonts w:asciiTheme="minorHAnsi" w:hAnsiTheme="minorHAnsi"/>
          <w:noProof/>
        </w:rPr>
        <w:t>(</w:t>
      </w:r>
      <w:hyperlink w:anchor="_ENREF_11" w:tooltip="Andrews, 2001 #915" w:history="1">
        <w:r w:rsidR="00765F46">
          <w:rPr>
            <w:rFonts w:asciiTheme="minorHAnsi" w:hAnsiTheme="minorHAnsi"/>
            <w:noProof/>
          </w:rPr>
          <w:t>Andrews &amp; Slade, 2001</w:t>
        </w:r>
      </w:hyperlink>
      <w:r w:rsidR="00041289">
        <w:rPr>
          <w:rFonts w:asciiTheme="minorHAnsi" w:hAnsiTheme="minorHAnsi"/>
          <w:noProof/>
        </w:rPr>
        <w:t>)</w:t>
      </w:r>
      <w:r w:rsidR="00041289">
        <w:rPr>
          <w:rFonts w:asciiTheme="minorHAnsi" w:hAnsiTheme="minorHAnsi"/>
        </w:rPr>
        <w:fldChar w:fldCharType="end"/>
      </w:r>
      <w:r>
        <w:rPr>
          <w:rFonts w:asciiTheme="minorHAnsi" w:hAnsiTheme="minorHAnsi"/>
        </w:rPr>
        <w:t xml:space="preserve">. </w:t>
      </w:r>
      <w:r w:rsidR="00AB253D">
        <w:rPr>
          <w:rFonts w:asciiTheme="minorHAnsi" w:hAnsiTheme="minorHAnsi"/>
        </w:rPr>
        <w:t xml:space="preserve"> Scores range from ten to 50, with a score of 12 or more being indicative of a high/very high probability of an anxiety or depressive disorder. </w:t>
      </w:r>
    </w:p>
    <w:p w14:paraId="06F82A96" w14:textId="77777777" w:rsidR="00304499" w:rsidRPr="00486366" w:rsidRDefault="00E639C1" w:rsidP="00BB6784">
      <w:pPr>
        <w:rPr>
          <w:rFonts w:asciiTheme="minorHAnsi" w:hAnsiTheme="minorHAnsi"/>
        </w:rPr>
      </w:pPr>
      <w:r>
        <w:rPr>
          <w:rFonts w:asciiTheme="minorHAnsi" w:hAnsiTheme="minorHAnsi"/>
        </w:rPr>
        <w:t>A significant association was observed between g</w:t>
      </w:r>
      <w:r w:rsidR="00787450">
        <w:rPr>
          <w:rFonts w:asciiTheme="minorHAnsi" w:hAnsiTheme="minorHAnsi"/>
        </w:rPr>
        <w:t>ambling</w:t>
      </w:r>
      <w:r>
        <w:rPr>
          <w:rFonts w:asciiTheme="minorHAnsi" w:hAnsiTheme="minorHAnsi"/>
        </w:rPr>
        <w:t xml:space="preserve"> status </w:t>
      </w:r>
      <w:r w:rsidR="00D501CA">
        <w:rPr>
          <w:rFonts w:asciiTheme="minorHAnsi" w:hAnsiTheme="minorHAnsi"/>
        </w:rPr>
        <w:t xml:space="preserve">and </w:t>
      </w:r>
      <w:r w:rsidR="00AE67FB">
        <w:rPr>
          <w:rFonts w:asciiTheme="minorHAnsi" w:hAnsiTheme="minorHAnsi"/>
        </w:rPr>
        <w:t>a</w:t>
      </w:r>
      <w:r w:rsidR="00787450">
        <w:rPr>
          <w:rFonts w:asciiTheme="minorHAnsi" w:hAnsiTheme="minorHAnsi"/>
        </w:rPr>
        <w:t xml:space="preserve"> </w:t>
      </w:r>
      <w:r w:rsidR="00AE67FB">
        <w:rPr>
          <w:rFonts w:asciiTheme="minorHAnsi" w:hAnsiTheme="minorHAnsi"/>
        </w:rPr>
        <w:t xml:space="preserve">high/very high probability of an anxiety </w:t>
      </w:r>
      <w:r w:rsidR="00216479">
        <w:rPr>
          <w:rFonts w:asciiTheme="minorHAnsi" w:hAnsiTheme="minorHAnsi"/>
        </w:rPr>
        <w:t xml:space="preserve">or </w:t>
      </w:r>
      <w:r w:rsidR="00787450">
        <w:rPr>
          <w:rFonts w:asciiTheme="minorHAnsi" w:hAnsiTheme="minorHAnsi"/>
        </w:rPr>
        <w:t>depressi</w:t>
      </w:r>
      <w:r w:rsidR="00AE67FB">
        <w:rPr>
          <w:rFonts w:asciiTheme="minorHAnsi" w:hAnsiTheme="minorHAnsi"/>
        </w:rPr>
        <w:t>ve disorder</w:t>
      </w:r>
      <w:r w:rsidR="00787450">
        <w:rPr>
          <w:rFonts w:asciiTheme="minorHAnsi" w:hAnsiTheme="minorHAnsi"/>
        </w:rPr>
        <w:t xml:space="preserve"> (p&lt;0.0001). </w:t>
      </w:r>
      <w:r>
        <w:rPr>
          <w:rFonts w:asciiTheme="minorHAnsi" w:hAnsiTheme="minorHAnsi"/>
        </w:rPr>
        <w:t xml:space="preserve"> </w:t>
      </w:r>
      <w:r w:rsidR="00216479">
        <w:rPr>
          <w:rFonts w:asciiTheme="minorHAnsi" w:hAnsiTheme="minorHAnsi"/>
        </w:rPr>
        <w:t xml:space="preserve">While less than six percent </w:t>
      </w:r>
      <w:r w:rsidR="00442218">
        <w:rPr>
          <w:rFonts w:asciiTheme="minorHAnsi" w:hAnsiTheme="minorHAnsi"/>
        </w:rPr>
        <w:t xml:space="preserve">of non-gamblers (5.8%) and non-problem/recreational gamblers (4.6%) </w:t>
      </w:r>
      <w:r w:rsidR="00216479">
        <w:rPr>
          <w:rFonts w:asciiTheme="minorHAnsi" w:hAnsiTheme="minorHAnsi"/>
        </w:rPr>
        <w:t xml:space="preserve">were </w:t>
      </w:r>
      <w:r w:rsidR="00442218">
        <w:rPr>
          <w:rFonts w:asciiTheme="minorHAnsi" w:hAnsiTheme="minorHAnsi"/>
        </w:rPr>
        <w:t xml:space="preserve">likely to </w:t>
      </w:r>
      <w:r w:rsidR="00216479">
        <w:rPr>
          <w:rFonts w:asciiTheme="minorHAnsi" w:hAnsiTheme="minorHAnsi"/>
        </w:rPr>
        <w:t xml:space="preserve">have an anxiety or depressive disorder, this rose to 11.7% for low-risk gamblers and 28.2% for moderate-risk/problem gamblers (see </w:t>
      </w:r>
      <w:r w:rsidR="00EA2A58">
        <w:rPr>
          <w:rFonts w:asciiTheme="minorHAnsi" w:hAnsiTheme="minorHAnsi"/>
        </w:rPr>
        <w:t>Figure 28</w:t>
      </w:r>
      <w:r w:rsidR="00216479">
        <w:rPr>
          <w:rFonts w:asciiTheme="minorHAnsi" w:hAnsiTheme="minorHAnsi"/>
        </w:rPr>
        <w:t xml:space="preserve">). </w:t>
      </w:r>
      <w:r w:rsidR="00E576CF">
        <w:rPr>
          <w:rFonts w:asciiTheme="minorHAnsi" w:hAnsiTheme="minorHAnsi"/>
        </w:rPr>
        <w:t xml:space="preserve"> The odds of an anxiety or depressive disorder rose </w:t>
      </w:r>
      <w:r w:rsidR="00950DF7">
        <w:rPr>
          <w:rFonts w:asciiTheme="minorHAnsi" w:hAnsiTheme="minorHAnsi"/>
        </w:rPr>
        <w:t>with gambling symptom severity:</w:t>
      </w:r>
      <w:r w:rsidR="00442218">
        <w:rPr>
          <w:rFonts w:asciiTheme="minorHAnsi" w:hAnsiTheme="minorHAnsi"/>
        </w:rPr>
        <w:t xml:space="preserve"> </w:t>
      </w:r>
      <w:r w:rsidR="00E576CF">
        <w:rPr>
          <w:rFonts w:asciiTheme="minorHAnsi" w:hAnsiTheme="minorHAnsi"/>
        </w:rPr>
        <w:t>low</w:t>
      </w:r>
      <w:r w:rsidR="00442218">
        <w:rPr>
          <w:rFonts w:asciiTheme="minorHAnsi" w:hAnsiTheme="minorHAnsi"/>
        </w:rPr>
        <w:t>-</w:t>
      </w:r>
      <w:r w:rsidR="00E576CF">
        <w:rPr>
          <w:rFonts w:asciiTheme="minorHAnsi" w:hAnsiTheme="minorHAnsi"/>
        </w:rPr>
        <w:t>risk gamble</w:t>
      </w:r>
      <w:r w:rsidR="00442218">
        <w:rPr>
          <w:rFonts w:asciiTheme="minorHAnsi" w:hAnsiTheme="minorHAnsi"/>
        </w:rPr>
        <w:t>rs were twice as likely (OR 2.1</w:t>
      </w:r>
      <w:r w:rsidR="00E576CF">
        <w:rPr>
          <w:rFonts w:asciiTheme="minorHAnsi" w:hAnsiTheme="minorHAnsi"/>
        </w:rPr>
        <w:t xml:space="preserve">) </w:t>
      </w:r>
      <w:r w:rsidR="00E576CF">
        <w:rPr>
          <w:rFonts w:asciiTheme="minorHAnsi" w:hAnsiTheme="minorHAnsi"/>
        </w:rPr>
        <w:lastRenderedPageBreak/>
        <w:t xml:space="preserve">and moderate-risk/problem gamblers were nearly six times as likely (OR 5.7) </w:t>
      </w:r>
      <w:r w:rsidR="00950DF7">
        <w:rPr>
          <w:rFonts w:asciiTheme="minorHAnsi" w:hAnsiTheme="minorHAnsi"/>
        </w:rPr>
        <w:t xml:space="preserve">as adults with no gambling problems </w:t>
      </w:r>
      <w:r w:rsidR="00E576CF">
        <w:rPr>
          <w:rFonts w:asciiTheme="minorHAnsi" w:hAnsiTheme="minorHAnsi"/>
        </w:rPr>
        <w:t xml:space="preserve">to have an anxiety or depressive disorder.  </w:t>
      </w:r>
      <w:r w:rsidR="003E74A0">
        <w:rPr>
          <w:rFonts w:asciiTheme="minorHAnsi" w:hAnsiTheme="minorHAnsi"/>
        </w:rPr>
        <w:t xml:space="preserve">Females were significantly more likely than males to have a high or very high likelihood of an anxiety or depressive disorder (p=0.0001).  </w:t>
      </w:r>
      <w:r w:rsidR="00304499">
        <w:rPr>
          <w:rFonts w:asciiTheme="minorHAnsi" w:hAnsiTheme="minorHAnsi"/>
        </w:rPr>
        <w:t>Further details</w:t>
      </w:r>
      <w:r w:rsidR="00304499" w:rsidRPr="00E576CF">
        <w:rPr>
          <w:rFonts w:asciiTheme="minorHAnsi" w:hAnsiTheme="minorHAnsi"/>
        </w:rPr>
        <w:t xml:space="preserve"> </w:t>
      </w:r>
      <w:r w:rsidR="00304499">
        <w:rPr>
          <w:rFonts w:asciiTheme="minorHAnsi" w:hAnsiTheme="minorHAnsi"/>
        </w:rPr>
        <w:t xml:space="preserve">can be found in </w:t>
      </w:r>
      <w:r w:rsidR="00523A69">
        <w:rPr>
          <w:rFonts w:asciiTheme="minorHAnsi" w:hAnsiTheme="minorHAnsi"/>
        </w:rPr>
        <w:t xml:space="preserve">Appendix J </w:t>
      </w:r>
      <w:r w:rsidR="00523A69" w:rsidRPr="00C87CE1">
        <w:rPr>
          <w:rFonts w:asciiTheme="minorHAnsi" w:hAnsiTheme="minorHAnsi"/>
        </w:rPr>
        <w:t>(</w:t>
      </w:r>
      <w:r w:rsidR="00523A69">
        <w:rPr>
          <w:rFonts w:asciiTheme="minorHAnsi" w:hAnsiTheme="minorHAnsi"/>
        </w:rPr>
        <w:t xml:space="preserve">Table 30 </w:t>
      </w:r>
      <w:r w:rsidR="00523A69" w:rsidRPr="00C87CE1">
        <w:rPr>
          <w:rFonts w:asciiTheme="minorHAnsi" w:hAnsiTheme="minorHAnsi"/>
        </w:rPr>
        <w:t xml:space="preserve">and </w:t>
      </w:r>
      <w:r w:rsidR="00523A69">
        <w:rPr>
          <w:rFonts w:asciiTheme="minorHAnsi" w:hAnsiTheme="minorHAnsi"/>
        </w:rPr>
        <w:t>Table 31</w:t>
      </w:r>
      <w:r w:rsidR="00523A69" w:rsidRPr="00C87CE1">
        <w:rPr>
          <w:rFonts w:asciiTheme="minorHAnsi" w:hAnsiTheme="minorHAnsi"/>
        </w:rPr>
        <w:t>).</w:t>
      </w:r>
    </w:p>
    <w:p w14:paraId="79867B0E" w14:textId="77777777" w:rsidR="009752E7" w:rsidRDefault="009752E7" w:rsidP="00FB0414">
      <w:pPr>
        <w:pStyle w:val="Caption"/>
        <w:keepNext/>
        <w:tabs>
          <w:tab w:val="left" w:pos="993"/>
        </w:tabs>
        <w:spacing w:after="0" w:line="276" w:lineRule="auto"/>
        <w:ind w:left="993" w:hanging="993"/>
        <w:jc w:val="left"/>
        <w:rPr>
          <w:rFonts w:asciiTheme="minorHAnsi" w:hAnsiTheme="minorHAnsi" w:cstheme="minorHAnsi"/>
          <w:i/>
          <w:vertAlign w:val="superscript"/>
        </w:rPr>
      </w:pPr>
      <w:bookmarkStart w:id="151" w:name="_Ref397604401"/>
      <w:bookmarkStart w:id="152" w:name="_Toc425427001"/>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28</w:t>
      </w:r>
      <w:r w:rsidRPr="00AF20CE">
        <w:rPr>
          <w:rFonts w:asciiTheme="minorHAnsi" w:hAnsiTheme="minorHAnsi" w:cstheme="minorHAnsi"/>
          <w:i/>
        </w:rPr>
        <w:fldChar w:fldCharType="end"/>
      </w:r>
      <w:bookmarkEnd w:id="151"/>
      <w:r w:rsidRPr="00AF20CE">
        <w:rPr>
          <w:rFonts w:asciiTheme="minorHAnsi" w:hAnsiTheme="minorHAnsi" w:cstheme="minorHAnsi"/>
          <w:i/>
        </w:rPr>
        <w:t xml:space="preserve">: </w:t>
      </w:r>
      <w:r w:rsidR="00FB0414">
        <w:rPr>
          <w:rFonts w:asciiTheme="minorHAnsi" w:hAnsiTheme="minorHAnsi" w:cstheme="minorHAnsi"/>
          <w:i/>
        </w:rPr>
        <w:tab/>
      </w:r>
      <w:r w:rsidR="00304499">
        <w:rPr>
          <w:rFonts w:asciiTheme="minorHAnsi" w:hAnsiTheme="minorHAnsi" w:cstheme="minorHAnsi"/>
          <w:i/>
        </w:rPr>
        <w:t xml:space="preserve">High or very high probability of anxiety or </w:t>
      </w:r>
      <w:r>
        <w:rPr>
          <w:rFonts w:asciiTheme="minorHAnsi" w:hAnsiTheme="minorHAnsi" w:cstheme="minorHAnsi"/>
          <w:i/>
        </w:rPr>
        <w:t>depression</w:t>
      </w:r>
      <w:r w:rsidRPr="00F97D46">
        <w:rPr>
          <w:rFonts w:asciiTheme="minorHAnsi" w:hAnsiTheme="minorHAnsi" w:cstheme="minorHAnsi"/>
          <w:i/>
          <w:vertAlign w:val="superscript"/>
        </w:rPr>
        <w:t xml:space="preserve"> </w:t>
      </w:r>
      <w:r w:rsidRPr="00AF20CE">
        <w:rPr>
          <w:rFonts w:asciiTheme="minorHAnsi" w:hAnsiTheme="minorHAnsi" w:cstheme="minorHAnsi"/>
          <w:i/>
        </w:rPr>
        <w:t xml:space="preserve">by gambling status, </w:t>
      </w:r>
      <w:r w:rsidRPr="00AF3A24">
        <w:rPr>
          <w:rFonts w:asciiTheme="minorHAnsi" w:hAnsiTheme="minorHAnsi" w:cstheme="minorHAnsi"/>
          <w:i/>
        </w:rPr>
        <w:t xml:space="preserve">total population aged 15 years and over (unadjusted prevalence; </w:t>
      </w:r>
      <w:r w:rsidR="00F21BB7">
        <w:rPr>
          <w:rFonts w:asciiTheme="minorHAnsi" w:hAnsiTheme="minorHAnsi" w:cstheme="minorHAnsi"/>
          <w:i/>
        </w:rPr>
        <w:t>N=12,56</w:t>
      </w:r>
      <w:r w:rsidR="00304499">
        <w:rPr>
          <w:rFonts w:asciiTheme="minorHAnsi" w:hAnsiTheme="minorHAnsi" w:cstheme="minorHAnsi"/>
          <w:i/>
        </w:rPr>
        <w:t>4</w:t>
      </w:r>
      <w:r w:rsidRPr="00AF3A24">
        <w:rPr>
          <w:rFonts w:asciiTheme="minorHAnsi" w:hAnsiTheme="minorHAnsi" w:cstheme="minorHAnsi"/>
          <w:i/>
        </w:rPr>
        <w:t xml:space="preserve">) </w:t>
      </w:r>
      <w:r w:rsidR="002A610D">
        <w:rPr>
          <w:rFonts w:asciiTheme="minorHAnsi" w:hAnsiTheme="minorHAnsi" w:cstheme="minorHAnsi"/>
          <w:i/>
          <w:vertAlign w:val="superscript"/>
        </w:rPr>
        <w:t>1</w:t>
      </w:r>
      <w:bookmarkEnd w:id="152"/>
    </w:p>
    <w:p w14:paraId="372BBBA0" w14:textId="77777777" w:rsidR="00203A68" w:rsidRDefault="00AB6254" w:rsidP="00304499">
      <w:pPr>
        <w:spacing w:line="276" w:lineRule="auto"/>
        <w:jc w:val="center"/>
      </w:pPr>
      <w:r>
        <w:rPr>
          <w:noProof/>
          <w:lang w:eastAsia="en-NZ"/>
        </w:rPr>
        <w:drawing>
          <wp:inline distT="0" distB="0" distL="0" distR="0" wp14:anchorId="60BEC32F" wp14:editId="1152D9BD">
            <wp:extent cx="4722125" cy="2866030"/>
            <wp:effectExtent l="0" t="0" r="21590" b="1079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3C9C690" w14:textId="77777777" w:rsidR="009752E7" w:rsidRPr="009570D4" w:rsidRDefault="009752E7" w:rsidP="009570D4">
      <w:pPr>
        <w:pStyle w:val="Caption"/>
        <w:keepNext/>
        <w:spacing w:before="0" w:after="0" w:line="276" w:lineRule="auto"/>
        <w:ind w:left="1701" w:hanging="284"/>
        <w:jc w:val="left"/>
        <w:rPr>
          <w:rFonts w:asciiTheme="minorHAnsi" w:hAnsiTheme="minorHAnsi" w:cstheme="minorHAnsi"/>
          <w:b w:val="0"/>
          <w:sz w:val="16"/>
        </w:rPr>
      </w:pPr>
      <w:r w:rsidRPr="009570D4">
        <w:rPr>
          <w:rFonts w:asciiTheme="minorHAnsi" w:hAnsiTheme="minorHAnsi" w:cstheme="minorHAnsi"/>
          <w:b w:val="0"/>
          <w:sz w:val="16"/>
        </w:rPr>
        <w:t>Notes:</w:t>
      </w:r>
    </w:p>
    <w:p w14:paraId="0ED34933" w14:textId="77777777" w:rsidR="009752E7" w:rsidRPr="009570D4" w:rsidRDefault="009752E7" w:rsidP="009570D4">
      <w:pPr>
        <w:pStyle w:val="ListParagraph"/>
        <w:numPr>
          <w:ilvl w:val="0"/>
          <w:numId w:val="59"/>
        </w:numPr>
        <w:spacing w:line="240" w:lineRule="auto"/>
        <w:ind w:left="1701" w:right="1380" w:hanging="284"/>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5AABD68F" w14:textId="77777777" w:rsidR="00D32808" w:rsidRPr="00D32808" w:rsidRDefault="00D32808" w:rsidP="00D32808">
      <w:pPr>
        <w:spacing w:line="240" w:lineRule="auto"/>
        <w:ind w:right="1380"/>
        <w:rPr>
          <w:rFonts w:asciiTheme="minorHAnsi" w:hAnsiTheme="minorHAnsi" w:cstheme="minorHAnsi"/>
          <w:sz w:val="16"/>
        </w:rPr>
      </w:pPr>
    </w:p>
    <w:p w14:paraId="0D530C29" w14:textId="77777777" w:rsidR="000074FF" w:rsidRDefault="000074FF" w:rsidP="00F061EF">
      <w:pPr>
        <w:pStyle w:val="Heading3"/>
      </w:pPr>
      <w:bookmarkStart w:id="153" w:name="_Toc403833186"/>
      <w:r>
        <w:t xml:space="preserve">Diagnosis of a common mental </w:t>
      </w:r>
      <w:r w:rsidR="000A36CE">
        <w:t xml:space="preserve">health </w:t>
      </w:r>
      <w:r>
        <w:t>disorder by a doctor</w:t>
      </w:r>
      <w:bookmarkEnd w:id="153"/>
    </w:p>
    <w:p w14:paraId="46063D10" w14:textId="77777777" w:rsidR="00C723D6" w:rsidRDefault="00C723D6" w:rsidP="000074FF">
      <w:pPr>
        <w:rPr>
          <w:rFonts w:asciiTheme="minorHAnsi" w:hAnsiTheme="minorHAnsi"/>
        </w:rPr>
      </w:pPr>
      <w:r>
        <w:rPr>
          <w:rFonts w:asciiTheme="minorHAnsi" w:hAnsiTheme="minorHAnsi"/>
        </w:rPr>
        <w:t xml:space="preserve">Participants were asked the following questions </w:t>
      </w:r>
      <w:r w:rsidR="00F53D6C">
        <w:rPr>
          <w:rFonts w:asciiTheme="minorHAnsi" w:hAnsiTheme="minorHAnsi"/>
        </w:rPr>
        <w:t xml:space="preserve">concerning the </w:t>
      </w:r>
      <w:r>
        <w:rPr>
          <w:rFonts w:asciiTheme="minorHAnsi" w:hAnsiTheme="minorHAnsi"/>
        </w:rPr>
        <w:t>diagnos</w:t>
      </w:r>
      <w:r w:rsidR="00F53D6C">
        <w:rPr>
          <w:rFonts w:asciiTheme="minorHAnsi" w:hAnsiTheme="minorHAnsi"/>
        </w:rPr>
        <w:t>i</w:t>
      </w:r>
      <w:r>
        <w:rPr>
          <w:rFonts w:asciiTheme="minorHAnsi" w:hAnsiTheme="minorHAnsi"/>
        </w:rPr>
        <w:t>s of</w:t>
      </w:r>
      <w:r w:rsidR="005B7F86">
        <w:rPr>
          <w:rFonts w:asciiTheme="minorHAnsi" w:hAnsiTheme="minorHAnsi"/>
        </w:rPr>
        <w:t xml:space="preserve"> common</w:t>
      </w:r>
      <w:r>
        <w:rPr>
          <w:rFonts w:asciiTheme="minorHAnsi" w:hAnsiTheme="minorHAnsi"/>
        </w:rPr>
        <w:t xml:space="preserve"> mental health </w:t>
      </w:r>
      <w:r w:rsidR="000A36CE">
        <w:rPr>
          <w:rFonts w:asciiTheme="minorHAnsi" w:hAnsiTheme="minorHAnsi"/>
        </w:rPr>
        <w:t>disorders</w:t>
      </w:r>
      <w:r>
        <w:rPr>
          <w:rFonts w:asciiTheme="minorHAnsi" w:hAnsiTheme="minorHAnsi"/>
        </w:rPr>
        <w:t xml:space="preserve"> by a doctor: </w:t>
      </w:r>
    </w:p>
    <w:p w14:paraId="7861632E" w14:textId="77777777" w:rsidR="000074FF" w:rsidRDefault="00C723D6" w:rsidP="00C723D6">
      <w:pPr>
        <w:pStyle w:val="ListParagraph"/>
        <w:numPr>
          <w:ilvl w:val="0"/>
          <w:numId w:val="9"/>
        </w:numPr>
        <w:rPr>
          <w:rFonts w:asciiTheme="minorHAnsi" w:hAnsiTheme="minorHAnsi"/>
        </w:rPr>
      </w:pPr>
      <w:r>
        <w:rPr>
          <w:rFonts w:asciiTheme="minorHAnsi" w:hAnsiTheme="minorHAnsi"/>
        </w:rPr>
        <w:t>“</w:t>
      </w:r>
      <w:r w:rsidRPr="00C723D6">
        <w:rPr>
          <w:rFonts w:asciiTheme="minorHAnsi" w:hAnsiTheme="minorHAnsi"/>
        </w:rPr>
        <w:t>Have you ever been told by a doctor that you have depression?”</w:t>
      </w:r>
    </w:p>
    <w:p w14:paraId="4B26C9C8" w14:textId="77777777" w:rsidR="00C723D6" w:rsidRDefault="00C723D6" w:rsidP="00C723D6">
      <w:pPr>
        <w:pStyle w:val="ListParagraph"/>
        <w:numPr>
          <w:ilvl w:val="0"/>
          <w:numId w:val="9"/>
        </w:numPr>
        <w:rPr>
          <w:rFonts w:asciiTheme="minorHAnsi" w:hAnsiTheme="minorHAnsi"/>
        </w:rPr>
      </w:pPr>
      <w:r>
        <w:rPr>
          <w:rFonts w:asciiTheme="minorHAnsi" w:hAnsiTheme="minorHAnsi"/>
        </w:rPr>
        <w:t>“</w:t>
      </w:r>
      <w:r w:rsidRPr="00C723D6">
        <w:rPr>
          <w:rFonts w:asciiTheme="minorHAnsi" w:hAnsiTheme="minorHAnsi"/>
        </w:rPr>
        <w:t xml:space="preserve">Have you ever been told by a doctor that you have </w:t>
      </w:r>
      <w:r>
        <w:rPr>
          <w:rFonts w:asciiTheme="minorHAnsi" w:hAnsiTheme="minorHAnsi"/>
        </w:rPr>
        <w:t>bipolar disorder, which is sometimes called manic depression</w:t>
      </w:r>
      <w:r w:rsidRPr="00C723D6">
        <w:rPr>
          <w:rFonts w:asciiTheme="minorHAnsi" w:hAnsiTheme="minorHAnsi"/>
        </w:rPr>
        <w:t>?”</w:t>
      </w:r>
    </w:p>
    <w:p w14:paraId="2A17D10E" w14:textId="77777777" w:rsidR="00C723D6" w:rsidRDefault="00C723D6" w:rsidP="00C723D6">
      <w:pPr>
        <w:pStyle w:val="ListParagraph"/>
        <w:numPr>
          <w:ilvl w:val="0"/>
          <w:numId w:val="9"/>
        </w:numPr>
        <w:rPr>
          <w:rFonts w:asciiTheme="minorHAnsi" w:hAnsiTheme="minorHAnsi"/>
        </w:rPr>
      </w:pPr>
      <w:r>
        <w:rPr>
          <w:rFonts w:asciiTheme="minorHAnsi" w:hAnsiTheme="minorHAnsi"/>
        </w:rPr>
        <w:t>“</w:t>
      </w:r>
      <w:r w:rsidRPr="00C723D6">
        <w:rPr>
          <w:rFonts w:asciiTheme="minorHAnsi" w:hAnsiTheme="minorHAnsi"/>
        </w:rPr>
        <w:t xml:space="preserve">Have you ever been told by a doctor that you have </w:t>
      </w:r>
      <w:r>
        <w:rPr>
          <w:rFonts w:asciiTheme="minorHAnsi" w:hAnsiTheme="minorHAnsi"/>
        </w:rPr>
        <w:t>anxiety disorder</w:t>
      </w:r>
      <w:r w:rsidRPr="00C723D6">
        <w:rPr>
          <w:rFonts w:asciiTheme="minorHAnsi" w:hAnsiTheme="minorHAnsi"/>
        </w:rPr>
        <w:t>?</w:t>
      </w:r>
      <w:r>
        <w:rPr>
          <w:rFonts w:asciiTheme="minorHAnsi" w:hAnsiTheme="minorHAnsi"/>
        </w:rPr>
        <w:t xml:space="preserve"> This includes panic attacks, phobia, post-traumatic stress disorder and obsessive compulsive disorder.</w:t>
      </w:r>
      <w:r w:rsidRPr="00C723D6">
        <w:rPr>
          <w:rFonts w:asciiTheme="minorHAnsi" w:hAnsiTheme="minorHAnsi"/>
        </w:rPr>
        <w:t>”</w:t>
      </w:r>
    </w:p>
    <w:p w14:paraId="6EBBBFEE" w14:textId="7209202E" w:rsidR="00EA2FF8" w:rsidRDefault="00EA2FF8" w:rsidP="00C723D6">
      <w:pPr>
        <w:rPr>
          <w:rFonts w:asciiTheme="minorHAnsi" w:hAnsiTheme="minorHAnsi"/>
        </w:rPr>
      </w:pPr>
      <w:r>
        <w:rPr>
          <w:rFonts w:asciiTheme="minorHAnsi" w:hAnsiTheme="minorHAnsi"/>
        </w:rPr>
        <w:lastRenderedPageBreak/>
        <w:t>L</w:t>
      </w:r>
      <w:r w:rsidR="00D030E5">
        <w:rPr>
          <w:rFonts w:asciiTheme="minorHAnsi" w:hAnsiTheme="minorHAnsi"/>
        </w:rPr>
        <w:t>ess than one</w:t>
      </w:r>
      <w:r>
        <w:rPr>
          <w:rFonts w:asciiTheme="minorHAnsi" w:hAnsiTheme="minorHAnsi"/>
        </w:rPr>
        <w:t>-</w:t>
      </w:r>
      <w:r w:rsidR="00D030E5">
        <w:rPr>
          <w:rFonts w:asciiTheme="minorHAnsi" w:hAnsiTheme="minorHAnsi"/>
        </w:rPr>
        <w:t>i</w:t>
      </w:r>
      <w:r>
        <w:rPr>
          <w:rFonts w:asciiTheme="minorHAnsi" w:hAnsiTheme="minorHAnsi"/>
        </w:rPr>
        <w:t>n-</w:t>
      </w:r>
      <w:r w:rsidR="00D030E5">
        <w:rPr>
          <w:rFonts w:asciiTheme="minorHAnsi" w:hAnsiTheme="minorHAnsi"/>
        </w:rPr>
        <w:t xml:space="preserve">five adults in the total population (16.2%) had been </w:t>
      </w:r>
      <w:r>
        <w:rPr>
          <w:rFonts w:asciiTheme="minorHAnsi" w:hAnsiTheme="minorHAnsi"/>
        </w:rPr>
        <w:t>diagnosed</w:t>
      </w:r>
      <w:r w:rsidR="00D030E5">
        <w:rPr>
          <w:rFonts w:asciiTheme="minorHAnsi" w:hAnsiTheme="minorHAnsi"/>
        </w:rPr>
        <w:t xml:space="preserve"> by a doctor </w:t>
      </w:r>
      <w:r>
        <w:rPr>
          <w:rFonts w:asciiTheme="minorHAnsi" w:hAnsiTheme="minorHAnsi"/>
        </w:rPr>
        <w:t xml:space="preserve">with </w:t>
      </w:r>
      <w:r w:rsidR="00D030E5">
        <w:rPr>
          <w:rFonts w:asciiTheme="minorHAnsi" w:hAnsiTheme="minorHAnsi"/>
        </w:rPr>
        <w:t>one</w:t>
      </w:r>
      <w:r w:rsidR="002E1C14">
        <w:rPr>
          <w:rFonts w:asciiTheme="minorHAnsi" w:hAnsiTheme="minorHAnsi"/>
        </w:rPr>
        <w:t xml:space="preserve"> or more</w:t>
      </w:r>
      <w:r w:rsidR="00D030E5">
        <w:rPr>
          <w:rFonts w:asciiTheme="minorHAnsi" w:hAnsiTheme="minorHAnsi"/>
        </w:rPr>
        <w:t xml:space="preserve"> of these mental health issues</w:t>
      </w:r>
      <w:r>
        <w:rPr>
          <w:rFonts w:asciiTheme="minorHAnsi" w:hAnsiTheme="minorHAnsi"/>
        </w:rPr>
        <w:t>, compared with nearly</w:t>
      </w:r>
      <w:r w:rsidR="00D67A34">
        <w:rPr>
          <w:rFonts w:asciiTheme="minorHAnsi" w:hAnsiTheme="minorHAnsi"/>
        </w:rPr>
        <w:t xml:space="preserve"> one-third </w:t>
      </w:r>
      <w:r w:rsidR="00A06948">
        <w:rPr>
          <w:rFonts w:asciiTheme="minorHAnsi" w:hAnsiTheme="minorHAnsi"/>
        </w:rPr>
        <w:t xml:space="preserve">(30.2%) </w:t>
      </w:r>
      <w:r w:rsidR="00D67A34">
        <w:rPr>
          <w:rFonts w:asciiTheme="minorHAnsi" w:hAnsiTheme="minorHAnsi"/>
        </w:rPr>
        <w:t xml:space="preserve">of </w:t>
      </w:r>
      <w:r>
        <w:rPr>
          <w:rFonts w:asciiTheme="minorHAnsi" w:hAnsiTheme="minorHAnsi"/>
        </w:rPr>
        <w:t xml:space="preserve">moderate-risk/problem gamblers </w:t>
      </w:r>
      <w:r w:rsidR="00010A1B">
        <w:rPr>
          <w:rFonts w:asciiTheme="minorHAnsi" w:hAnsiTheme="minorHAnsi"/>
        </w:rPr>
        <w:t>(see</w:t>
      </w:r>
      <w:r w:rsidR="000A36CE">
        <w:rPr>
          <w:rFonts w:asciiTheme="minorHAnsi" w:hAnsiTheme="minorHAnsi"/>
        </w:rPr>
        <w:t xml:space="preserve"> </w:t>
      </w:r>
      <w:r w:rsidR="00523A69">
        <w:rPr>
          <w:rFonts w:asciiTheme="minorHAnsi" w:hAnsiTheme="minorHAnsi"/>
        </w:rPr>
        <w:t>Figure 29</w:t>
      </w:r>
      <w:r w:rsidR="00010A1B">
        <w:rPr>
          <w:rFonts w:asciiTheme="minorHAnsi" w:hAnsiTheme="minorHAnsi"/>
        </w:rPr>
        <w:t xml:space="preserve">). </w:t>
      </w:r>
      <w:r w:rsidR="006B23C7">
        <w:rPr>
          <w:rFonts w:asciiTheme="minorHAnsi" w:hAnsiTheme="minorHAnsi"/>
        </w:rPr>
        <w:t xml:space="preserve"> </w:t>
      </w:r>
      <w:r>
        <w:rPr>
          <w:rFonts w:asciiTheme="minorHAnsi" w:hAnsiTheme="minorHAnsi"/>
        </w:rPr>
        <w:t>A s</w:t>
      </w:r>
      <w:r w:rsidR="006B23C7">
        <w:rPr>
          <w:rFonts w:asciiTheme="minorHAnsi" w:hAnsiTheme="minorHAnsi"/>
        </w:rPr>
        <w:t xml:space="preserve">imilar </w:t>
      </w:r>
      <w:r>
        <w:rPr>
          <w:rFonts w:asciiTheme="minorHAnsi" w:hAnsiTheme="minorHAnsi"/>
        </w:rPr>
        <w:t>pattern was</w:t>
      </w:r>
      <w:r w:rsidR="006B23C7">
        <w:rPr>
          <w:rFonts w:asciiTheme="minorHAnsi" w:hAnsiTheme="minorHAnsi"/>
        </w:rPr>
        <w:t xml:space="preserve"> observed for </w:t>
      </w:r>
      <w:r w:rsidR="00C2055B">
        <w:rPr>
          <w:rFonts w:asciiTheme="minorHAnsi" w:hAnsiTheme="minorHAnsi"/>
        </w:rPr>
        <w:t>depression</w:t>
      </w:r>
      <w:r>
        <w:rPr>
          <w:rFonts w:asciiTheme="minorHAnsi" w:hAnsiTheme="minorHAnsi"/>
        </w:rPr>
        <w:t xml:space="preserve">: </w:t>
      </w:r>
      <w:r w:rsidR="006B23C7">
        <w:rPr>
          <w:rFonts w:asciiTheme="minorHAnsi" w:hAnsiTheme="minorHAnsi"/>
        </w:rPr>
        <w:t xml:space="preserve">14.2% of the total population </w:t>
      </w:r>
      <w:r w:rsidR="00C2055B">
        <w:rPr>
          <w:rFonts w:asciiTheme="minorHAnsi" w:hAnsiTheme="minorHAnsi"/>
        </w:rPr>
        <w:t xml:space="preserve">had been diagnosed with depression by their GP, </w:t>
      </w:r>
      <w:r>
        <w:rPr>
          <w:rFonts w:asciiTheme="minorHAnsi" w:hAnsiTheme="minorHAnsi"/>
        </w:rPr>
        <w:t xml:space="preserve">compared with </w:t>
      </w:r>
      <w:r w:rsidR="006B23C7">
        <w:rPr>
          <w:rFonts w:asciiTheme="minorHAnsi" w:hAnsiTheme="minorHAnsi"/>
        </w:rPr>
        <w:t xml:space="preserve">29.5% of moderate-risk/problem </w:t>
      </w:r>
      <w:r>
        <w:rPr>
          <w:rFonts w:asciiTheme="minorHAnsi" w:hAnsiTheme="minorHAnsi"/>
        </w:rPr>
        <w:t>gamblers (see</w:t>
      </w:r>
      <w:r w:rsidR="00134D1B">
        <w:rPr>
          <w:rFonts w:asciiTheme="minorHAnsi" w:hAnsiTheme="minorHAnsi"/>
        </w:rPr>
        <w:t xml:space="preserve"> Figure 29</w:t>
      </w:r>
      <w:r>
        <w:rPr>
          <w:rFonts w:asciiTheme="minorHAnsi" w:hAnsiTheme="minorHAnsi"/>
        </w:rPr>
        <w:t>)</w:t>
      </w:r>
      <w:r w:rsidR="006B23C7">
        <w:rPr>
          <w:rFonts w:asciiTheme="minorHAnsi" w:hAnsiTheme="minorHAnsi"/>
        </w:rPr>
        <w:t xml:space="preserve">. </w:t>
      </w:r>
      <w:r w:rsidR="0026397F">
        <w:rPr>
          <w:rFonts w:asciiTheme="minorHAnsi" w:hAnsiTheme="minorHAnsi"/>
        </w:rPr>
        <w:t xml:space="preserve"> </w:t>
      </w:r>
      <w:r w:rsidR="002D0C4E">
        <w:rPr>
          <w:rFonts w:asciiTheme="minorHAnsi" w:hAnsiTheme="minorHAnsi"/>
        </w:rPr>
        <w:t xml:space="preserve"> Females were significantly more likely than males to report that they had been diagnosed with any common mental disorder and/or depression by a doctor.  </w:t>
      </w:r>
      <w:r w:rsidR="00200451">
        <w:rPr>
          <w:rFonts w:asciiTheme="minorHAnsi" w:hAnsiTheme="minorHAnsi"/>
        </w:rPr>
        <w:t xml:space="preserve"> Detailed results are available in </w:t>
      </w:r>
      <w:r w:rsidR="00523A69">
        <w:rPr>
          <w:rFonts w:asciiTheme="minorHAnsi" w:hAnsiTheme="minorHAnsi"/>
        </w:rPr>
        <w:t xml:space="preserve">Appendix J, Table 30. </w:t>
      </w:r>
      <w:r w:rsidR="00200451">
        <w:rPr>
          <w:rFonts w:asciiTheme="minorHAnsi" w:hAnsiTheme="minorHAnsi"/>
        </w:rPr>
        <w:t xml:space="preserve"> </w:t>
      </w:r>
    </w:p>
    <w:p w14:paraId="33BEEFFE" w14:textId="77777777" w:rsidR="0092077C" w:rsidRPr="005376F1" w:rsidRDefault="00B516D6" w:rsidP="00FB0414">
      <w:pPr>
        <w:pStyle w:val="Caption"/>
        <w:keepNext/>
        <w:tabs>
          <w:tab w:val="left" w:pos="993"/>
        </w:tabs>
        <w:spacing w:after="0" w:line="276" w:lineRule="auto"/>
        <w:ind w:left="993" w:hanging="993"/>
        <w:jc w:val="left"/>
        <w:rPr>
          <w:rFonts w:asciiTheme="minorHAnsi" w:hAnsiTheme="minorHAnsi"/>
        </w:rPr>
      </w:pPr>
      <w:bookmarkStart w:id="154" w:name="_Ref397613892"/>
      <w:bookmarkStart w:id="155" w:name="_Toc425427002"/>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29</w:t>
      </w:r>
      <w:r w:rsidRPr="00AF20CE">
        <w:rPr>
          <w:rFonts w:asciiTheme="minorHAnsi" w:hAnsiTheme="minorHAnsi" w:cstheme="minorHAnsi"/>
          <w:i/>
        </w:rPr>
        <w:fldChar w:fldCharType="end"/>
      </w:r>
      <w:bookmarkEnd w:id="154"/>
      <w:r w:rsidRPr="00AF20CE">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 xml:space="preserve">Common mental disorder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 (unadjusted prevalence; N=12,5</w:t>
      </w:r>
      <w:r w:rsidR="007463DF">
        <w:rPr>
          <w:rFonts w:asciiTheme="minorHAnsi" w:hAnsiTheme="minorHAnsi" w:cstheme="minorHAnsi"/>
          <w:i/>
        </w:rPr>
        <w:t>57</w:t>
      </w:r>
      <w:r w:rsidRPr="00AF3A24">
        <w:rPr>
          <w:rFonts w:asciiTheme="minorHAnsi" w:hAnsiTheme="minorHAnsi" w:cstheme="minorHAnsi"/>
          <w:i/>
        </w:rPr>
        <w:t xml:space="preserve">) </w:t>
      </w:r>
      <w:r>
        <w:rPr>
          <w:rFonts w:asciiTheme="minorHAnsi" w:hAnsiTheme="minorHAnsi" w:cstheme="minorHAnsi"/>
          <w:i/>
          <w:vertAlign w:val="superscript"/>
        </w:rPr>
        <w:t>1</w:t>
      </w:r>
      <w:bookmarkEnd w:id="155"/>
    </w:p>
    <w:p w14:paraId="3F09B7B8" w14:textId="77777777" w:rsidR="0092077C" w:rsidRDefault="0092077C" w:rsidP="005376F1">
      <w:pPr>
        <w:pStyle w:val="Caption"/>
        <w:keepNext/>
        <w:spacing w:after="0" w:line="276" w:lineRule="auto"/>
        <w:ind w:left="1560" w:hanging="284"/>
        <w:jc w:val="left"/>
        <w:rPr>
          <w:rFonts w:asciiTheme="minorHAnsi" w:hAnsiTheme="minorHAnsi" w:cstheme="minorHAnsi"/>
          <w:sz w:val="16"/>
        </w:rPr>
      </w:pPr>
      <w:r>
        <w:rPr>
          <w:noProof/>
          <w:lang w:eastAsia="en-NZ"/>
        </w:rPr>
        <w:drawing>
          <wp:inline distT="0" distB="0" distL="0" distR="0" wp14:anchorId="3277DE36" wp14:editId="4B3646E1">
            <wp:extent cx="4635062" cy="2758965"/>
            <wp:effectExtent l="0" t="0" r="13335" b="2286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2D9DC84" w14:textId="77777777" w:rsidR="00A22915" w:rsidRPr="009570D4" w:rsidRDefault="00A22915" w:rsidP="00A22915">
      <w:pPr>
        <w:pStyle w:val="Caption"/>
        <w:keepNext/>
        <w:spacing w:before="0" w:after="0" w:line="276" w:lineRule="auto"/>
        <w:ind w:left="1560" w:hanging="284"/>
        <w:jc w:val="left"/>
        <w:rPr>
          <w:rFonts w:asciiTheme="minorHAnsi" w:hAnsiTheme="minorHAnsi" w:cstheme="minorHAnsi"/>
          <w:b w:val="0"/>
          <w:sz w:val="16"/>
        </w:rPr>
      </w:pPr>
      <w:r w:rsidRPr="009570D4">
        <w:rPr>
          <w:rFonts w:asciiTheme="minorHAnsi" w:hAnsiTheme="minorHAnsi" w:cstheme="minorHAnsi"/>
          <w:b w:val="0"/>
          <w:sz w:val="16"/>
        </w:rPr>
        <w:t>Notes:</w:t>
      </w:r>
    </w:p>
    <w:p w14:paraId="2AEDA984" w14:textId="77777777" w:rsidR="00A22915" w:rsidRPr="009570D4" w:rsidRDefault="00A22915" w:rsidP="006A0B0E">
      <w:pPr>
        <w:pStyle w:val="ListParagraph"/>
        <w:numPr>
          <w:ilvl w:val="0"/>
          <w:numId w:val="48"/>
        </w:numPr>
        <w:spacing w:line="240" w:lineRule="auto"/>
        <w:ind w:left="1560" w:right="1380" w:hanging="284"/>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7A8D06A4" w14:textId="77777777" w:rsidR="00200451" w:rsidRPr="00200451" w:rsidRDefault="00200451" w:rsidP="00200451">
      <w:pPr>
        <w:spacing w:line="240" w:lineRule="auto"/>
        <w:ind w:right="1380"/>
        <w:rPr>
          <w:rFonts w:asciiTheme="minorHAnsi" w:hAnsiTheme="minorHAnsi" w:cstheme="minorHAnsi"/>
          <w:sz w:val="16"/>
        </w:rPr>
      </w:pPr>
    </w:p>
    <w:p w14:paraId="0F44ABAE" w14:textId="77777777" w:rsidR="00200451" w:rsidRDefault="007A6B81" w:rsidP="00200451">
      <w:pPr>
        <w:rPr>
          <w:rFonts w:asciiTheme="minorHAnsi" w:hAnsiTheme="minorHAnsi"/>
        </w:rPr>
      </w:pPr>
      <w:r>
        <w:rPr>
          <w:rFonts w:asciiTheme="minorHAnsi" w:hAnsiTheme="minorHAnsi"/>
        </w:rPr>
        <w:t>Significance testing revealed an association between g</w:t>
      </w:r>
      <w:r w:rsidR="00200451">
        <w:rPr>
          <w:rFonts w:asciiTheme="minorHAnsi" w:hAnsiTheme="minorHAnsi"/>
        </w:rPr>
        <w:t xml:space="preserve">ambling status </w:t>
      </w:r>
      <w:r>
        <w:rPr>
          <w:rFonts w:asciiTheme="minorHAnsi" w:hAnsiTheme="minorHAnsi"/>
        </w:rPr>
        <w:t>and a</w:t>
      </w:r>
      <w:r w:rsidR="008028FA">
        <w:rPr>
          <w:rFonts w:asciiTheme="minorHAnsi" w:hAnsiTheme="minorHAnsi"/>
        </w:rPr>
        <w:t xml:space="preserve"> diagnosis of </w:t>
      </w:r>
      <w:r w:rsidR="008076B9">
        <w:rPr>
          <w:rFonts w:asciiTheme="minorHAnsi" w:hAnsiTheme="minorHAnsi"/>
        </w:rPr>
        <w:t>‘</w:t>
      </w:r>
      <w:r w:rsidR="00200451">
        <w:rPr>
          <w:rFonts w:asciiTheme="minorHAnsi" w:hAnsiTheme="minorHAnsi"/>
        </w:rPr>
        <w:t>any common mental disorder</w:t>
      </w:r>
      <w:r w:rsidR="008076B9">
        <w:rPr>
          <w:rFonts w:asciiTheme="minorHAnsi" w:hAnsiTheme="minorHAnsi"/>
        </w:rPr>
        <w:t>’</w:t>
      </w:r>
      <w:r w:rsidR="008028FA">
        <w:rPr>
          <w:rFonts w:asciiTheme="minorHAnsi" w:hAnsiTheme="minorHAnsi"/>
        </w:rPr>
        <w:t xml:space="preserve"> </w:t>
      </w:r>
      <w:r w:rsidR="00200451">
        <w:rPr>
          <w:rFonts w:asciiTheme="minorHAnsi" w:hAnsiTheme="minorHAnsi"/>
        </w:rPr>
        <w:t xml:space="preserve">and depression.  The likelihood of these issues increased with the severity of gambling problems: </w:t>
      </w:r>
    </w:p>
    <w:p w14:paraId="587AED7A" w14:textId="77777777" w:rsidR="00200451" w:rsidRDefault="00200451" w:rsidP="00200451">
      <w:pPr>
        <w:pStyle w:val="ListParagraph"/>
        <w:numPr>
          <w:ilvl w:val="0"/>
          <w:numId w:val="9"/>
        </w:numPr>
        <w:rPr>
          <w:rFonts w:asciiTheme="minorHAnsi" w:hAnsiTheme="minorHAnsi"/>
        </w:rPr>
      </w:pPr>
      <w:r>
        <w:rPr>
          <w:rFonts w:asciiTheme="minorHAnsi" w:hAnsiTheme="minorHAnsi"/>
        </w:rPr>
        <w:t>Moderate-risk/problem (OR 2.7) gamblers were significantly more likely to be diagnosed with any common mental disorder than those with no gambling problems (p&lt;0.0001); and,</w:t>
      </w:r>
    </w:p>
    <w:p w14:paraId="7EF55528" w14:textId="77777777" w:rsidR="00200451" w:rsidRDefault="00200451" w:rsidP="00200451">
      <w:pPr>
        <w:pStyle w:val="ListParagraph"/>
        <w:numPr>
          <w:ilvl w:val="0"/>
          <w:numId w:val="9"/>
        </w:numPr>
        <w:rPr>
          <w:rFonts w:asciiTheme="minorHAnsi" w:hAnsiTheme="minorHAnsi"/>
        </w:rPr>
      </w:pPr>
      <w:r>
        <w:rPr>
          <w:rFonts w:asciiTheme="minorHAnsi" w:hAnsiTheme="minorHAnsi"/>
        </w:rPr>
        <w:t xml:space="preserve">Moderate-risk/problem (OR 3.0) gamblers were significantly more likely to be diagnosed with depression than </w:t>
      </w:r>
      <w:r w:rsidR="009679A0">
        <w:rPr>
          <w:rFonts w:asciiTheme="minorHAnsi" w:hAnsiTheme="minorHAnsi"/>
        </w:rPr>
        <w:t>those with no gambling problems</w:t>
      </w:r>
      <w:r>
        <w:rPr>
          <w:rFonts w:asciiTheme="minorHAnsi" w:hAnsiTheme="minorHAnsi"/>
        </w:rPr>
        <w:t xml:space="preserve"> (p&lt;0.0001).</w:t>
      </w:r>
    </w:p>
    <w:p w14:paraId="24D0D8B1" w14:textId="77777777" w:rsidR="00EA2FF8" w:rsidRDefault="00BC253D" w:rsidP="00FD06A2">
      <w:pPr>
        <w:rPr>
          <w:rFonts w:asciiTheme="minorHAnsi" w:hAnsiTheme="minorHAnsi"/>
        </w:rPr>
      </w:pPr>
      <w:r>
        <w:rPr>
          <w:rFonts w:asciiTheme="minorHAnsi" w:hAnsiTheme="minorHAnsi"/>
        </w:rPr>
        <w:t>See Table 31 (Appendix J</w:t>
      </w:r>
      <w:r w:rsidRPr="00C87CE1">
        <w:rPr>
          <w:rFonts w:asciiTheme="minorHAnsi" w:hAnsiTheme="minorHAnsi"/>
        </w:rPr>
        <w:t>)</w:t>
      </w:r>
      <w:r w:rsidR="00200451">
        <w:rPr>
          <w:rFonts w:asciiTheme="minorHAnsi" w:hAnsiTheme="minorHAnsi"/>
        </w:rPr>
        <w:t xml:space="preserve"> for further details</w:t>
      </w:r>
      <w:r w:rsidR="002D0C4E">
        <w:rPr>
          <w:rFonts w:asciiTheme="minorHAnsi" w:hAnsiTheme="minorHAnsi"/>
        </w:rPr>
        <w:t xml:space="preserve"> on this set of analyses.</w:t>
      </w:r>
    </w:p>
    <w:p w14:paraId="0E6E01A3" w14:textId="77777777" w:rsidR="003E2AFF" w:rsidRPr="00AF3A24" w:rsidRDefault="003E2AFF" w:rsidP="00F061EF">
      <w:pPr>
        <w:pStyle w:val="Heading2"/>
      </w:pPr>
      <w:bookmarkStart w:id="156" w:name="_Toc403833187"/>
      <w:r w:rsidRPr="00AF3A24">
        <w:lastRenderedPageBreak/>
        <w:t>Use of health services and gambling</w:t>
      </w:r>
      <w:bookmarkEnd w:id="156"/>
      <w:r w:rsidRPr="00AF3A24">
        <w:t xml:space="preserve"> </w:t>
      </w:r>
    </w:p>
    <w:p w14:paraId="2D41711B" w14:textId="77777777" w:rsidR="003E2AFF" w:rsidRDefault="007662DA" w:rsidP="003E2AFF">
      <w:pPr>
        <w:rPr>
          <w:rFonts w:asciiTheme="minorHAnsi" w:hAnsiTheme="minorHAnsi"/>
        </w:rPr>
      </w:pPr>
      <w:r>
        <w:rPr>
          <w:rFonts w:asciiTheme="minorHAnsi" w:hAnsiTheme="minorHAnsi"/>
        </w:rPr>
        <w:t xml:space="preserve">This section outlines results relating to the use of health services according to gambling status.  Three aspects of health service use were investigated: </w:t>
      </w:r>
      <w:r w:rsidR="0034683A">
        <w:rPr>
          <w:rFonts w:asciiTheme="minorHAnsi" w:hAnsiTheme="minorHAnsi"/>
        </w:rPr>
        <w:t>U</w:t>
      </w:r>
      <w:r>
        <w:rPr>
          <w:rFonts w:asciiTheme="minorHAnsi" w:hAnsiTheme="minorHAnsi"/>
        </w:rPr>
        <w:t xml:space="preserve">se of a general practitioner (GP); </w:t>
      </w:r>
      <w:r w:rsidR="0034683A">
        <w:rPr>
          <w:rFonts w:asciiTheme="minorHAnsi" w:hAnsiTheme="minorHAnsi"/>
        </w:rPr>
        <w:t>U</w:t>
      </w:r>
      <w:r>
        <w:rPr>
          <w:rFonts w:asciiTheme="minorHAnsi" w:hAnsiTheme="minorHAnsi"/>
        </w:rPr>
        <w:t>n</w:t>
      </w:r>
      <w:r w:rsidR="00583FB0">
        <w:rPr>
          <w:rFonts w:asciiTheme="minorHAnsi" w:hAnsiTheme="minorHAnsi"/>
        </w:rPr>
        <w:t>-</w:t>
      </w:r>
      <w:r>
        <w:rPr>
          <w:rFonts w:asciiTheme="minorHAnsi" w:hAnsiTheme="minorHAnsi"/>
        </w:rPr>
        <w:t xml:space="preserve">met needs </w:t>
      </w:r>
      <w:r w:rsidR="0034683A">
        <w:rPr>
          <w:rFonts w:asciiTheme="minorHAnsi" w:hAnsiTheme="minorHAnsi"/>
        </w:rPr>
        <w:t>by general practitioners; and, U</w:t>
      </w:r>
      <w:r>
        <w:rPr>
          <w:rFonts w:asciiTheme="minorHAnsi" w:hAnsiTheme="minorHAnsi"/>
        </w:rPr>
        <w:t xml:space="preserve">se of other health services. </w:t>
      </w:r>
    </w:p>
    <w:p w14:paraId="429CD6B3" w14:textId="77777777" w:rsidR="003E2AFF" w:rsidRDefault="000259F3" w:rsidP="00F061EF">
      <w:pPr>
        <w:pStyle w:val="Heading3"/>
      </w:pPr>
      <w:bookmarkStart w:id="157" w:name="_Toc403833188"/>
      <w:r>
        <w:t>G</w:t>
      </w:r>
      <w:r w:rsidR="007662DA">
        <w:t>eneral p</w:t>
      </w:r>
      <w:r w:rsidR="00006A00">
        <w:t xml:space="preserve">ractitioner </w:t>
      </w:r>
      <w:r w:rsidR="00E33F46">
        <w:t>use</w:t>
      </w:r>
      <w:bookmarkEnd w:id="157"/>
    </w:p>
    <w:p w14:paraId="15E56C38" w14:textId="77777777" w:rsidR="00171634" w:rsidRDefault="00C2581F" w:rsidP="00EF515E">
      <w:pPr>
        <w:rPr>
          <w:rFonts w:asciiTheme="minorHAnsi" w:hAnsiTheme="minorHAnsi"/>
        </w:rPr>
      </w:pPr>
      <w:r w:rsidRPr="00C2581F">
        <w:rPr>
          <w:rFonts w:asciiTheme="minorHAnsi" w:hAnsiTheme="minorHAnsi"/>
        </w:rPr>
        <w:t xml:space="preserve">Respondents were asked </w:t>
      </w:r>
      <w:r>
        <w:rPr>
          <w:rFonts w:asciiTheme="minorHAnsi" w:hAnsiTheme="minorHAnsi"/>
        </w:rPr>
        <w:t xml:space="preserve">“In the past 12 months, have you seen a GP, or been visited by a GP, about your own health? By health, I mean your mental and emotional health as well as your physical health.” </w:t>
      </w:r>
      <w:r w:rsidR="00815AC8">
        <w:rPr>
          <w:rFonts w:asciiTheme="minorHAnsi" w:hAnsiTheme="minorHAnsi"/>
        </w:rPr>
        <w:t xml:space="preserve"> </w:t>
      </w:r>
      <w:r w:rsidR="00936B94">
        <w:rPr>
          <w:rFonts w:asciiTheme="minorHAnsi" w:hAnsiTheme="minorHAnsi"/>
        </w:rPr>
        <w:t>Figure 30</w:t>
      </w:r>
      <w:r w:rsidR="00BE7D34">
        <w:rPr>
          <w:rFonts w:asciiTheme="minorHAnsi" w:hAnsiTheme="minorHAnsi"/>
        </w:rPr>
        <w:t xml:space="preserve"> illustrates </w:t>
      </w:r>
      <w:r w:rsidR="0034683A" w:rsidRPr="0034683A">
        <w:rPr>
          <w:rFonts w:asciiTheme="minorHAnsi" w:hAnsiTheme="minorHAnsi"/>
        </w:rPr>
        <w:t xml:space="preserve">the proportion of adults who had visited a </w:t>
      </w:r>
      <w:r w:rsidR="00DB7020" w:rsidRPr="0034683A">
        <w:rPr>
          <w:rFonts w:asciiTheme="minorHAnsi" w:hAnsiTheme="minorHAnsi"/>
        </w:rPr>
        <w:t xml:space="preserve">GP </w:t>
      </w:r>
      <w:r w:rsidR="00BE7D34">
        <w:rPr>
          <w:rFonts w:asciiTheme="minorHAnsi" w:hAnsiTheme="minorHAnsi"/>
        </w:rPr>
        <w:t>by</w:t>
      </w:r>
      <w:r w:rsidR="00171634">
        <w:rPr>
          <w:rFonts w:asciiTheme="minorHAnsi" w:hAnsiTheme="minorHAnsi"/>
        </w:rPr>
        <w:t xml:space="preserve"> gambling</w:t>
      </w:r>
      <w:r w:rsidR="00BE7D34">
        <w:rPr>
          <w:rFonts w:asciiTheme="minorHAnsi" w:hAnsiTheme="minorHAnsi"/>
        </w:rPr>
        <w:t xml:space="preserve"> status</w:t>
      </w:r>
      <w:r w:rsidR="0034683A">
        <w:rPr>
          <w:rFonts w:asciiTheme="minorHAnsi" w:hAnsiTheme="minorHAnsi"/>
        </w:rPr>
        <w:t xml:space="preserve">: </w:t>
      </w:r>
      <w:r w:rsidR="00171634">
        <w:rPr>
          <w:rFonts w:asciiTheme="minorHAnsi" w:hAnsiTheme="minorHAnsi"/>
        </w:rPr>
        <w:t>75.6% of</w:t>
      </w:r>
      <w:r w:rsidR="00171634" w:rsidRPr="00171634">
        <w:rPr>
          <w:rFonts w:asciiTheme="minorHAnsi" w:hAnsiTheme="minorHAnsi"/>
        </w:rPr>
        <w:t xml:space="preserve"> </w:t>
      </w:r>
      <w:r w:rsidR="00171634">
        <w:rPr>
          <w:rFonts w:asciiTheme="minorHAnsi" w:hAnsiTheme="minorHAnsi"/>
        </w:rPr>
        <w:t>non-gamblers, 81.2% of non-problem/recreational, 77.8%</w:t>
      </w:r>
      <w:r w:rsidR="00171634" w:rsidRPr="00171634">
        <w:rPr>
          <w:rFonts w:asciiTheme="minorHAnsi" w:hAnsiTheme="minorHAnsi"/>
        </w:rPr>
        <w:t xml:space="preserve"> </w:t>
      </w:r>
      <w:r w:rsidR="00171634">
        <w:rPr>
          <w:rFonts w:asciiTheme="minorHAnsi" w:hAnsiTheme="minorHAnsi"/>
        </w:rPr>
        <w:t>of low-risk and 84.6% of moderate-risk/problem gamblers</w:t>
      </w:r>
      <w:r w:rsidR="00815AC8">
        <w:rPr>
          <w:rFonts w:asciiTheme="minorHAnsi" w:hAnsiTheme="minorHAnsi"/>
        </w:rPr>
        <w:t xml:space="preserve"> (see </w:t>
      </w:r>
      <w:r w:rsidR="001C792C">
        <w:rPr>
          <w:rFonts w:asciiTheme="minorHAnsi" w:hAnsiTheme="minorHAnsi"/>
        </w:rPr>
        <w:t>Appendix K</w:t>
      </w:r>
      <w:r w:rsidR="00815AC8">
        <w:rPr>
          <w:rFonts w:asciiTheme="minorHAnsi" w:hAnsiTheme="minorHAnsi"/>
        </w:rPr>
        <w:t xml:space="preserve">, </w:t>
      </w:r>
      <w:r w:rsidR="001C792C">
        <w:rPr>
          <w:rFonts w:asciiTheme="minorHAnsi" w:hAnsiTheme="minorHAnsi"/>
        </w:rPr>
        <w:t>Table 32</w:t>
      </w:r>
      <w:r w:rsidR="00171634">
        <w:rPr>
          <w:rFonts w:asciiTheme="minorHAnsi" w:hAnsiTheme="minorHAnsi"/>
        </w:rPr>
        <w:t xml:space="preserve"> for further details</w:t>
      </w:r>
      <w:r w:rsidR="00815AC8">
        <w:rPr>
          <w:rFonts w:asciiTheme="minorHAnsi" w:hAnsiTheme="minorHAnsi"/>
        </w:rPr>
        <w:t>).</w:t>
      </w:r>
    </w:p>
    <w:p w14:paraId="1D7555FF" w14:textId="77777777" w:rsidR="00196450" w:rsidRPr="005376F1" w:rsidRDefault="00196450" w:rsidP="00FB0414">
      <w:pPr>
        <w:pStyle w:val="Caption"/>
        <w:keepNext/>
        <w:tabs>
          <w:tab w:val="left" w:pos="993"/>
        </w:tabs>
        <w:spacing w:after="0" w:line="276" w:lineRule="auto"/>
        <w:ind w:left="993" w:hanging="993"/>
        <w:jc w:val="left"/>
        <w:rPr>
          <w:rFonts w:asciiTheme="minorHAnsi" w:hAnsiTheme="minorHAnsi"/>
        </w:rPr>
      </w:pPr>
      <w:bookmarkStart w:id="158" w:name="_Ref400974501"/>
      <w:bookmarkStart w:id="159" w:name="_Toc425427003"/>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30</w:t>
      </w:r>
      <w:r w:rsidRPr="00AF20CE">
        <w:rPr>
          <w:rFonts w:asciiTheme="minorHAnsi" w:hAnsiTheme="minorHAnsi" w:cstheme="minorHAnsi"/>
          <w:i/>
        </w:rPr>
        <w:fldChar w:fldCharType="end"/>
      </w:r>
      <w:bookmarkEnd w:id="158"/>
      <w:r w:rsidRPr="00AF20CE">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 xml:space="preserve">Past-year use of a GP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 (unadjusted prevalence; N=12,5</w:t>
      </w:r>
      <w:r>
        <w:rPr>
          <w:rFonts w:asciiTheme="minorHAnsi" w:hAnsiTheme="minorHAnsi" w:cstheme="minorHAnsi"/>
          <w:i/>
        </w:rPr>
        <w:t>74</w:t>
      </w:r>
      <w:r w:rsidRPr="00AF3A24">
        <w:rPr>
          <w:rFonts w:asciiTheme="minorHAnsi" w:hAnsiTheme="minorHAnsi" w:cstheme="minorHAnsi"/>
          <w:i/>
        </w:rPr>
        <w:t xml:space="preserve">) </w:t>
      </w:r>
      <w:r>
        <w:rPr>
          <w:rFonts w:asciiTheme="minorHAnsi" w:hAnsiTheme="minorHAnsi" w:cstheme="minorHAnsi"/>
          <w:i/>
          <w:vertAlign w:val="superscript"/>
        </w:rPr>
        <w:t>1</w:t>
      </w:r>
      <w:bookmarkEnd w:id="159"/>
    </w:p>
    <w:p w14:paraId="3970CD36" w14:textId="77777777" w:rsidR="004713CB" w:rsidRDefault="00196450" w:rsidP="004713CB">
      <w:pPr>
        <w:spacing w:before="0" w:line="240" w:lineRule="auto"/>
        <w:jc w:val="center"/>
        <w:rPr>
          <w:rFonts w:asciiTheme="minorHAnsi" w:hAnsiTheme="minorHAnsi" w:cstheme="minorHAnsi"/>
          <w:sz w:val="16"/>
        </w:rPr>
      </w:pPr>
      <w:r>
        <w:rPr>
          <w:noProof/>
          <w:lang w:eastAsia="en-NZ"/>
        </w:rPr>
        <w:drawing>
          <wp:inline distT="0" distB="0" distL="0" distR="0" wp14:anchorId="4A1C67DF" wp14:editId="3EC9B399">
            <wp:extent cx="4353636" cy="2470245"/>
            <wp:effectExtent l="0" t="0" r="27940" b="254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77D6596" w14:textId="77777777" w:rsidR="004713CB" w:rsidRPr="009570D4" w:rsidRDefault="004713CB" w:rsidP="009570D4">
      <w:pPr>
        <w:spacing w:before="0" w:line="240" w:lineRule="auto"/>
        <w:ind w:left="1985" w:hanging="283"/>
        <w:rPr>
          <w:rFonts w:asciiTheme="minorHAnsi" w:hAnsiTheme="minorHAnsi" w:cstheme="minorHAnsi"/>
          <w:sz w:val="16"/>
        </w:rPr>
      </w:pPr>
      <w:r w:rsidRPr="009570D4">
        <w:rPr>
          <w:rFonts w:asciiTheme="minorHAnsi" w:hAnsiTheme="minorHAnsi" w:cstheme="minorHAnsi"/>
          <w:sz w:val="16"/>
        </w:rPr>
        <w:t>Notes:</w:t>
      </w:r>
    </w:p>
    <w:p w14:paraId="60AF0495" w14:textId="77777777" w:rsidR="00F11F34" w:rsidRPr="009570D4" w:rsidRDefault="004713CB" w:rsidP="009570D4">
      <w:pPr>
        <w:pStyle w:val="ListParagraph"/>
        <w:numPr>
          <w:ilvl w:val="0"/>
          <w:numId w:val="49"/>
        </w:numPr>
        <w:spacing w:line="240" w:lineRule="auto"/>
        <w:ind w:left="1985" w:right="1380" w:hanging="283"/>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354FA0D8" w14:textId="77777777" w:rsidR="00C2581F" w:rsidRPr="00C2581F" w:rsidRDefault="00171634" w:rsidP="00EF515E">
      <w:pPr>
        <w:rPr>
          <w:rFonts w:asciiTheme="minorHAnsi" w:hAnsiTheme="minorHAnsi"/>
        </w:rPr>
      </w:pPr>
      <w:r>
        <w:rPr>
          <w:rFonts w:asciiTheme="minorHAnsi" w:hAnsiTheme="minorHAnsi"/>
        </w:rPr>
        <w:t>Th</w:t>
      </w:r>
      <w:r w:rsidR="00196450">
        <w:rPr>
          <w:rFonts w:asciiTheme="minorHAnsi" w:hAnsiTheme="minorHAnsi"/>
        </w:rPr>
        <w:t>e</w:t>
      </w:r>
      <w:r>
        <w:rPr>
          <w:rFonts w:asciiTheme="minorHAnsi" w:hAnsiTheme="minorHAnsi"/>
        </w:rPr>
        <w:t xml:space="preserve"> association </w:t>
      </w:r>
      <w:r w:rsidR="00196450">
        <w:rPr>
          <w:rFonts w:asciiTheme="minorHAnsi" w:hAnsiTheme="minorHAnsi"/>
        </w:rPr>
        <w:t>betwee</w:t>
      </w:r>
      <w:r w:rsidR="006E2A07">
        <w:rPr>
          <w:rFonts w:asciiTheme="minorHAnsi" w:hAnsiTheme="minorHAnsi"/>
        </w:rPr>
        <w:t>n gambling status and past-year visits to</w:t>
      </w:r>
      <w:r w:rsidR="00196450">
        <w:rPr>
          <w:rFonts w:asciiTheme="minorHAnsi" w:hAnsiTheme="minorHAnsi"/>
        </w:rPr>
        <w:t xml:space="preserve"> a GP </w:t>
      </w:r>
      <w:r>
        <w:rPr>
          <w:rFonts w:asciiTheme="minorHAnsi" w:hAnsiTheme="minorHAnsi"/>
        </w:rPr>
        <w:t>was significant (p=0.0161)</w:t>
      </w:r>
      <w:r w:rsidR="00196450">
        <w:rPr>
          <w:rFonts w:asciiTheme="minorHAnsi" w:hAnsiTheme="minorHAnsi"/>
        </w:rPr>
        <w:t xml:space="preserve">, with moderate-risk/problem gamblers being twice (OR 2.0) as likely as </w:t>
      </w:r>
      <w:r w:rsidR="009679A0">
        <w:rPr>
          <w:rFonts w:asciiTheme="minorHAnsi" w:hAnsiTheme="minorHAnsi"/>
        </w:rPr>
        <w:t>those with no gambling problems</w:t>
      </w:r>
      <w:r w:rsidR="00196450">
        <w:rPr>
          <w:rFonts w:asciiTheme="minorHAnsi" w:hAnsiTheme="minorHAnsi"/>
        </w:rPr>
        <w:t xml:space="preserve"> to have consulted a GP</w:t>
      </w:r>
      <w:r w:rsidR="00DB7020">
        <w:rPr>
          <w:rFonts w:asciiTheme="minorHAnsi" w:hAnsiTheme="minorHAnsi"/>
        </w:rPr>
        <w:t xml:space="preserve"> </w:t>
      </w:r>
      <w:r w:rsidR="00815AC8">
        <w:rPr>
          <w:rFonts w:asciiTheme="minorHAnsi" w:hAnsiTheme="minorHAnsi"/>
        </w:rPr>
        <w:t xml:space="preserve">(see </w:t>
      </w:r>
      <w:r w:rsidR="00936B94">
        <w:rPr>
          <w:rFonts w:asciiTheme="minorHAnsi" w:hAnsiTheme="minorHAnsi"/>
        </w:rPr>
        <w:t>Appendix K, Table 33</w:t>
      </w:r>
      <w:r w:rsidR="00815AC8">
        <w:rPr>
          <w:rFonts w:asciiTheme="minorHAnsi" w:hAnsiTheme="minorHAnsi"/>
        </w:rPr>
        <w:t>).</w:t>
      </w:r>
    </w:p>
    <w:p w14:paraId="4ADA5AB5" w14:textId="77777777" w:rsidR="0005196E" w:rsidRDefault="00FF1812" w:rsidP="00F061EF">
      <w:pPr>
        <w:pStyle w:val="Heading3"/>
      </w:pPr>
      <w:bookmarkStart w:id="160" w:name="_Toc403833189"/>
      <w:r>
        <w:lastRenderedPageBreak/>
        <w:t>G</w:t>
      </w:r>
      <w:r w:rsidR="0005196E">
        <w:t xml:space="preserve">eneral </w:t>
      </w:r>
      <w:r w:rsidR="007662DA">
        <w:t>p</w:t>
      </w:r>
      <w:r w:rsidR="0005196E">
        <w:t xml:space="preserve">ractitioner </w:t>
      </w:r>
      <w:r w:rsidR="00772348">
        <w:t xml:space="preserve">use </w:t>
      </w:r>
      <w:r>
        <w:t>- unmet needs</w:t>
      </w:r>
      <w:bookmarkEnd w:id="160"/>
    </w:p>
    <w:p w14:paraId="35D69C3C" w14:textId="77777777" w:rsidR="000E5DCE" w:rsidRDefault="00C31EB6" w:rsidP="0069395F">
      <w:pPr>
        <w:rPr>
          <w:rFonts w:asciiTheme="minorHAnsi" w:hAnsiTheme="minorHAnsi"/>
        </w:rPr>
      </w:pPr>
      <w:r>
        <w:rPr>
          <w:rFonts w:asciiTheme="minorHAnsi" w:hAnsiTheme="minorHAnsi"/>
        </w:rPr>
        <w:t xml:space="preserve">The topic of unmet health needs was measured by the following question: “In the last 12 months, has there been any time when you </w:t>
      </w:r>
      <w:r w:rsidRPr="00C31EB6">
        <w:rPr>
          <w:rFonts w:asciiTheme="minorHAnsi" w:hAnsiTheme="minorHAnsi"/>
          <w:u w:val="single"/>
        </w:rPr>
        <w:t>needed</w:t>
      </w:r>
      <w:r>
        <w:rPr>
          <w:rFonts w:asciiTheme="minorHAnsi" w:hAnsiTheme="minorHAnsi"/>
        </w:rPr>
        <w:t xml:space="preserve"> to see a GP about your </w:t>
      </w:r>
      <w:r w:rsidRPr="00C31EB6">
        <w:rPr>
          <w:rFonts w:asciiTheme="minorHAnsi" w:hAnsiTheme="minorHAnsi"/>
          <w:u w:val="single"/>
        </w:rPr>
        <w:t>own</w:t>
      </w:r>
      <w:r>
        <w:rPr>
          <w:rFonts w:asciiTheme="minorHAnsi" w:hAnsiTheme="minorHAnsi"/>
        </w:rPr>
        <w:t xml:space="preserve"> health, but didn’t get to see any doctor at all?” </w:t>
      </w:r>
      <w:r w:rsidR="00006AA2">
        <w:rPr>
          <w:rFonts w:asciiTheme="minorHAnsi" w:hAnsiTheme="minorHAnsi"/>
        </w:rPr>
        <w:t xml:space="preserve"> </w:t>
      </w:r>
      <w:r w:rsidR="00952E81">
        <w:rPr>
          <w:rFonts w:asciiTheme="minorHAnsi" w:hAnsiTheme="minorHAnsi"/>
        </w:rPr>
        <w:t>As shown in</w:t>
      </w:r>
      <w:r w:rsidR="00121146">
        <w:rPr>
          <w:rFonts w:asciiTheme="minorHAnsi" w:hAnsiTheme="minorHAnsi"/>
        </w:rPr>
        <w:t xml:space="preserve"> Figure 31</w:t>
      </w:r>
      <w:r w:rsidR="00952E81">
        <w:rPr>
          <w:rFonts w:asciiTheme="minorHAnsi" w:hAnsiTheme="minorHAnsi"/>
        </w:rPr>
        <w:t>, l</w:t>
      </w:r>
      <w:r w:rsidR="00006AA2">
        <w:rPr>
          <w:rFonts w:asciiTheme="minorHAnsi" w:hAnsiTheme="minorHAnsi"/>
        </w:rPr>
        <w:t>ess than ten percent</w:t>
      </w:r>
      <w:r w:rsidR="00952E81">
        <w:rPr>
          <w:rFonts w:asciiTheme="minorHAnsi" w:hAnsiTheme="minorHAnsi"/>
        </w:rPr>
        <w:t xml:space="preserve"> </w:t>
      </w:r>
      <w:r w:rsidR="00006AA2">
        <w:rPr>
          <w:rFonts w:asciiTheme="minorHAnsi" w:hAnsiTheme="minorHAnsi"/>
        </w:rPr>
        <w:t xml:space="preserve">of </w:t>
      </w:r>
      <w:r w:rsidR="00952E81">
        <w:rPr>
          <w:rFonts w:asciiTheme="minorHAnsi" w:hAnsiTheme="minorHAnsi"/>
        </w:rPr>
        <w:t xml:space="preserve">non-gamblers (8.1%) and non-problem/recreational gamblers (8.5%) </w:t>
      </w:r>
      <w:r w:rsidR="00006AA2">
        <w:rPr>
          <w:rFonts w:asciiTheme="minorHAnsi" w:hAnsiTheme="minorHAnsi"/>
        </w:rPr>
        <w:t xml:space="preserve">said ‘yes’ to this item, </w:t>
      </w:r>
      <w:r w:rsidR="00952E81">
        <w:rPr>
          <w:rFonts w:asciiTheme="minorHAnsi" w:hAnsiTheme="minorHAnsi"/>
        </w:rPr>
        <w:t xml:space="preserve">compared with approximately one-fifth </w:t>
      </w:r>
      <w:r w:rsidR="00006AA2">
        <w:rPr>
          <w:rFonts w:asciiTheme="minorHAnsi" w:hAnsiTheme="minorHAnsi"/>
        </w:rPr>
        <w:t>of low-risk and moderate-risk/problem gamblers</w:t>
      </w:r>
      <w:r w:rsidR="00952E81">
        <w:rPr>
          <w:rFonts w:asciiTheme="minorHAnsi" w:hAnsiTheme="minorHAnsi"/>
        </w:rPr>
        <w:t xml:space="preserve"> (17.1% and 22.0% respectively)</w:t>
      </w:r>
      <w:r w:rsidR="00006AA2">
        <w:rPr>
          <w:rFonts w:asciiTheme="minorHAnsi" w:hAnsiTheme="minorHAnsi"/>
        </w:rPr>
        <w:t xml:space="preserve">. </w:t>
      </w:r>
      <w:r w:rsidR="0067450C">
        <w:rPr>
          <w:rFonts w:asciiTheme="minorHAnsi" w:hAnsiTheme="minorHAnsi"/>
        </w:rPr>
        <w:t xml:space="preserve"> There was a significant association </w:t>
      </w:r>
      <w:r w:rsidR="00FD3667">
        <w:rPr>
          <w:rFonts w:asciiTheme="minorHAnsi" w:hAnsiTheme="minorHAnsi"/>
        </w:rPr>
        <w:t xml:space="preserve">(p&lt;0.0001) </w:t>
      </w:r>
      <w:r w:rsidR="0067450C">
        <w:rPr>
          <w:rFonts w:asciiTheme="minorHAnsi" w:hAnsiTheme="minorHAnsi"/>
        </w:rPr>
        <w:t>between unmet health needs and gambling</w:t>
      </w:r>
      <w:r w:rsidR="007B1670">
        <w:rPr>
          <w:rFonts w:asciiTheme="minorHAnsi" w:hAnsiTheme="minorHAnsi"/>
        </w:rPr>
        <w:t>: compared to</w:t>
      </w:r>
      <w:r w:rsidR="009679A0">
        <w:rPr>
          <w:rFonts w:asciiTheme="minorHAnsi" w:hAnsiTheme="minorHAnsi"/>
        </w:rPr>
        <w:t xml:space="preserve"> those with no gambling problems</w:t>
      </w:r>
      <w:r w:rsidR="007B1670">
        <w:rPr>
          <w:rFonts w:asciiTheme="minorHAnsi" w:hAnsiTheme="minorHAnsi"/>
        </w:rPr>
        <w:t>, low-risk gambler</w:t>
      </w:r>
      <w:r w:rsidR="00C87C99">
        <w:rPr>
          <w:rFonts w:asciiTheme="minorHAnsi" w:hAnsiTheme="minorHAnsi"/>
        </w:rPr>
        <w:t>s were twice as likely (OR 2.1</w:t>
      </w:r>
      <w:r w:rsidR="007B1670">
        <w:rPr>
          <w:rFonts w:asciiTheme="minorHAnsi" w:hAnsiTheme="minorHAnsi"/>
        </w:rPr>
        <w:t>) and moderate-risk/problem gamblers were two</w:t>
      </w:r>
      <w:r w:rsidR="00C87C99">
        <w:rPr>
          <w:rFonts w:asciiTheme="minorHAnsi" w:hAnsiTheme="minorHAnsi"/>
        </w:rPr>
        <w:t xml:space="preserve"> and a half times as likely (OR</w:t>
      </w:r>
      <w:r w:rsidR="00C112C3">
        <w:rPr>
          <w:rFonts w:asciiTheme="minorHAnsi" w:hAnsiTheme="minorHAnsi"/>
        </w:rPr>
        <w:t xml:space="preserve"> 2.6</w:t>
      </w:r>
      <w:r w:rsidR="007B1670">
        <w:rPr>
          <w:rFonts w:asciiTheme="minorHAnsi" w:hAnsiTheme="minorHAnsi"/>
        </w:rPr>
        <w:t>) to report unmet health needs</w:t>
      </w:r>
      <w:r w:rsidR="005144C6">
        <w:rPr>
          <w:rFonts w:asciiTheme="minorHAnsi" w:hAnsiTheme="minorHAnsi"/>
        </w:rPr>
        <w:t xml:space="preserve"> (see </w:t>
      </w:r>
      <w:r w:rsidR="00121146">
        <w:rPr>
          <w:rFonts w:asciiTheme="minorHAnsi" w:hAnsiTheme="minorHAnsi"/>
        </w:rPr>
        <w:t>Appendix K, Table 33</w:t>
      </w:r>
      <w:r w:rsidR="005144C6">
        <w:rPr>
          <w:rFonts w:asciiTheme="minorHAnsi" w:hAnsiTheme="minorHAnsi"/>
        </w:rPr>
        <w:t>)</w:t>
      </w:r>
      <w:r w:rsidR="007B1670">
        <w:rPr>
          <w:rFonts w:asciiTheme="minorHAnsi" w:hAnsiTheme="minorHAnsi"/>
        </w:rPr>
        <w:t>.</w:t>
      </w:r>
      <w:r w:rsidR="005144C6">
        <w:rPr>
          <w:rFonts w:asciiTheme="minorHAnsi" w:hAnsiTheme="minorHAnsi"/>
        </w:rPr>
        <w:t xml:space="preserve"> </w:t>
      </w:r>
    </w:p>
    <w:p w14:paraId="05347268" w14:textId="77777777" w:rsidR="00F962F8" w:rsidRDefault="00F962F8" w:rsidP="0069395F">
      <w:pPr>
        <w:rPr>
          <w:rFonts w:asciiTheme="minorHAnsi" w:hAnsiTheme="minorHAnsi"/>
        </w:rPr>
      </w:pPr>
      <w:r>
        <w:rPr>
          <w:rFonts w:asciiTheme="minorHAnsi" w:hAnsiTheme="minorHAnsi"/>
        </w:rPr>
        <w:t xml:space="preserve">Females were significantly more likely to indicate that they had unmet health needs than males (p&lt;0.0001). </w:t>
      </w:r>
    </w:p>
    <w:p w14:paraId="4815B3A2" w14:textId="77777777" w:rsidR="009732A7" w:rsidRPr="005376F1" w:rsidRDefault="009732A7" w:rsidP="00FB0414">
      <w:pPr>
        <w:pStyle w:val="Caption"/>
        <w:keepNext/>
        <w:tabs>
          <w:tab w:val="left" w:pos="993"/>
        </w:tabs>
        <w:spacing w:after="0" w:line="276" w:lineRule="auto"/>
        <w:ind w:left="993" w:hanging="993"/>
        <w:jc w:val="left"/>
        <w:rPr>
          <w:rFonts w:asciiTheme="minorHAnsi" w:hAnsiTheme="minorHAnsi"/>
        </w:rPr>
      </w:pPr>
      <w:bookmarkStart w:id="161" w:name="_Ref398041114"/>
      <w:bookmarkStart w:id="162" w:name="_Toc425427004"/>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31</w:t>
      </w:r>
      <w:r w:rsidRPr="00AF20CE">
        <w:rPr>
          <w:rFonts w:asciiTheme="minorHAnsi" w:hAnsiTheme="minorHAnsi" w:cstheme="minorHAnsi"/>
          <w:i/>
        </w:rPr>
        <w:fldChar w:fldCharType="end"/>
      </w:r>
      <w:bookmarkEnd w:id="161"/>
      <w:r w:rsidRPr="00AF20CE">
        <w:rPr>
          <w:rFonts w:asciiTheme="minorHAnsi" w:hAnsiTheme="minorHAnsi" w:cstheme="minorHAnsi"/>
          <w:i/>
        </w:rPr>
        <w:t xml:space="preserve">: </w:t>
      </w:r>
      <w:r w:rsidR="00FB0414">
        <w:rPr>
          <w:rFonts w:asciiTheme="minorHAnsi" w:hAnsiTheme="minorHAnsi" w:cstheme="minorHAnsi"/>
          <w:i/>
        </w:rPr>
        <w:tab/>
      </w:r>
      <w:r>
        <w:rPr>
          <w:rFonts w:asciiTheme="minorHAnsi" w:hAnsiTheme="minorHAnsi" w:cstheme="minorHAnsi"/>
          <w:i/>
        </w:rPr>
        <w:t xml:space="preserve">Unmet health needs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 (unadjusted prevalence; N=12,5</w:t>
      </w:r>
      <w:r>
        <w:rPr>
          <w:rFonts w:asciiTheme="minorHAnsi" w:hAnsiTheme="minorHAnsi" w:cstheme="minorHAnsi"/>
          <w:i/>
        </w:rPr>
        <w:t>7</w:t>
      </w:r>
      <w:r w:rsidR="00531D58">
        <w:rPr>
          <w:rFonts w:asciiTheme="minorHAnsi" w:hAnsiTheme="minorHAnsi" w:cstheme="minorHAnsi"/>
          <w:i/>
        </w:rPr>
        <w:t>5</w:t>
      </w:r>
      <w:r w:rsidRPr="00AF3A24">
        <w:rPr>
          <w:rFonts w:asciiTheme="minorHAnsi" w:hAnsiTheme="minorHAnsi" w:cstheme="minorHAnsi"/>
          <w:i/>
        </w:rPr>
        <w:t xml:space="preserve">) </w:t>
      </w:r>
      <w:r>
        <w:rPr>
          <w:rFonts w:asciiTheme="minorHAnsi" w:hAnsiTheme="minorHAnsi" w:cstheme="minorHAnsi"/>
          <w:i/>
          <w:vertAlign w:val="superscript"/>
        </w:rPr>
        <w:t>1</w:t>
      </w:r>
      <w:bookmarkEnd w:id="162"/>
    </w:p>
    <w:p w14:paraId="03991C01" w14:textId="77777777" w:rsidR="00531D58" w:rsidRDefault="00531D58" w:rsidP="00617426">
      <w:pPr>
        <w:spacing w:line="360" w:lineRule="auto"/>
        <w:jc w:val="center"/>
        <w:rPr>
          <w:noProof/>
          <w:lang w:eastAsia="en-NZ"/>
        </w:rPr>
      </w:pPr>
      <w:r>
        <w:rPr>
          <w:noProof/>
          <w:lang w:eastAsia="en-NZ"/>
        </w:rPr>
        <w:drawing>
          <wp:inline distT="0" distB="0" distL="0" distR="0" wp14:anchorId="5AFBC966" wp14:editId="086A3F93">
            <wp:extent cx="4257675" cy="2590800"/>
            <wp:effectExtent l="0" t="0" r="9525"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3D41726" w14:textId="77777777" w:rsidR="008F5C83" w:rsidRPr="009570D4" w:rsidRDefault="008F5C83" w:rsidP="00617426">
      <w:pPr>
        <w:pStyle w:val="Caption"/>
        <w:keepNext/>
        <w:spacing w:before="0" w:after="0" w:line="276" w:lineRule="auto"/>
        <w:ind w:left="1843"/>
        <w:jc w:val="left"/>
        <w:rPr>
          <w:rFonts w:asciiTheme="minorHAnsi" w:hAnsiTheme="minorHAnsi" w:cstheme="minorHAnsi"/>
          <w:b w:val="0"/>
          <w:sz w:val="16"/>
        </w:rPr>
      </w:pPr>
      <w:r w:rsidRPr="009570D4">
        <w:rPr>
          <w:rFonts w:asciiTheme="minorHAnsi" w:hAnsiTheme="minorHAnsi" w:cstheme="minorHAnsi"/>
          <w:b w:val="0"/>
          <w:sz w:val="16"/>
        </w:rPr>
        <w:t>Notes:</w:t>
      </w:r>
    </w:p>
    <w:p w14:paraId="1A88DCE8" w14:textId="77777777" w:rsidR="008F5C83" w:rsidRPr="009570D4" w:rsidRDefault="008F5C83" w:rsidP="004F129A">
      <w:pPr>
        <w:pStyle w:val="ListParagraph"/>
        <w:numPr>
          <w:ilvl w:val="0"/>
          <w:numId w:val="81"/>
        </w:numPr>
        <w:spacing w:line="240" w:lineRule="auto"/>
        <w:ind w:left="2127" w:right="1380" w:hanging="284"/>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0F8F6A6E" w14:textId="77777777" w:rsidR="00FB7B10" w:rsidRDefault="00FF1812" w:rsidP="00C87C99">
      <w:pPr>
        <w:pStyle w:val="Heading4"/>
      </w:pPr>
      <w:r>
        <w:lastRenderedPageBreak/>
        <w:t>General practitioner - u</w:t>
      </w:r>
      <w:r w:rsidR="00FB7B10">
        <w:t xml:space="preserve">nmet needs </w:t>
      </w:r>
      <w:r w:rsidR="00FB7B10" w:rsidRPr="00C87C99">
        <w:t>due to cost</w:t>
      </w:r>
    </w:p>
    <w:p w14:paraId="0BF2AFA4" w14:textId="77777777" w:rsidR="000F7401" w:rsidRDefault="00FB7B10" w:rsidP="0069395F">
      <w:pPr>
        <w:rPr>
          <w:rFonts w:asciiTheme="minorHAnsi" w:hAnsiTheme="minorHAnsi"/>
        </w:rPr>
      </w:pPr>
      <w:r>
        <w:rPr>
          <w:rFonts w:asciiTheme="minorHAnsi" w:hAnsiTheme="minorHAnsi"/>
        </w:rPr>
        <w:t xml:space="preserve">Respondents were also asked </w:t>
      </w:r>
      <w:r w:rsidR="00993704">
        <w:rPr>
          <w:rFonts w:asciiTheme="minorHAnsi" w:hAnsiTheme="minorHAnsi"/>
        </w:rPr>
        <w:t>“The last time you were not able to see a GP when you needed to, what was the reason?”</w:t>
      </w:r>
      <w:r>
        <w:rPr>
          <w:rFonts w:asciiTheme="minorHAnsi" w:hAnsiTheme="minorHAnsi"/>
        </w:rPr>
        <w:t xml:space="preserve">  </w:t>
      </w:r>
      <w:r w:rsidR="0024214B">
        <w:rPr>
          <w:rFonts w:asciiTheme="minorHAnsi" w:hAnsiTheme="minorHAnsi"/>
        </w:rPr>
        <w:t xml:space="preserve">Figure </w:t>
      </w:r>
      <w:r w:rsidR="00004C86">
        <w:rPr>
          <w:rFonts w:asciiTheme="minorHAnsi" w:hAnsiTheme="minorHAnsi"/>
        </w:rPr>
        <w:t>32 shows</w:t>
      </w:r>
      <w:r>
        <w:rPr>
          <w:rFonts w:asciiTheme="minorHAnsi" w:hAnsiTheme="minorHAnsi"/>
        </w:rPr>
        <w:t xml:space="preserve"> the </w:t>
      </w:r>
      <w:r w:rsidR="00993704">
        <w:rPr>
          <w:rFonts w:asciiTheme="minorHAnsi" w:hAnsiTheme="minorHAnsi"/>
        </w:rPr>
        <w:t>distribution</w:t>
      </w:r>
      <w:r>
        <w:rPr>
          <w:rFonts w:asciiTheme="minorHAnsi" w:hAnsiTheme="minorHAnsi"/>
        </w:rPr>
        <w:t xml:space="preserve"> of people who had not seen a GP because it “costs too much”</w:t>
      </w:r>
      <w:r w:rsidR="00993704">
        <w:rPr>
          <w:rFonts w:asciiTheme="minorHAnsi" w:hAnsiTheme="minorHAnsi"/>
        </w:rPr>
        <w:t>,</w:t>
      </w:r>
      <w:r>
        <w:rPr>
          <w:rFonts w:asciiTheme="minorHAnsi" w:hAnsiTheme="minorHAnsi"/>
        </w:rPr>
        <w:t xml:space="preserve"> by gambling status. </w:t>
      </w:r>
    </w:p>
    <w:p w14:paraId="7848EA76" w14:textId="77777777" w:rsidR="00531D58" w:rsidRPr="005376F1" w:rsidRDefault="00531D58" w:rsidP="00FB0414">
      <w:pPr>
        <w:pStyle w:val="Caption"/>
        <w:keepNext/>
        <w:tabs>
          <w:tab w:val="left" w:pos="993"/>
        </w:tabs>
        <w:spacing w:after="0" w:line="276" w:lineRule="auto"/>
        <w:ind w:left="993" w:hanging="993"/>
        <w:jc w:val="left"/>
        <w:rPr>
          <w:rFonts w:asciiTheme="minorHAnsi" w:hAnsiTheme="minorHAnsi"/>
        </w:rPr>
      </w:pPr>
      <w:bookmarkStart w:id="163" w:name="_Ref398042928"/>
      <w:bookmarkStart w:id="164" w:name="_Toc425427005"/>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32</w:t>
      </w:r>
      <w:r w:rsidRPr="00AF20CE">
        <w:rPr>
          <w:rFonts w:asciiTheme="minorHAnsi" w:hAnsiTheme="minorHAnsi" w:cstheme="minorHAnsi"/>
          <w:i/>
        </w:rPr>
        <w:fldChar w:fldCharType="end"/>
      </w:r>
      <w:bookmarkEnd w:id="163"/>
      <w:r w:rsidRPr="00AF20CE">
        <w:rPr>
          <w:rFonts w:asciiTheme="minorHAnsi" w:hAnsiTheme="minorHAnsi" w:cstheme="minorHAnsi"/>
          <w:i/>
        </w:rPr>
        <w:t xml:space="preserve">: </w:t>
      </w:r>
      <w:r>
        <w:rPr>
          <w:rFonts w:asciiTheme="minorHAnsi" w:hAnsiTheme="minorHAnsi" w:cstheme="minorHAnsi"/>
          <w:i/>
        </w:rPr>
        <w:t>Unmet health needs</w:t>
      </w:r>
      <w:r w:rsidR="00C97C68">
        <w:rPr>
          <w:rFonts w:asciiTheme="minorHAnsi" w:hAnsiTheme="minorHAnsi" w:cstheme="minorHAnsi"/>
          <w:i/>
        </w:rPr>
        <w:t xml:space="preserve"> </w:t>
      </w:r>
      <w:r w:rsidRPr="00FB7B10">
        <w:rPr>
          <w:rFonts w:asciiTheme="minorHAnsi" w:hAnsiTheme="minorHAnsi" w:cstheme="minorHAnsi"/>
          <w:i/>
          <w:u w:val="single"/>
        </w:rPr>
        <w:t>due to cost</w:t>
      </w:r>
      <w:r w:rsidR="00C97C68" w:rsidRPr="006879ED">
        <w:rPr>
          <w:rFonts w:asciiTheme="minorHAnsi" w:hAnsiTheme="minorHAnsi" w:cstheme="minorHAnsi"/>
          <w:i/>
        </w:rPr>
        <w:t>,</w:t>
      </w:r>
      <w:r>
        <w:rPr>
          <w:rFonts w:asciiTheme="minorHAnsi" w:hAnsiTheme="minorHAnsi" w:cstheme="minorHAnsi"/>
          <w:i/>
        </w:rPr>
        <w:t xml:space="preserve">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 (unadjusted prevalence; N=12,5</w:t>
      </w:r>
      <w:r w:rsidR="00C97C68">
        <w:rPr>
          <w:rFonts w:asciiTheme="minorHAnsi" w:hAnsiTheme="minorHAnsi" w:cstheme="minorHAnsi"/>
          <w:i/>
        </w:rPr>
        <w:t>8</w:t>
      </w:r>
      <w:r>
        <w:rPr>
          <w:rFonts w:asciiTheme="minorHAnsi" w:hAnsiTheme="minorHAnsi" w:cstheme="minorHAnsi"/>
          <w:i/>
        </w:rPr>
        <w:t>7</w:t>
      </w:r>
      <w:r w:rsidRPr="00AF3A24">
        <w:rPr>
          <w:rFonts w:asciiTheme="minorHAnsi" w:hAnsiTheme="minorHAnsi" w:cstheme="minorHAnsi"/>
          <w:i/>
        </w:rPr>
        <w:t xml:space="preserve">) </w:t>
      </w:r>
      <w:r>
        <w:rPr>
          <w:rFonts w:asciiTheme="minorHAnsi" w:hAnsiTheme="minorHAnsi" w:cstheme="minorHAnsi"/>
          <w:i/>
          <w:vertAlign w:val="superscript"/>
        </w:rPr>
        <w:t>1</w:t>
      </w:r>
      <w:bookmarkEnd w:id="164"/>
    </w:p>
    <w:p w14:paraId="2057A070" w14:textId="77777777" w:rsidR="00B0667D" w:rsidRDefault="00C97C68" w:rsidP="00FB7B10">
      <w:pPr>
        <w:spacing w:line="240" w:lineRule="auto"/>
        <w:jc w:val="center"/>
        <w:rPr>
          <w:rFonts w:asciiTheme="minorHAnsi" w:hAnsiTheme="minorHAnsi"/>
        </w:rPr>
      </w:pPr>
      <w:r>
        <w:rPr>
          <w:noProof/>
          <w:lang w:eastAsia="en-NZ"/>
        </w:rPr>
        <w:drawing>
          <wp:inline distT="0" distB="0" distL="0" distR="0" wp14:anchorId="6F15A4FE" wp14:editId="2C67A620">
            <wp:extent cx="4258101" cy="2565779"/>
            <wp:effectExtent l="0" t="0" r="9525" b="254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CB2ADFF" w14:textId="77777777" w:rsidR="00FB7B10" w:rsidRPr="009570D4" w:rsidRDefault="00FB7B10" w:rsidP="00FB7B10">
      <w:pPr>
        <w:pStyle w:val="Caption"/>
        <w:keepNext/>
        <w:spacing w:before="0" w:after="0" w:line="276" w:lineRule="auto"/>
        <w:ind w:left="1701" w:hanging="142"/>
        <w:jc w:val="left"/>
        <w:rPr>
          <w:rFonts w:asciiTheme="minorHAnsi" w:hAnsiTheme="minorHAnsi" w:cstheme="minorHAnsi"/>
          <w:b w:val="0"/>
          <w:sz w:val="16"/>
        </w:rPr>
      </w:pPr>
      <w:r w:rsidRPr="009570D4">
        <w:rPr>
          <w:rFonts w:asciiTheme="minorHAnsi" w:hAnsiTheme="minorHAnsi" w:cstheme="minorHAnsi"/>
          <w:b w:val="0"/>
          <w:sz w:val="16"/>
        </w:rPr>
        <w:t>Notes:</w:t>
      </w:r>
    </w:p>
    <w:p w14:paraId="4DC9EA26" w14:textId="77777777" w:rsidR="00FB7B10" w:rsidRPr="009570D4" w:rsidRDefault="00FB7B10" w:rsidP="006A0B0E">
      <w:pPr>
        <w:pStyle w:val="ListParagraph"/>
        <w:numPr>
          <w:ilvl w:val="0"/>
          <w:numId w:val="50"/>
        </w:numPr>
        <w:spacing w:line="240" w:lineRule="auto"/>
        <w:ind w:left="1843" w:right="1380" w:hanging="283"/>
        <w:rPr>
          <w:rFonts w:asciiTheme="minorHAnsi" w:hAnsiTheme="minorHAnsi" w:cstheme="minorHAnsi"/>
          <w:sz w:val="16"/>
        </w:rPr>
      </w:pPr>
      <w:r w:rsidRPr="009570D4">
        <w:rPr>
          <w:rFonts w:asciiTheme="minorHAnsi" w:hAnsiTheme="minorHAnsi" w:cstheme="minorHAnsi"/>
          <w:sz w:val="16"/>
        </w:rPr>
        <w:t>Source: 2011/12 New Zealand Health Survey.</w:t>
      </w:r>
      <w:r w:rsidR="00F11F34" w:rsidRPr="009570D4">
        <w:rPr>
          <w:rFonts w:asciiTheme="minorHAnsi" w:hAnsiTheme="minorHAnsi" w:cstheme="minorHAnsi"/>
          <w:sz w:val="16"/>
        </w:rPr>
        <w:t xml:space="preserve">  </w:t>
      </w:r>
      <w:r w:rsidR="00F11F34" w:rsidRPr="009570D4">
        <w:rPr>
          <w:rFonts w:asciiTheme="minorHAnsi" w:hAnsiTheme="minorHAnsi" w:cstheme="minorHAnsi"/>
          <w:sz w:val="16"/>
          <w:szCs w:val="16"/>
        </w:rPr>
        <w:t>Error bars are indicative of 95% confidence intervals.</w:t>
      </w:r>
    </w:p>
    <w:p w14:paraId="56289DD4" w14:textId="77777777" w:rsidR="00C87C99" w:rsidRPr="00C87C99" w:rsidRDefault="00C87C99" w:rsidP="00C87C99">
      <w:pPr>
        <w:spacing w:line="240" w:lineRule="auto"/>
        <w:ind w:right="1380"/>
        <w:rPr>
          <w:rFonts w:asciiTheme="minorHAnsi" w:hAnsiTheme="minorHAnsi" w:cstheme="minorHAnsi"/>
          <w:sz w:val="16"/>
        </w:rPr>
      </w:pPr>
    </w:p>
    <w:p w14:paraId="6F3BA8AD" w14:textId="77777777" w:rsidR="000F7401" w:rsidRPr="000F7401" w:rsidRDefault="00C87C99" w:rsidP="000F7401">
      <w:pPr>
        <w:rPr>
          <w:rFonts w:asciiTheme="minorHAnsi" w:hAnsiTheme="minorHAnsi"/>
        </w:rPr>
      </w:pPr>
      <w:r>
        <w:rPr>
          <w:rFonts w:asciiTheme="minorHAnsi" w:hAnsiTheme="minorHAnsi"/>
        </w:rPr>
        <w:t>Compared with non-gamblers and non-problem/recreational gamblers, significantly greater proportions of low-risk and moderate-risk/problem gamblers had not see</w:t>
      </w:r>
      <w:r w:rsidR="00B51B4D">
        <w:rPr>
          <w:rFonts w:asciiTheme="minorHAnsi" w:hAnsiTheme="minorHAnsi"/>
        </w:rPr>
        <w:t xml:space="preserve">n a GP due to cost (p&lt;0.0001).  </w:t>
      </w:r>
      <w:r w:rsidR="000F7401" w:rsidRPr="000F7401">
        <w:rPr>
          <w:rFonts w:asciiTheme="minorHAnsi" w:hAnsiTheme="minorHAnsi"/>
        </w:rPr>
        <w:t xml:space="preserve">Low-risk and moderate-risk/problem gamblers were twice as likely </w:t>
      </w:r>
      <w:r>
        <w:rPr>
          <w:rFonts w:asciiTheme="minorHAnsi" w:hAnsiTheme="minorHAnsi"/>
        </w:rPr>
        <w:t xml:space="preserve">(OR 2.1 and OR 1.9 respectively) </w:t>
      </w:r>
      <w:r w:rsidR="000F7401" w:rsidRPr="000F7401">
        <w:rPr>
          <w:rFonts w:asciiTheme="minorHAnsi" w:hAnsiTheme="minorHAnsi"/>
        </w:rPr>
        <w:t xml:space="preserve">as </w:t>
      </w:r>
      <w:r>
        <w:rPr>
          <w:rFonts w:asciiTheme="minorHAnsi" w:hAnsiTheme="minorHAnsi"/>
        </w:rPr>
        <w:t>those</w:t>
      </w:r>
      <w:r w:rsidR="000F7401" w:rsidRPr="000F7401">
        <w:rPr>
          <w:rFonts w:asciiTheme="minorHAnsi" w:hAnsiTheme="minorHAnsi"/>
        </w:rPr>
        <w:t xml:space="preserve"> with no gambling problems</w:t>
      </w:r>
      <w:r>
        <w:rPr>
          <w:rFonts w:asciiTheme="minorHAnsi" w:hAnsiTheme="minorHAnsi"/>
        </w:rPr>
        <w:t xml:space="preserve"> </w:t>
      </w:r>
      <w:r w:rsidR="000F7401">
        <w:rPr>
          <w:rFonts w:asciiTheme="minorHAnsi" w:hAnsiTheme="minorHAnsi"/>
        </w:rPr>
        <w:t xml:space="preserve">to report </w:t>
      </w:r>
      <w:r>
        <w:rPr>
          <w:rFonts w:asciiTheme="minorHAnsi" w:hAnsiTheme="minorHAnsi"/>
        </w:rPr>
        <w:t xml:space="preserve">that they had not seen a </w:t>
      </w:r>
      <w:r w:rsidR="000F7401">
        <w:rPr>
          <w:rFonts w:asciiTheme="minorHAnsi" w:hAnsiTheme="minorHAnsi"/>
        </w:rPr>
        <w:t xml:space="preserve">GP due to </w:t>
      </w:r>
      <w:r>
        <w:rPr>
          <w:rFonts w:asciiTheme="minorHAnsi" w:hAnsiTheme="minorHAnsi"/>
        </w:rPr>
        <w:t xml:space="preserve">the </w:t>
      </w:r>
      <w:r w:rsidR="000F7401">
        <w:rPr>
          <w:rFonts w:asciiTheme="minorHAnsi" w:hAnsiTheme="minorHAnsi"/>
        </w:rPr>
        <w:t xml:space="preserve">cost. </w:t>
      </w:r>
      <w:r w:rsidR="00F962F8">
        <w:rPr>
          <w:rFonts w:asciiTheme="minorHAnsi" w:hAnsiTheme="minorHAnsi"/>
        </w:rPr>
        <w:t xml:space="preserve"> Females were significantly more likely to respond affirmatively to this item than males (p&lt;0.0001). </w:t>
      </w:r>
    </w:p>
    <w:p w14:paraId="5EC2ECCE" w14:textId="77777777" w:rsidR="009570D4" w:rsidRDefault="009570D4">
      <w:pPr>
        <w:spacing w:before="0" w:after="200" w:line="276" w:lineRule="auto"/>
        <w:jc w:val="left"/>
        <w:rPr>
          <w:rFonts w:asciiTheme="minorHAnsi" w:hAnsiTheme="minorHAnsi" w:cstheme="minorHAnsi"/>
          <w:b/>
          <w:iCs/>
          <w:color w:val="1F497D"/>
          <w:szCs w:val="26"/>
        </w:rPr>
      </w:pPr>
      <w:bookmarkStart w:id="165" w:name="_Toc403833190"/>
      <w:r>
        <w:br w:type="page"/>
      </w:r>
    </w:p>
    <w:p w14:paraId="770393B1" w14:textId="77777777" w:rsidR="0005196E" w:rsidRDefault="0005196E" w:rsidP="00F061EF">
      <w:pPr>
        <w:pStyle w:val="Heading3"/>
      </w:pPr>
      <w:r>
        <w:lastRenderedPageBreak/>
        <w:t xml:space="preserve">Use of other health </w:t>
      </w:r>
      <w:r w:rsidR="0086493B">
        <w:t>professionals</w:t>
      </w:r>
      <w:bookmarkEnd w:id="165"/>
    </w:p>
    <w:p w14:paraId="5F45ECFA" w14:textId="77777777" w:rsidR="005E6500" w:rsidRDefault="00B047B9" w:rsidP="0069395F">
      <w:pPr>
        <w:rPr>
          <w:rFonts w:asciiTheme="minorHAnsi" w:hAnsiTheme="minorHAnsi"/>
        </w:rPr>
      </w:pPr>
      <w:r>
        <w:rPr>
          <w:rFonts w:asciiTheme="minorHAnsi" w:hAnsiTheme="minorHAnsi"/>
        </w:rPr>
        <w:t xml:space="preserve">Approximately four percent (3.9%) of the total adult population had seen a psychologist, counsellor or social worker in the past 12 months. </w:t>
      </w:r>
      <w:r w:rsidR="002672CD">
        <w:rPr>
          <w:rFonts w:asciiTheme="minorHAnsi" w:hAnsiTheme="minorHAnsi"/>
        </w:rPr>
        <w:t xml:space="preserve"> </w:t>
      </w:r>
      <w:r>
        <w:rPr>
          <w:rFonts w:asciiTheme="minorHAnsi" w:hAnsiTheme="minorHAnsi"/>
        </w:rPr>
        <w:t xml:space="preserve">As </w:t>
      </w:r>
      <w:r w:rsidR="0086493B">
        <w:rPr>
          <w:rFonts w:asciiTheme="minorHAnsi" w:hAnsiTheme="minorHAnsi"/>
        </w:rPr>
        <w:t xml:space="preserve">illustrated </w:t>
      </w:r>
      <w:r>
        <w:rPr>
          <w:rFonts w:asciiTheme="minorHAnsi" w:hAnsiTheme="minorHAnsi"/>
        </w:rPr>
        <w:t>in</w:t>
      </w:r>
      <w:r w:rsidR="0024214B">
        <w:rPr>
          <w:rFonts w:asciiTheme="minorHAnsi" w:hAnsiTheme="minorHAnsi"/>
        </w:rPr>
        <w:t xml:space="preserve"> Figure 33</w:t>
      </w:r>
      <w:r w:rsidR="00D6370E">
        <w:rPr>
          <w:rFonts w:asciiTheme="minorHAnsi" w:hAnsiTheme="minorHAnsi"/>
        </w:rPr>
        <w:t>, t</w:t>
      </w:r>
      <w:r>
        <w:rPr>
          <w:rFonts w:asciiTheme="minorHAnsi" w:hAnsiTheme="minorHAnsi"/>
        </w:rPr>
        <w:t>h</w:t>
      </w:r>
      <w:r w:rsidR="0086493B">
        <w:rPr>
          <w:rFonts w:asciiTheme="minorHAnsi" w:hAnsiTheme="minorHAnsi"/>
        </w:rPr>
        <w:t>e proportion of adults</w:t>
      </w:r>
      <w:r w:rsidR="00D6370E">
        <w:rPr>
          <w:rFonts w:asciiTheme="minorHAnsi" w:hAnsiTheme="minorHAnsi"/>
        </w:rPr>
        <w:t xml:space="preserve"> that had seen another health professional in the past 12 months</w:t>
      </w:r>
      <w:r>
        <w:rPr>
          <w:rFonts w:asciiTheme="minorHAnsi" w:hAnsiTheme="minorHAnsi"/>
        </w:rPr>
        <w:t xml:space="preserve"> rose to 5.5% for low-risk and 12.5% for moderate-risk/problem gamblers. </w:t>
      </w:r>
      <w:r w:rsidR="00C30C8C">
        <w:rPr>
          <w:rFonts w:asciiTheme="minorHAnsi" w:hAnsiTheme="minorHAnsi"/>
        </w:rPr>
        <w:t xml:space="preserve"> This association was significant (p=0.0002), with moderate-risk/problem gamblers being </w:t>
      </w:r>
      <w:r w:rsidR="0086493B">
        <w:rPr>
          <w:rFonts w:asciiTheme="minorHAnsi" w:hAnsiTheme="minorHAnsi"/>
        </w:rPr>
        <w:t>three and a half times more likely (OR 3.4</w:t>
      </w:r>
      <w:r w:rsidR="00C30C8C">
        <w:rPr>
          <w:rFonts w:asciiTheme="minorHAnsi" w:hAnsiTheme="minorHAnsi"/>
        </w:rPr>
        <w:t xml:space="preserve">) </w:t>
      </w:r>
      <w:r w:rsidR="0086493B">
        <w:rPr>
          <w:rFonts w:asciiTheme="minorHAnsi" w:hAnsiTheme="minorHAnsi"/>
        </w:rPr>
        <w:t>than those</w:t>
      </w:r>
      <w:r w:rsidR="009679A0">
        <w:rPr>
          <w:rFonts w:asciiTheme="minorHAnsi" w:hAnsiTheme="minorHAnsi"/>
        </w:rPr>
        <w:t xml:space="preserve"> with no gambling problems</w:t>
      </w:r>
      <w:r w:rsidR="00C30C8C">
        <w:rPr>
          <w:rFonts w:asciiTheme="minorHAnsi" w:hAnsiTheme="minorHAnsi"/>
        </w:rPr>
        <w:t xml:space="preserve"> to have sought professional help in the past 12 months</w:t>
      </w:r>
      <w:r w:rsidR="00C170E1">
        <w:rPr>
          <w:rFonts w:asciiTheme="minorHAnsi" w:hAnsiTheme="minorHAnsi"/>
        </w:rPr>
        <w:t>.</w:t>
      </w:r>
      <w:r w:rsidR="002672CD">
        <w:rPr>
          <w:rFonts w:asciiTheme="minorHAnsi" w:hAnsiTheme="minorHAnsi"/>
        </w:rPr>
        <w:t xml:space="preserve"> </w:t>
      </w:r>
      <w:r w:rsidR="00C170E1">
        <w:rPr>
          <w:rFonts w:asciiTheme="minorHAnsi" w:hAnsiTheme="minorHAnsi"/>
        </w:rPr>
        <w:t xml:space="preserve"> </w:t>
      </w:r>
      <w:r w:rsidR="005E6500">
        <w:rPr>
          <w:rFonts w:asciiTheme="minorHAnsi" w:hAnsiTheme="minorHAnsi"/>
        </w:rPr>
        <w:t>Females were significantly more likely than males to have seen a psychologist, counsellor or social worker in the past 12 months (p=0.0001).</w:t>
      </w:r>
    </w:p>
    <w:p w14:paraId="18A12071" w14:textId="77777777" w:rsidR="0005196E" w:rsidRDefault="00EA5C71" w:rsidP="0069395F">
      <w:pPr>
        <w:rPr>
          <w:rFonts w:asciiTheme="minorHAnsi" w:hAnsiTheme="minorHAnsi"/>
        </w:rPr>
      </w:pPr>
      <w:r>
        <w:rPr>
          <w:rFonts w:asciiTheme="minorHAnsi" w:hAnsiTheme="minorHAnsi"/>
        </w:rPr>
        <w:t>D</w:t>
      </w:r>
      <w:r w:rsidR="00C170E1">
        <w:rPr>
          <w:rFonts w:asciiTheme="minorHAnsi" w:hAnsiTheme="minorHAnsi"/>
        </w:rPr>
        <w:t>etail</w:t>
      </w:r>
      <w:r>
        <w:rPr>
          <w:rFonts w:asciiTheme="minorHAnsi" w:hAnsiTheme="minorHAnsi"/>
        </w:rPr>
        <w:t>ed results for this set of analyses</w:t>
      </w:r>
      <w:r w:rsidR="00C170E1">
        <w:rPr>
          <w:rFonts w:asciiTheme="minorHAnsi" w:hAnsiTheme="minorHAnsi"/>
        </w:rPr>
        <w:t xml:space="preserve"> can be found in </w:t>
      </w:r>
      <w:r w:rsidR="0024214B">
        <w:rPr>
          <w:rFonts w:asciiTheme="minorHAnsi" w:hAnsiTheme="minorHAnsi"/>
        </w:rPr>
        <w:t>Appendix K (Tables 32 and 33</w:t>
      </w:r>
      <w:r w:rsidR="00C30C8C">
        <w:rPr>
          <w:rFonts w:asciiTheme="minorHAnsi" w:hAnsiTheme="minorHAnsi"/>
        </w:rPr>
        <w:t xml:space="preserve">).  </w:t>
      </w:r>
    </w:p>
    <w:p w14:paraId="78665EEC" w14:textId="77777777" w:rsidR="00B047B9" w:rsidRPr="005376F1" w:rsidRDefault="00B047B9" w:rsidP="00FB0414">
      <w:pPr>
        <w:pStyle w:val="Caption"/>
        <w:keepNext/>
        <w:tabs>
          <w:tab w:val="left" w:pos="993"/>
        </w:tabs>
        <w:spacing w:after="0" w:line="276" w:lineRule="auto"/>
        <w:ind w:left="993" w:hanging="993"/>
        <w:jc w:val="left"/>
        <w:rPr>
          <w:rFonts w:asciiTheme="minorHAnsi" w:hAnsiTheme="minorHAnsi"/>
        </w:rPr>
      </w:pPr>
      <w:bookmarkStart w:id="166" w:name="_Ref398044168"/>
      <w:bookmarkStart w:id="167" w:name="_Toc425427006"/>
      <w:r w:rsidRPr="00AF20CE">
        <w:rPr>
          <w:rFonts w:asciiTheme="minorHAnsi" w:hAnsiTheme="minorHAnsi" w:cstheme="minorHAnsi"/>
          <w:i/>
        </w:rPr>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33</w:t>
      </w:r>
      <w:r w:rsidRPr="00AF20CE">
        <w:rPr>
          <w:rFonts w:asciiTheme="minorHAnsi" w:hAnsiTheme="minorHAnsi" w:cstheme="minorHAnsi"/>
          <w:i/>
        </w:rPr>
        <w:fldChar w:fldCharType="end"/>
      </w:r>
      <w:bookmarkEnd w:id="166"/>
      <w:r w:rsidRPr="00AF20CE">
        <w:rPr>
          <w:rFonts w:asciiTheme="minorHAnsi" w:hAnsiTheme="minorHAnsi" w:cstheme="minorHAnsi"/>
          <w:i/>
        </w:rPr>
        <w:t xml:space="preserve">: </w:t>
      </w:r>
      <w:r>
        <w:rPr>
          <w:rFonts w:asciiTheme="minorHAnsi" w:hAnsiTheme="minorHAnsi" w:cstheme="minorHAnsi"/>
          <w:i/>
        </w:rPr>
        <w:t xml:space="preserve">Seen a psychologist, counsellor or social worker in the past 12 months, </w:t>
      </w:r>
      <w:r w:rsidRPr="00AF20CE">
        <w:rPr>
          <w:rFonts w:asciiTheme="minorHAnsi" w:hAnsiTheme="minorHAnsi" w:cstheme="minorHAnsi"/>
          <w:i/>
        </w:rPr>
        <w:t xml:space="preserve">by gambling status, </w:t>
      </w:r>
      <w:r w:rsidRPr="00AF3A24">
        <w:rPr>
          <w:rFonts w:asciiTheme="minorHAnsi" w:hAnsiTheme="minorHAnsi" w:cstheme="minorHAnsi"/>
          <w:i/>
        </w:rPr>
        <w:t>total population aged 15 years and over (unadjusted prevalence; N=12,5</w:t>
      </w:r>
      <w:r w:rsidR="004341FC">
        <w:rPr>
          <w:rFonts w:asciiTheme="minorHAnsi" w:hAnsiTheme="minorHAnsi" w:cstheme="minorHAnsi"/>
          <w:i/>
        </w:rPr>
        <w:t>94</w:t>
      </w:r>
      <w:r w:rsidRPr="00AF3A24">
        <w:rPr>
          <w:rFonts w:asciiTheme="minorHAnsi" w:hAnsiTheme="minorHAnsi" w:cstheme="minorHAnsi"/>
          <w:i/>
        </w:rPr>
        <w:t xml:space="preserve">) </w:t>
      </w:r>
      <w:r>
        <w:rPr>
          <w:rFonts w:asciiTheme="minorHAnsi" w:hAnsiTheme="minorHAnsi" w:cstheme="minorHAnsi"/>
          <w:i/>
          <w:vertAlign w:val="superscript"/>
        </w:rPr>
        <w:t>1</w:t>
      </w:r>
      <w:bookmarkEnd w:id="167"/>
    </w:p>
    <w:p w14:paraId="0A5475B4" w14:textId="77777777" w:rsidR="00B047B9" w:rsidRDefault="00B047B9" w:rsidP="00E63942">
      <w:pPr>
        <w:spacing w:line="240" w:lineRule="auto"/>
        <w:jc w:val="center"/>
        <w:rPr>
          <w:rFonts w:asciiTheme="minorHAnsi" w:hAnsiTheme="minorHAnsi"/>
        </w:rPr>
      </w:pPr>
      <w:r>
        <w:rPr>
          <w:noProof/>
          <w:lang w:eastAsia="en-NZ"/>
        </w:rPr>
        <w:drawing>
          <wp:inline distT="0" distB="0" distL="0" distR="0" wp14:anchorId="1F5CEB39" wp14:editId="4AB8BC21">
            <wp:extent cx="4258101" cy="2538483"/>
            <wp:effectExtent l="0" t="0" r="9525" b="1460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5343881" w14:textId="77777777" w:rsidR="00E63942" w:rsidRPr="009570D4" w:rsidRDefault="00E63942" w:rsidP="00E63942">
      <w:pPr>
        <w:pStyle w:val="Caption"/>
        <w:keepNext/>
        <w:spacing w:before="0" w:after="0" w:line="276" w:lineRule="auto"/>
        <w:ind w:left="1701" w:hanging="142"/>
        <w:jc w:val="left"/>
        <w:rPr>
          <w:rFonts w:asciiTheme="minorHAnsi" w:hAnsiTheme="minorHAnsi" w:cstheme="minorHAnsi"/>
          <w:b w:val="0"/>
          <w:sz w:val="16"/>
        </w:rPr>
      </w:pPr>
      <w:r w:rsidRPr="009570D4">
        <w:rPr>
          <w:rFonts w:asciiTheme="minorHAnsi" w:hAnsiTheme="minorHAnsi" w:cstheme="minorHAnsi"/>
          <w:b w:val="0"/>
          <w:sz w:val="16"/>
        </w:rPr>
        <w:t>Notes:</w:t>
      </w:r>
    </w:p>
    <w:p w14:paraId="1F689CF5" w14:textId="77777777" w:rsidR="00E63942" w:rsidRDefault="00E63942" w:rsidP="006A0B0E">
      <w:pPr>
        <w:pStyle w:val="ListParagraph"/>
        <w:numPr>
          <w:ilvl w:val="0"/>
          <w:numId w:val="51"/>
        </w:numPr>
        <w:spacing w:line="240" w:lineRule="auto"/>
        <w:ind w:left="1843" w:right="1380" w:hanging="283"/>
        <w:rPr>
          <w:rFonts w:asciiTheme="minorHAnsi" w:hAnsiTheme="minorHAnsi" w:cstheme="minorHAnsi"/>
          <w:sz w:val="16"/>
        </w:rPr>
      </w:pPr>
      <w:r w:rsidRPr="009570D4">
        <w:rPr>
          <w:rFonts w:asciiTheme="minorHAnsi" w:hAnsiTheme="minorHAnsi" w:cstheme="minorHAnsi"/>
          <w:sz w:val="16"/>
        </w:rPr>
        <w:t>Source: 201</w:t>
      </w:r>
      <w:r>
        <w:rPr>
          <w:rFonts w:asciiTheme="minorHAnsi" w:hAnsiTheme="minorHAnsi" w:cstheme="minorHAnsi"/>
          <w:sz w:val="16"/>
        </w:rPr>
        <w:t>1/12 New 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0B5A32A8" w14:textId="77777777" w:rsidR="0005196E" w:rsidRPr="00AF3A24" w:rsidRDefault="0005196E" w:rsidP="0069395F">
      <w:pPr>
        <w:rPr>
          <w:rFonts w:asciiTheme="minorHAnsi" w:hAnsiTheme="minorHAnsi"/>
        </w:rPr>
      </w:pPr>
    </w:p>
    <w:p w14:paraId="1E560DBB" w14:textId="77777777" w:rsidR="00B21F5B" w:rsidRPr="00AF3A24" w:rsidRDefault="00B21F5B">
      <w:pPr>
        <w:spacing w:before="0" w:after="200" w:line="276" w:lineRule="auto"/>
        <w:jc w:val="left"/>
        <w:rPr>
          <w:rFonts w:asciiTheme="minorHAnsi" w:hAnsiTheme="minorHAnsi" w:cstheme="minorHAnsi"/>
          <w:b/>
          <w:bCs/>
          <w:iCs/>
          <w:color w:val="1F497D"/>
          <w:szCs w:val="22"/>
        </w:rPr>
      </w:pPr>
      <w:r w:rsidRPr="00AF3A24">
        <w:rPr>
          <w:rFonts w:asciiTheme="minorHAnsi" w:hAnsiTheme="minorHAnsi"/>
        </w:rPr>
        <w:br w:type="page"/>
      </w:r>
    </w:p>
    <w:p w14:paraId="66598956" w14:textId="77777777" w:rsidR="00B21F5B" w:rsidRDefault="00200E0F" w:rsidP="00F061EF">
      <w:pPr>
        <w:pStyle w:val="Heading2"/>
      </w:pPr>
      <w:bookmarkStart w:id="168" w:name="_Toc403833191"/>
      <w:r>
        <w:lastRenderedPageBreak/>
        <w:t>SUMMARY</w:t>
      </w:r>
      <w:r w:rsidR="00B21F5B" w:rsidRPr="003D3EF9">
        <w:t>:</w:t>
      </w:r>
      <w:r w:rsidR="00EB5023" w:rsidRPr="003D3EF9">
        <w:t xml:space="preserve"> </w:t>
      </w:r>
      <w:r w:rsidR="00EB5023">
        <w:t>ECOLOGICAL</w:t>
      </w:r>
      <w:r w:rsidR="00EB5023" w:rsidRPr="003D3EF9">
        <w:t xml:space="preserve"> FACTORS </w:t>
      </w:r>
      <w:r w:rsidR="00EB5023">
        <w:t>AND</w:t>
      </w:r>
      <w:r w:rsidR="00EB5023" w:rsidRPr="003D3EF9">
        <w:t xml:space="preserve"> PROBLEM</w:t>
      </w:r>
      <w:r w:rsidR="00F06924">
        <w:t>ATIC</w:t>
      </w:r>
      <w:r w:rsidR="00EB5023" w:rsidRPr="003D3EF9">
        <w:t xml:space="preserve"> GAMBLING</w:t>
      </w:r>
      <w:bookmarkEnd w:id="168"/>
    </w:p>
    <w:p w14:paraId="750878DB" w14:textId="77777777" w:rsidR="007F08FF" w:rsidRPr="00F77152" w:rsidRDefault="00A50AE2" w:rsidP="007F08FF">
      <w:pPr>
        <w:spacing w:line="360" w:lineRule="auto"/>
        <w:rPr>
          <w:rFonts w:asciiTheme="minorHAnsi" w:hAnsiTheme="minorHAnsi" w:cstheme="minorHAnsi"/>
          <w:b/>
          <w:color w:val="1F497D"/>
        </w:rPr>
      </w:pPr>
      <w:r>
        <w:rPr>
          <w:rFonts w:asciiTheme="minorHAnsi" w:hAnsiTheme="minorHAnsi" w:cstheme="minorHAnsi"/>
          <w:b/>
          <w:color w:val="1F497D"/>
        </w:rPr>
        <w:t xml:space="preserve">Socio-demographics and </w:t>
      </w:r>
      <w:r w:rsidR="007F08FF" w:rsidRPr="00F77152">
        <w:rPr>
          <w:rFonts w:asciiTheme="minorHAnsi" w:hAnsiTheme="minorHAnsi" w:cstheme="minorHAnsi"/>
          <w:b/>
          <w:color w:val="1F497D"/>
        </w:rPr>
        <w:t>gambling:</w:t>
      </w:r>
    </w:p>
    <w:p w14:paraId="61115DB2" w14:textId="77777777" w:rsidR="007F08FF" w:rsidRPr="00F2111B" w:rsidRDefault="00F2111B" w:rsidP="004F129A">
      <w:pPr>
        <w:pStyle w:val="ListParagraph"/>
        <w:numPr>
          <w:ilvl w:val="0"/>
          <w:numId w:val="61"/>
        </w:numPr>
        <w:spacing w:after="200"/>
        <w:rPr>
          <w:rFonts w:asciiTheme="minorHAnsi" w:hAnsiTheme="minorHAnsi" w:cstheme="minorHAnsi"/>
        </w:rPr>
      </w:pPr>
      <w:r w:rsidRPr="00F2111B">
        <w:rPr>
          <w:rFonts w:asciiTheme="minorHAnsi" w:hAnsiTheme="minorHAnsi"/>
        </w:rPr>
        <w:t xml:space="preserve">No significant trends or associations were observed between gambling status and education, employment, length of time living in New Zealand (for those born outside of New Zealand), and </w:t>
      </w:r>
      <w:r>
        <w:rPr>
          <w:rFonts w:asciiTheme="minorHAnsi" w:hAnsiTheme="minorHAnsi"/>
        </w:rPr>
        <w:t>living in Christchurch at the time of the major earthquake (22 February, 2011).</w:t>
      </w:r>
    </w:p>
    <w:p w14:paraId="7244647B" w14:textId="77777777" w:rsidR="00E87747" w:rsidRPr="00E87747" w:rsidRDefault="00E87747" w:rsidP="00E87747">
      <w:pPr>
        <w:spacing w:line="360" w:lineRule="auto"/>
        <w:rPr>
          <w:rFonts w:asciiTheme="minorHAnsi" w:hAnsiTheme="minorHAnsi" w:cstheme="minorHAnsi"/>
          <w:b/>
          <w:color w:val="1F497D"/>
        </w:rPr>
      </w:pPr>
      <w:r>
        <w:rPr>
          <w:rFonts w:asciiTheme="minorHAnsi" w:hAnsiTheme="minorHAnsi" w:cstheme="minorHAnsi"/>
          <w:b/>
          <w:color w:val="1F497D"/>
        </w:rPr>
        <w:t xml:space="preserve">Other dangerous consumptions </w:t>
      </w:r>
      <w:r w:rsidRPr="00E87747">
        <w:rPr>
          <w:rFonts w:asciiTheme="minorHAnsi" w:hAnsiTheme="minorHAnsi" w:cstheme="minorHAnsi"/>
          <w:b/>
          <w:color w:val="1F497D"/>
        </w:rPr>
        <w:t>and gambling:</w:t>
      </w:r>
    </w:p>
    <w:p w14:paraId="44CFB553" w14:textId="77777777" w:rsidR="00C439E0" w:rsidRPr="00C439E0" w:rsidRDefault="00C439E0" w:rsidP="004F129A">
      <w:pPr>
        <w:pStyle w:val="ListParagraph"/>
        <w:numPr>
          <w:ilvl w:val="0"/>
          <w:numId w:val="61"/>
        </w:numPr>
        <w:spacing w:after="200"/>
        <w:rPr>
          <w:rFonts w:asciiTheme="minorHAnsi" w:hAnsiTheme="minorHAnsi" w:cstheme="minorHAnsi"/>
        </w:rPr>
      </w:pPr>
      <w:r>
        <w:rPr>
          <w:rFonts w:asciiTheme="minorHAnsi" w:hAnsiTheme="minorHAnsi"/>
        </w:rPr>
        <w:t>Alcohol:</w:t>
      </w:r>
    </w:p>
    <w:p w14:paraId="6F6C07B1" w14:textId="77777777" w:rsidR="00E87747" w:rsidRPr="009679A0" w:rsidRDefault="00C439E0" w:rsidP="004F129A">
      <w:pPr>
        <w:pStyle w:val="ListParagraph"/>
        <w:numPr>
          <w:ilvl w:val="1"/>
          <w:numId w:val="61"/>
        </w:numPr>
        <w:spacing w:after="200"/>
        <w:rPr>
          <w:rFonts w:asciiTheme="minorHAnsi" w:hAnsiTheme="minorHAnsi" w:cstheme="minorHAnsi"/>
        </w:rPr>
      </w:pPr>
      <w:r w:rsidRPr="009679A0">
        <w:rPr>
          <w:rFonts w:asciiTheme="minorHAnsi" w:hAnsiTheme="minorHAnsi"/>
          <w:i/>
        </w:rPr>
        <w:t xml:space="preserve">Use of alcohol: </w:t>
      </w:r>
      <w:r w:rsidRPr="009679A0">
        <w:rPr>
          <w:rFonts w:asciiTheme="minorHAnsi" w:hAnsiTheme="minorHAnsi"/>
        </w:rPr>
        <w:t xml:space="preserve">Problem gambling was significantly associated with use of alcohol in the last 12 months. </w:t>
      </w:r>
      <w:r w:rsidR="009679A0" w:rsidRPr="009679A0">
        <w:rPr>
          <w:rFonts w:asciiTheme="minorHAnsi" w:hAnsiTheme="minorHAnsi"/>
        </w:rPr>
        <w:t>Compared to p</w:t>
      </w:r>
      <w:r w:rsidRPr="009679A0">
        <w:rPr>
          <w:rFonts w:asciiTheme="minorHAnsi" w:hAnsiTheme="minorHAnsi"/>
        </w:rPr>
        <w:t>eople with no gambling problems</w:t>
      </w:r>
      <w:r w:rsidR="009679A0" w:rsidRPr="009679A0">
        <w:rPr>
          <w:rFonts w:asciiTheme="minorHAnsi" w:hAnsiTheme="minorHAnsi"/>
        </w:rPr>
        <w:t>, low-risk gamblers (OR 1.9) and moderate-risk/problem gamblers (OR 1.6) were more</w:t>
      </w:r>
      <w:r w:rsidRPr="009679A0">
        <w:rPr>
          <w:rFonts w:asciiTheme="minorHAnsi" w:hAnsiTheme="minorHAnsi"/>
        </w:rPr>
        <w:t xml:space="preserve"> likely to report alcohol use.</w:t>
      </w:r>
    </w:p>
    <w:p w14:paraId="1E7009A3" w14:textId="77777777" w:rsidR="00BE7D34" w:rsidRPr="00BE7D34" w:rsidRDefault="00C439E0" w:rsidP="004F129A">
      <w:pPr>
        <w:pStyle w:val="ListParagraph"/>
        <w:numPr>
          <w:ilvl w:val="1"/>
          <w:numId w:val="61"/>
        </w:numPr>
        <w:spacing w:after="200"/>
        <w:rPr>
          <w:rFonts w:asciiTheme="minorHAnsi" w:hAnsiTheme="minorHAnsi" w:cstheme="minorHAnsi"/>
        </w:rPr>
      </w:pPr>
      <w:r w:rsidRPr="00BE7D34">
        <w:rPr>
          <w:rFonts w:asciiTheme="minorHAnsi" w:hAnsiTheme="minorHAnsi" w:cstheme="minorHAnsi"/>
          <w:i/>
        </w:rPr>
        <w:t>Hazardous drinking behaviour:</w:t>
      </w:r>
      <w:r w:rsidR="00931EE2" w:rsidRPr="00BE7D34">
        <w:rPr>
          <w:rFonts w:asciiTheme="minorHAnsi" w:hAnsiTheme="minorHAnsi" w:cstheme="minorHAnsi"/>
          <w:i/>
        </w:rPr>
        <w:t xml:space="preserve"> </w:t>
      </w:r>
      <w:r w:rsidR="00BE7D34" w:rsidRPr="00BE7D34">
        <w:rPr>
          <w:rFonts w:asciiTheme="minorHAnsi" w:hAnsiTheme="minorHAnsi"/>
        </w:rPr>
        <w:t xml:space="preserve">Approximately 15% of the general population reported using alcohol at hazardous levels </w:t>
      </w:r>
      <w:r w:rsidR="00BE7D34" w:rsidRPr="00BE7D34">
        <w:rPr>
          <w:rFonts w:asciiTheme="minorHAnsi" w:hAnsiTheme="minorHAnsi" w:cstheme="minorHAnsi"/>
        </w:rPr>
        <w:t xml:space="preserve">(score of eight or more on the AUDIT) </w:t>
      </w:r>
      <w:r w:rsidR="00BE7D34" w:rsidRPr="00BE7D34">
        <w:rPr>
          <w:rFonts w:asciiTheme="minorHAnsi" w:hAnsiTheme="minorHAnsi"/>
        </w:rPr>
        <w:t xml:space="preserve">compared with one-third of low-risk (33%), and one-half of moderate-risk/problem (51%) gamblers. </w:t>
      </w:r>
      <w:r w:rsidR="00BE7D34">
        <w:rPr>
          <w:rFonts w:asciiTheme="minorHAnsi" w:hAnsiTheme="minorHAnsi"/>
        </w:rPr>
        <w:t xml:space="preserve"> </w:t>
      </w:r>
      <w:r w:rsidR="00931EE2" w:rsidRPr="00BE7D34">
        <w:rPr>
          <w:rFonts w:asciiTheme="minorHAnsi" w:hAnsiTheme="minorHAnsi" w:cstheme="minorHAnsi"/>
        </w:rPr>
        <w:t>Hazardous drinking behaviour was significantly associated with severity of gambling</w:t>
      </w:r>
      <w:r w:rsidR="00BE7D34" w:rsidRPr="00BE7D34">
        <w:rPr>
          <w:rFonts w:asciiTheme="minorHAnsi" w:hAnsiTheme="minorHAnsi" w:cstheme="minorHAnsi"/>
        </w:rPr>
        <w:t>:</w:t>
      </w:r>
      <w:r w:rsidR="00931EE2" w:rsidRPr="00BE7D34">
        <w:rPr>
          <w:rFonts w:asciiTheme="minorHAnsi" w:hAnsiTheme="minorHAnsi" w:cstheme="minorHAnsi"/>
        </w:rPr>
        <w:t xml:space="preserve"> </w:t>
      </w:r>
      <w:r w:rsidR="00BE7D34" w:rsidRPr="00BE7D34">
        <w:rPr>
          <w:rFonts w:asciiTheme="minorHAnsi" w:hAnsiTheme="minorHAnsi" w:cstheme="minorHAnsi"/>
        </w:rPr>
        <w:t xml:space="preserve">low-risk (OR 2.8) and moderate-risk/problem (OR 4.7) gamblers were more likely than people </w:t>
      </w:r>
      <w:r w:rsidR="009679A0">
        <w:rPr>
          <w:rFonts w:asciiTheme="minorHAnsi" w:hAnsiTheme="minorHAnsi" w:cstheme="minorHAnsi"/>
        </w:rPr>
        <w:t>with no gambling problems</w:t>
      </w:r>
      <w:r w:rsidR="00BE7D34" w:rsidRPr="00BE7D34">
        <w:rPr>
          <w:rFonts w:asciiTheme="minorHAnsi" w:hAnsiTheme="minorHAnsi" w:cstheme="minorHAnsi"/>
        </w:rPr>
        <w:t xml:space="preserve"> to report hazardous drinking behaviour. </w:t>
      </w:r>
    </w:p>
    <w:p w14:paraId="4B2E8144" w14:textId="77777777" w:rsidR="00931EE2" w:rsidRPr="00AE7457" w:rsidRDefault="00376BEF" w:rsidP="004F129A">
      <w:pPr>
        <w:pStyle w:val="ListParagraph"/>
        <w:numPr>
          <w:ilvl w:val="1"/>
          <w:numId w:val="61"/>
        </w:numPr>
        <w:spacing w:after="200"/>
        <w:rPr>
          <w:rFonts w:asciiTheme="minorHAnsi" w:hAnsiTheme="minorHAnsi" w:cstheme="minorHAnsi"/>
        </w:rPr>
      </w:pPr>
      <w:r>
        <w:rPr>
          <w:rFonts w:asciiTheme="minorHAnsi" w:hAnsiTheme="minorHAnsi" w:cstheme="minorHAnsi"/>
          <w:i/>
        </w:rPr>
        <w:t xml:space="preserve">Alcohol dependence: </w:t>
      </w:r>
      <w:r>
        <w:rPr>
          <w:rFonts w:asciiTheme="minorHAnsi" w:hAnsiTheme="minorHAnsi" w:cstheme="minorHAnsi"/>
        </w:rPr>
        <w:t xml:space="preserve">Alcohol dependence (score of 13 or more on the AUDIT) was </w:t>
      </w:r>
      <w:r w:rsidRPr="00931EE2">
        <w:rPr>
          <w:rFonts w:asciiTheme="minorHAnsi" w:hAnsiTheme="minorHAnsi" w:cstheme="minorHAnsi"/>
        </w:rPr>
        <w:t>significantly associated with severity of gambling.</w:t>
      </w:r>
      <w:r>
        <w:rPr>
          <w:rFonts w:asciiTheme="minorHAnsi" w:hAnsiTheme="minorHAnsi" w:cstheme="minorHAnsi"/>
        </w:rPr>
        <w:t xml:space="preserve">  </w:t>
      </w:r>
      <w:r>
        <w:rPr>
          <w:rFonts w:asciiTheme="minorHAnsi" w:hAnsiTheme="minorHAnsi"/>
        </w:rPr>
        <w:t>While five percent</w:t>
      </w:r>
      <w:r w:rsidRPr="00C9363C">
        <w:rPr>
          <w:rFonts w:asciiTheme="minorHAnsi" w:hAnsiTheme="minorHAnsi"/>
        </w:rPr>
        <w:t xml:space="preserve"> of the</w:t>
      </w:r>
      <w:r>
        <w:rPr>
          <w:rFonts w:asciiTheme="minorHAnsi" w:hAnsiTheme="minorHAnsi"/>
        </w:rPr>
        <w:t xml:space="preserve"> total adult</w:t>
      </w:r>
      <w:r w:rsidRPr="00C9363C">
        <w:rPr>
          <w:rFonts w:asciiTheme="minorHAnsi" w:hAnsiTheme="minorHAnsi"/>
        </w:rPr>
        <w:t xml:space="preserve"> population satisfied the</w:t>
      </w:r>
      <w:r>
        <w:rPr>
          <w:rFonts w:asciiTheme="minorHAnsi" w:hAnsiTheme="minorHAnsi"/>
        </w:rPr>
        <w:t xml:space="preserve"> AUDIT</w:t>
      </w:r>
      <w:r w:rsidRPr="00C9363C">
        <w:rPr>
          <w:rFonts w:asciiTheme="minorHAnsi" w:hAnsiTheme="minorHAnsi"/>
        </w:rPr>
        <w:t xml:space="preserve"> criteria for alcohol dependence</w:t>
      </w:r>
      <w:r>
        <w:rPr>
          <w:rFonts w:asciiTheme="minorHAnsi" w:hAnsiTheme="minorHAnsi"/>
        </w:rPr>
        <w:t>, t</w:t>
      </w:r>
      <w:r w:rsidRPr="00C9363C">
        <w:rPr>
          <w:rFonts w:asciiTheme="minorHAnsi" w:hAnsiTheme="minorHAnsi"/>
        </w:rPr>
        <w:t xml:space="preserve">his rose to </w:t>
      </w:r>
      <w:r>
        <w:rPr>
          <w:rFonts w:asciiTheme="minorHAnsi" w:hAnsiTheme="minorHAnsi"/>
        </w:rPr>
        <w:t xml:space="preserve">10.7% for low-risk and </w:t>
      </w:r>
      <w:r w:rsidRPr="00C9363C">
        <w:rPr>
          <w:rFonts w:asciiTheme="minorHAnsi" w:hAnsiTheme="minorHAnsi"/>
        </w:rPr>
        <w:t xml:space="preserve">29.2% </w:t>
      </w:r>
      <w:r>
        <w:rPr>
          <w:rFonts w:asciiTheme="minorHAnsi" w:hAnsiTheme="minorHAnsi"/>
        </w:rPr>
        <w:t>for moderate-risk/problem gamblers.</w:t>
      </w:r>
      <w:r w:rsidR="00BE7D34">
        <w:rPr>
          <w:rFonts w:asciiTheme="minorHAnsi" w:hAnsiTheme="minorHAnsi"/>
        </w:rPr>
        <w:t xml:space="preserve">  </w:t>
      </w:r>
      <w:r w:rsidR="00521854">
        <w:rPr>
          <w:rFonts w:asciiTheme="minorHAnsi" w:hAnsiTheme="minorHAnsi"/>
        </w:rPr>
        <w:t xml:space="preserve">Low-risk gamblers were twice (OR 2.0) and moderate-risk gamblers six (OR 6.3) times as likely as those with no gambling problems to satisfy criteria for alcohol dependence. </w:t>
      </w:r>
    </w:p>
    <w:p w14:paraId="5221D961" w14:textId="77777777" w:rsidR="008731A1" w:rsidRDefault="008731A1">
      <w:pPr>
        <w:spacing w:before="0" w:after="200" w:line="276" w:lineRule="auto"/>
        <w:jc w:val="left"/>
        <w:rPr>
          <w:rFonts w:asciiTheme="minorHAnsi" w:eastAsia="Calibri" w:hAnsiTheme="minorHAnsi"/>
          <w:szCs w:val="22"/>
        </w:rPr>
      </w:pPr>
      <w:r>
        <w:rPr>
          <w:rFonts w:asciiTheme="minorHAnsi" w:hAnsiTheme="minorHAnsi"/>
        </w:rPr>
        <w:br w:type="page"/>
      </w:r>
    </w:p>
    <w:p w14:paraId="779D499C" w14:textId="77777777" w:rsidR="00D77F65" w:rsidRPr="00C439E0" w:rsidRDefault="00D77F65" w:rsidP="004F129A">
      <w:pPr>
        <w:pStyle w:val="ListParagraph"/>
        <w:numPr>
          <w:ilvl w:val="0"/>
          <w:numId w:val="61"/>
        </w:numPr>
        <w:spacing w:after="200"/>
        <w:rPr>
          <w:rFonts w:asciiTheme="minorHAnsi" w:hAnsiTheme="minorHAnsi" w:cstheme="minorHAnsi"/>
        </w:rPr>
      </w:pPr>
      <w:r>
        <w:rPr>
          <w:rFonts w:asciiTheme="minorHAnsi" w:hAnsiTheme="minorHAnsi"/>
        </w:rPr>
        <w:lastRenderedPageBreak/>
        <w:t>Smoking:</w:t>
      </w:r>
    </w:p>
    <w:p w14:paraId="681DCAAC" w14:textId="77777777" w:rsidR="00D77F65" w:rsidRPr="00D77F65" w:rsidRDefault="00D77F65" w:rsidP="004F129A">
      <w:pPr>
        <w:pStyle w:val="ListParagraph"/>
        <w:numPr>
          <w:ilvl w:val="1"/>
          <w:numId w:val="61"/>
        </w:numPr>
        <w:spacing w:after="200"/>
        <w:rPr>
          <w:rFonts w:asciiTheme="minorHAnsi" w:hAnsiTheme="minorHAnsi" w:cstheme="minorHAnsi"/>
        </w:rPr>
      </w:pPr>
      <w:r w:rsidRPr="00D77F65">
        <w:rPr>
          <w:rFonts w:asciiTheme="minorHAnsi" w:hAnsiTheme="minorHAnsi"/>
        </w:rPr>
        <w:t xml:space="preserve">The association between current smoking and gambling status was significant. </w:t>
      </w:r>
      <w:r>
        <w:rPr>
          <w:rFonts w:asciiTheme="minorHAnsi" w:hAnsiTheme="minorHAnsi"/>
        </w:rPr>
        <w:t xml:space="preserve"> </w:t>
      </w:r>
      <w:r w:rsidRPr="00D77F65">
        <w:rPr>
          <w:rFonts w:asciiTheme="minorHAnsi" w:hAnsiTheme="minorHAnsi"/>
        </w:rPr>
        <w:t>Low-risk gamblers were three (OR 3.0) and moderate-risk/problem gamblers four (OR 4.2) times more likely than people with</w:t>
      </w:r>
      <w:r w:rsidR="009679A0">
        <w:rPr>
          <w:rFonts w:asciiTheme="minorHAnsi" w:hAnsiTheme="minorHAnsi"/>
        </w:rPr>
        <w:t xml:space="preserve"> no gambling problems</w:t>
      </w:r>
      <w:r w:rsidRPr="00D77F65">
        <w:rPr>
          <w:rFonts w:asciiTheme="minorHAnsi" w:hAnsiTheme="minorHAnsi"/>
        </w:rPr>
        <w:t xml:space="preserve"> to be current smokers.</w:t>
      </w:r>
    </w:p>
    <w:p w14:paraId="59F522FE" w14:textId="77777777" w:rsidR="00AE7457" w:rsidRPr="00D77F65" w:rsidRDefault="00D77F65" w:rsidP="004F129A">
      <w:pPr>
        <w:pStyle w:val="ListParagraph"/>
        <w:keepNext/>
        <w:numPr>
          <w:ilvl w:val="0"/>
          <w:numId w:val="61"/>
        </w:numPr>
        <w:spacing w:after="200"/>
        <w:ind w:left="357" w:hanging="357"/>
        <w:rPr>
          <w:rFonts w:asciiTheme="minorHAnsi" w:hAnsiTheme="minorHAnsi" w:cstheme="minorHAnsi"/>
        </w:rPr>
      </w:pPr>
      <w:r>
        <w:rPr>
          <w:rFonts w:asciiTheme="minorHAnsi" w:hAnsiTheme="minorHAnsi"/>
        </w:rPr>
        <w:t xml:space="preserve">Drug use: </w:t>
      </w:r>
    </w:p>
    <w:p w14:paraId="2C4C4371" w14:textId="77777777" w:rsidR="00D77F65" w:rsidRPr="006C33CC" w:rsidRDefault="00C26151" w:rsidP="004F129A">
      <w:pPr>
        <w:pStyle w:val="ListParagraph"/>
        <w:numPr>
          <w:ilvl w:val="1"/>
          <w:numId w:val="61"/>
        </w:numPr>
        <w:spacing w:after="200"/>
        <w:rPr>
          <w:rFonts w:asciiTheme="minorHAnsi" w:hAnsiTheme="minorHAnsi" w:cstheme="minorHAnsi"/>
        </w:rPr>
      </w:pPr>
      <w:r>
        <w:rPr>
          <w:rFonts w:asciiTheme="minorHAnsi" w:hAnsiTheme="minorHAnsi"/>
        </w:rPr>
        <w:t xml:space="preserve">The relationship between overall drug use and gambling was significant: low-risk gamblers were three (OR 2.7) and moderate-risk/problem gamblers four (OR 3.7) times more likely than people with no gambling problems to have used other drugs in the past year. </w:t>
      </w:r>
    </w:p>
    <w:p w14:paraId="04C3FF60" w14:textId="77777777" w:rsidR="006C33CC" w:rsidRPr="006C33CC" w:rsidRDefault="006C33CC" w:rsidP="004F129A">
      <w:pPr>
        <w:pStyle w:val="ListParagraph"/>
        <w:numPr>
          <w:ilvl w:val="1"/>
          <w:numId w:val="61"/>
        </w:numPr>
        <w:spacing w:after="200"/>
        <w:rPr>
          <w:rFonts w:asciiTheme="minorHAnsi" w:hAnsiTheme="minorHAnsi"/>
        </w:rPr>
      </w:pPr>
      <w:r w:rsidRPr="006C33CC">
        <w:rPr>
          <w:rFonts w:asciiTheme="minorHAnsi" w:hAnsiTheme="minorHAnsi"/>
        </w:rPr>
        <w:t>Use of cannabis was significantly associated with th</w:t>
      </w:r>
      <w:r>
        <w:rPr>
          <w:rFonts w:asciiTheme="minorHAnsi" w:hAnsiTheme="minorHAnsi"/>
        </w:rPr>
        <w:t>e severity of gambling problems</w:t>
      </w:r>
      <w:r w:rsidRPr="006C33CC">
        <w:rPr>
          <w:rFonts w:asciiTheme="minorHAnsi" w:hAnsiTheme="minorHAnsi"/>
        </w:rPr>
        <w:t xml:space="preserve">: compared with people with no gambling problems, both low-risk and moderate-risk/problem gamblers were more than two and a half times as likely to have used cannabis in the past 12 months (OR 2.6 and OR 2.7 respectively).  </w:t>
      </w:r>
    </w:p>
    <w:p w14:paraId="6E28B7A0" w14:textId="77777777" w:rsidR="006C33CC" w:rsidRPr="006C33CC" w:rsidRDefault="006C33CC" w:rsidP="004F129A">
      <w:pPr>
        <w:pStyle w:val="ListParagraph"/>
        <w:numPr>
          <w:ilvl w:val="1"/>
          <w:numId w:val="61"/>
        </w:numPr>
        <w:spacing w:after="200"/>
        <w:rPr>
          <w:rFonts w:asciiTheme="minorHAnsi" w:hAnsiTheme="minorHAnsi"/>
        </w:rPr>
      </w:pPr>
      <w:r w:rsidRPr="006C33CC">
        <w:rPr>
          <w:rFonts w:asciiTheme="minorHAnsi" w:hAnsiTheme="minorHAnsi"/>
        </w:rPr>
        <w:t xml:space="preserve">There was a significant relationship between use of other drugs and gambling status.  Compared with adults with no gambling problems, low-risk and moderate-risk/problem gamblers were nearly three (OR 2.7) and seven (OR 6.9) times more likely to have used other drugs in the last year.  </w:t>
      </w:r>
    </w:p>
    <w:p w14:paraId="2B196658" w14:textId="77777777" w:rsidR="005B0A1C" w:rsidRPr="00E710AE" w:rsidRDefault="005B0A1C" w:rsidP="00E710AE">
      <w:pPr>
        <w:spacing w:line="360" w:lineRule="auto"/>
        <w:rPr>
          <w:rFonts w:asciiTheme="minorHAnsi" w:hAnsiTheme="minorHAnsi" w:cstheme="minorHAnsi"/>
          <w:b/>
          <w:color w:val="1F497D"/>
        </w:rPr>
      </w:pPr>
      <w:r w:rsidRPr="00E710AE">
        <w:rPr>
          <w:rFonts w:asciiTheme="minorHAnsi" w:hAnsiTheme="minorHAnsi" w:cstheme="minorHAnsi"/>
          <w:b/>
          <w:color w:val="1F497D"/>
        </w:rPr>
        <w:t>Health and gambling:</w:t>
      </w:r>
    </w:p>
    <w:p w14:paraId="08780322" w14:textId="77777777" w:rsidR="00E710AE" w:rsidRPr="00E710AE" w:rsidRDefault="00E710AE" w:rsidP="004F129A">
      <w:pPr>
        <w:pStyle w:val="ListParagraph"/>
        <w:numPr>
          <w:ilvl w:val="0"/>
          <w:numId w:val="61"/>
        </w:numPr>
        <w:spacing w:after="200"/>
        <w:rPr>
          <w:rFonts w:asciiTheme="minorHAnsi" w:hAnsiTheme="minorHAnsi" w:cstheme="minorHAnsi"/>
        </w:rPr>
      </w:pPr>
      <w:r>
        <w:rPr>
          <w:rFonts w:asciiTheme="minorHAnsi" w:hAnsiTheme="minorHAnsi"/>
        </w:rPr>
        <w:t>Self-rated health:</w:t>
      </w:r>
    </w:p>
    <w:p w14:paraId="7F1CD590" w14:textId="77777777" w:rsidR="00D268F8" w:rsidRPr="00D268F8" w:rsidRDefault="00D268F8" w:rsidP="004F129A">
      <w:pPr>
        <w:pStyle w:val="ListParagraph"/>
        <w:numPr>
          <w:ilvl w:val="1"/>
          <w:numId w:val="61"/>
        </w:numPr>
        <w:rPr>
          <w:rFonts w:asciiTheme="minorHAnsi" w:hAnsiTheme="minorHAnsi"/>
        </w:rPr>
      </w:pPr>
      <w:r w:rsidRPr="00D268F8">
        <w:rPr>
          <w:rFonts w:asciiTheme="minorHAnsi" w:hAnsiTheme="minorHAnsi"/>
        </w:rPr>
        <w:t xml:space="preserve">People with increased severity of gambling problems reported lower levels of functioning in all of the SF-12 health domains.  This trend was particularly strong for the domains of general health (GH), vitality (VT), social functioning (SF), role limitation – emotional (RE), and mental health (MH).  A trend was also observed in relation to gambling status and Summary Physical (SPH) and Mental (SMH) Health scores: </w:t>
      </w:r>
      <w:r w:rsidR="00C5179B">
        <w:rPr>
          <w:rFonts w:asciiTheme="minorHAnsi" w:hAnsiTheme="minorHAnsi"/>
        </w:rPr>
        <w:t xml:space="preserve">respondents </w:t>
      </w:r>
      <w:r w:rsidRPr="00D268F8">
        <w:rPr>
          <w:rFonts w:asciiTheme="minorHAnsi" w:hAnsiTheme="minorHAnsi"/>
        </w:rPr>
        <w:t>with increasing severity of gambling problems were more likely to report lower levels of functioning in these summary domains.</w:t>
      </w:r>
    </w:p>
    <w:p w14:paraId="1039E795" w14:textId="77777777" w:rsidR="00D501CA" w:rsidRPr="00D501CA" w:rsidRDefault="00D501CA" w:rsidP="004F129A">
      <w:pPr>
        <w:pStyle w:val="ListParagraph"/>
        <w:numPr>
          <w:ilvl w:val="1"/>
          <w:numId w:val="61"/>
        </w:numPr>
        <w:spacing w:after="200"/>
        <w:rPr>
          <w:rFonts w:asciiTheme="minorHAnsi" w:hAnsiTheme="minorHAnsi"/>
        </w:rPr>
      </w:pPr>
      <w:r w:rsidRPr="00D501CA">
        <w:rPr>
          <w:rFonts w:asciiTheme="minorHAnsi" w:hAnsiTheme="minorHAnsi"/>
        </w:rPr>
        <w:lastRenderedPageBreak/>
        <w:t>Gambling status was significantly associated with fair</w:t>
      </w:r>
      <w:r w:rsidR="00D268F8">
        <w:rPr>
          <w:rFonts w:asciiTheme="minorHAnsi" w:hAnsiTheme="minorHAnsi"/>
        </w:rPr>
        <w:t>/</w:t>
      </w:r>
      <w:r w:rsidRPr="00D501CA">
        <w:rPr>
          <w:rFonts w:asciiTheme="minorHAnsi" w:hAnsiTheme="minorHAnsi"/>
        </w:rPr>
        <w:t xml:space="preserve">poor self-rated health.  </w:t>
      </w:r>
      <w:r>
        <w:rPr>
          <w:rFonts w:asciiTheme="minorHAnsi" w:hAnsiTheme="minorHAnsi"/>
        </w:rPr>
        <w:t>Moderate-risk/problem gamblers were 2.5 times more likely (OR 2.5) to report fair or poor health than those with no gambling problems.</w:t>
      </w:r>
    </w:p>
    <w:p w14:paraId="1875F2C2" w14:textId="77777777" w:rsidR="00B21F5B" w:rsidRDefault="00D501CA" w:rsidP="004F129A">
      <w:pPr>
        <w:pStyle w:val="ListParagraph"/>
        <w:numPr>
          <w:ilvl w:val="0"/>
          <w:numId w:val="61"/>
        </w:numPr>
        <w:spacing w:after="200"/>
        <w:rPr>
          <w:rFonts w:asciiTheme="minorHAnsi" w:hAnsiTheme="minorHAnsi"/>
        </w:rPr>
      </w:pPr>
      <w:r w:rsidRPr="00D501CA">
        <w:rPr>
          <w:rFonts w:asciiTheme="minorHAnsi" w:hAnsiTheme="minorHAnsi"/>
        </w:rPr>
        <w:t xml:space="preserve"> </w:t>
      </w:r>
      <w:r>
        <w:rPr>
          <w:rFonts w:asciiTheme="minorHAnsi" w:hAnsiTheme="minorHAnsi"/>
        </w:rPr>
        <w:t xml:space="preserve">Psychological distress:  </w:t>
      </w:r>
    </w:p>
    <w:p w14:paraId="7FEEB5B8" w14:textId="77777777" w:rsidR="00D501CA" w:rsidRDefault="00D501CA" w:rsidP="004F129A">
      <w:pPr>
        <w:pStyle w:val="ListParagraph"/>
        <w:numPr>
          <w:ilvl w:val="1"/>
          <w:numId w:val="61"/>
        </w:numPr>
        <w:spacing w:after="200"/>
        <w:rPr>
          <w:rFonts w:asciiTheme="minorHAnsi" w:hAnsiTheme="minorHAnsi"/>
        </w:rPr>
      </w:pPr>
      <w:r>
        <w:rPr>
          <w:rFonts w:asciiTheme="minorHAnsi" w:hAnsiTheme="minorHAnsi"/>
        </w:rPr>
        <w:t>A significant association was observed between gambling status and a high/very high probability of an anxiety or depressive disorder.</w:t>
      </w:r>
      <w:r w:rsidR="00702341">
        <w:rPr>
          <w:rFonts w:asciiTheme="minorHAnsi" w:hAnsiTheme="minorHAnsi"/>
        </w:rPr>
        <w:t xml:space="preserve"> The odds of an anxiety or depressive disorder rose with gambling symptom severity: low-risk gamblers were twice as likely (OR 2.1) and moderate-risk/problem gamblers were nearly six times as likely (OR 5.7) as adults with no gambling </w:t>
      </w:r>
      <w:r w:rsidR="00004C86">
        <w:rPr>
          <w:rFonts w:asciiTheme="minorHAnsi" w:hAnsiTheme="minorHAnsi"/>
        </w:rPr>
        <w:t>problems to</w:t>
      </w:r>
      <w:r w:rsidR="00702341">
        <w:rPr>
          <w:rFonts w:asciiTheme="minorHAnsi" w:hAnsiTheme="minorHAnsi"/>
        </w:rPr>
        <w:t xml:space="preserve"> have an anxiety or depressive disorder.</w:t>
      </w:r>
    </w:p>
    <w:p w14:paraId="03BE4B5C" w14:textId="77777777" w:rsidR="008028FA" w:rsidRDefault="00552A53" w:rsidP="004F129A">
      <w:pPr>
        <w:pStyle w:val="ListParagraph"/>
        <w:numPr>
          <w:ilvl w:val="0"/>
          <w:numId w:val="61"/>
        </w:numPr>
        <w:spacing w:after="200"/>
        <w:rPr>
          <w:rFonts w:asciiTheme="minorHAnsi" w:hAnsiTheme="minorHAnsi"/>
        </w:rPr>
      </w:pPr>
      <w:r>
        <w:rPr>
          <w:rFonts w:asciiTheme="minorHAnsi" w:hAnsiTheme="minorHAnsi"/>
        </w:rPr>
        <w:t>Diagnosis of a common mental health disorder by a doctor:</w:t>
      </w:r>
    </w:p>
    <w:p w14:paraId="365DB11C" w14:textId="77777777" w:rsidR="008028FA" w:rsidRPr="008028FA" w:rsidRDefault="008028FA" w:rsidP="004F129A">
      <w:pPr>
        <w:pStyle w:val="ListParagraph"/>
        <w:numPr>
          <w:ilvl w:val="1"/>
          <w:numId w:val="61"/>
        </w:numPr>
        <w:spacing w:after="200"/>
        <w:rPr>
          <w:rFonts w:asciiTheme="minorHAnsi" w:hAnsiTheme="minorHAnsi"/>
        </w:rPr>
      </w:pPr>
      <w:r w:rsidRPr="008028FA">
        <w:rPr>
          <w:rFonts w:asciiTheme="minorHAnsi" w:hAnsiTheme="minorHAnsi"/>
        </w:rPr>
        <w:t>Gambling status was significantly</w:t>
      </w:r>
      <w:r>
        <w:rPr>
          <w:rFonts w:asciiTheme="minorHAnsi" w:hAnsiTheme="minorHAnsi"/>
        </w:rPr>
        <w:t xml:space="preserve"> associated with a diagnosis of</w:t>
      </w:r>
      <w:r w:rsidR="008076B9">
        <w:rPr>
          <w:rFonts w:asciiTheme="minorHAnsi" w:hAnsiTheme="minorHAnsi"/>
        </w:rPr>
        <w:t xml:space="preserve"> any</w:t>
      </w:r>
      <w:r w:rsidRPr="008028FA">
        <w:rPr>
          <w:rFonts w:asciiTheme="minorHAnsi" w:hAnsiTheme="minorHAnsi"/>
        </w:rPr>
        <w:t xml:space="preserve"> common mental disorder</w:t>
      </w:r>
      <w:r w:rsidR="008076B9">
        <w:rPr>
          <w:rFonts w:asciiTheme="minorHAnsi" w:hAnsiTheme="minorHAnsi"/>
        </w:rPr>
        <w:t xml:space="preserve"> (i.e. depression, bipolar disorder or anxiety disorder) </w:t>
      </w:r>
      <w:r w:rsidRPr="008028FA">
        <w:rPr>
          <w:rFonts w:asciiTheme="minorHAnsi" w:hAnsiTheme="minorHAnsi"/>
        </w:rPr>
        <w:t xml:space="preserve">and </w:t>
      </w:r>
      <w:r w:rsidR="008076B9">
        <w:rPr>
          <w:rFonts w:asciiTheme="minorHAnsi" w:hAnsiTheme="minorHAnsi"/>
        </w:rPr>
        <w:t xml:space="preserve">a diagnosis of </w:t>
      </w:r>
      <w:r w:rsidRPr="008028FA">
        <w:rPr>
          <w:rFonts w:asciiTheme="minorHAnsi" w:hAnsiTheme="minorHAnsi"/>
        </w:rPr>
        <w:t xml:space="preserve">depression.  The likelihood of these issues increased with the severity of gambling problems: </w:t>
      </w:r>
    </w:p>
    <w:p w14:paraId="43604AD9" w14:textId="77777777" w:rsidR="008076B9" w:rsidRDefault="008028FA" w:rsidP="004F129A">
      <w:pPr>
        <w:pStyle w:val="ListParagraph"/>
        <w:numPr>
          <w:ilvl w:val="2"/>
          <w:numId w:val="61"/>
        </w:numPr>
        <w:rPr>
          <w:rFonts w:asciiTheme="minorHAnsi" w:hAnsiTheme="minorHAnsi"/>
        </w:rPr>
      </w:pPr>
      <w:r w:rsidRPr="008076B9">
        <w:rPr>
          <w:rFonts w:asciiTheme="minorHAnsi" w:hAnsiTheme="minorHAnsi"/>
        </w:rPr>
        <w:t xml:space="preserve">Moderate-risk/problem  gamblers were </w:t>
      </w:r>
      <w:r w:rsidR="008076B9" w:rsidRPr="008076B9">
        <w:rPr>
          <w:rFonts w:asciiTheme="minorHAnsi" w:hAnsiTheme="minorHAnsi"/>
        </w:rPr>
        <w:t>nearly three times</w:t>
      </w:r>
      <w:r w:rsidRPr="008076B9">
        <w:rPr>
          <w:rFonts w:asciiTheme="minorHAnsi" w:hAnsiTheme="minorHAnsi"/>
        </w:rPr>
        <w:t xml:space="preserve"> </w:t>
      </w:r>
      <w:r w:rsidR="008076B9" w:rsidRPr="008076B9">
        <w:rPr>
          <w:rFonts w:asciiTheme="minorHAnsi" w:hAnsiTheme="minorHAnsi"/>
        </w:rPr>
        <w:t xml:space="preserve">(OR 2.7) </w:t>
      </w:r>
      <w:r w:rsidRPr="008076B9">
        <w:rPr>
          <w:rFonts w:asciiTheme="minorHAnsi" w:hAnsiTheme="minorHAnsi"/>
        </w:rPr>
        <w:t>more likely</w:t>
      </w:r>
      <w:r w:rsidR="008076B9" w:rsidRPr="008076B9">
        <w:rPr>
          <w:rFonts w:asciiTheme="minorHAnsi" w:hAnsiTheme="minorHAnsi"/>
        </w:rPr>
        <w:t xml:space="preserve"> than those with no gambling problems </w:t>
      </w:r>
      <w:r w:rsidRPr="008076B9">
        <w:rPr>
          <w:rFonts w:asciiTheme="minorHAnsi" w:hAnsiTheme="minorHAnsi"/>
        </w:rPr>
        <w:t>to be diagnosed with any common mental disorder</w:t>
      </w:r>
      <w:r w:rsidR="008076B9">
        <w:rPr>
          <w:rFonts w:asciiTheme="minorHAnsi" w:hAnsiTheme="minorHAnsi"/>
        </w:rPr>
        <w:t xml:space="preserve">; and, </w:t>
      </w:r>
      <w:r w:rsidRPr="008076B9">
        <w:rPr>
          <w:rFonts w:asciiTheme="minorHAnsi" w:hAnsiTheme="minorHAnsi"/>
        </w:rPr>
        <w:t xml:space="preserve"> </w:t>
      </w:r>
    </w:p>
    <w:p w14:paraId="60245234" w14:textId="77777777" w:rsidR="008028FA" w:rsidRPr="008076B9" w:rsidRDefault="008028FA" w:rsidP="004F129A">
      <w:pPr>
        <w:pStyle w:val="ListParagraph"/>
        <w:numPr>
          <w:ilvl w:val="2"/>
          <w:numId w:val="61"/>
        </w:numPr>
        <w:rPr>
          <w:rFonts w:asciiTheme="minorHAnsi" w:hAnsiTheme="minorHAnsi"/>
        </w:rPr>
      </w:pPr>
      <w:r w:rsidRPr="008076B9">
        <w:rPr>
          <w:rFonts w:asciiTheme="minorHAnsi" w:hAnsiTheme="minorHAnsi"/>
        </w:rPr>
        <w:t xml:space="preserve">Moderate-risk/problem </w:t>
      </w:r>
      <w:r w:rsidR="008076B9" w:rsidRPr="008076B9">
        <w:rPr>
          <w:rFonts w:asciiTheme="minorHAnsi" w:hAnsiTheme="minorHAnsi"/>
        </w:rPr>
        <w:t>g</w:t>
      </w:r>
      <w:r w:rsidRPr="008076B9">
        <w:rPr>
          <w:rFonts w:asciiTheme="minorHAnsi" w:hAnsiTheme="minorHAnsi"/>
        </w:rPr>
        <w:t xml:space="preserve">amblers were </w:t>
      </w:r>
      <w:r w:rsidR="008076B9" w:rsidRPr="008076B9">
        <w:rPr>
          <w:rFonts w:asciiTheme="minorHAnsi" w:hAnsiTheme="minorHAnsi"/>
        </w:rPr>
        <w:t>three times (OR 3.0)</w:t>
      </w:r>
      <w:r w:rsidRPr="008076B9">
        <w:rPr>
          <w:rFonts w:asciiTheme="minorHAnsi" w:hAnsiTheme="minorHAnsi"/>
        </w:rPr>
        <w:t xml:space="preserve"> more likely </w:t>
      </w:r>
      <w:r w:rsidR="008076B9" w:rsidRPr="008076B9">
        <w:rPr>
          <w:rFonts w:asciiTheme="minorHAnsi" w:hAnsiTheme="minorHAnsi"/>
        </w:rPr>
        <w:t xml:space="preserve">than </w:t>
      </w:r>
      <w:r w:rsidR="00E32228">
        <w:rPr>
          <w:rFonts w:asciiTheme="minorHAnsi" w:hAnsiTheme="minorHAnsi"/>
        </w:rPr>
        <w:t>those with no gambling problems</w:t>
      </w:r>
      <w:r w:rsidR="008076B9" w:rsidRPr="008076B9">
        <w:rPr>
          <w:rFonts w:asciiTheme="minorHAnsi" w:hAnsiTheme="minorHAnsi"/>
        </w:rPr>
        <w:t xml:space="preserve"> </w:t>
      </w:r>
      <w:r w:rsidR="008076B9">
        <w:rPr>
          <w:rFonts w:asciiTheme="minorHAnsi" w:hAnsiTheme="minorHAnsi"/>
        </w:rPr>
        <w:t xml:space="preserve">to be diagnosed with depression. </w:t>
      </w:r>
    </w:p>
    <w:p w14:paraId="6C7279E4" w14:textId="77777777" w:rsidR="0001618B" w:rsidRDefault="0001618B" w:rsidP="0001618B">
      <w:pPr>
        <w:spacing w:line="360" w:lineRule="auto"/>
        <w:rPr>
          <w:rFonts w:asciiTheme="minorHAnsi" w:hAnsiTheme="minorHAnsi" w:cstheme="minorHAnsi"/>
          <w:b/>
          <w:color w:val="1F497D"/>
        </w:rPr>
      </w:pPr>
      <w:r>
        <w:rPr>
          <w:rFonts w:asciiTheme="minorHAnsi" w:hAnsiTheme="minorHAnsi" w:cstheme="minorHAnsi"/>
          <w:b/>
          <w:color w:val="1F497D"/>
        </w:rPr>
        <w:t>Use of health services</w:t>
      </w:r>
      <w:r w:rsidRPr="0001618B">
        <w:rPr>
          <w:rFonts w:asciiTheme="minorHAnsi" w:hAnsiTheme="minorHAnsi" w:cstheme="minorHAnsi"/>
          <w:b/>
          <w:color w:val="1F497D"/>
        </w:rPr>
        <w:t xml:space="preserve"> and gambling:</w:t>
      </w:r>
    </w:p>
    <w:p w14:paraId="7EBB1A55" w14:textId="77777777" w:rsidR="006E2A07" w:rsidRPr="00A81A58" w:rsidRDefault="006E2A07" w:rsidP="004F129A">
      <w:pPr>
        <w:pStyle w:val="ListParagraph"/>
        <w:numPr>
          <w:ilvl w:val="0"/>
          <w:numId w:val="61"/>
        </w:numPr>
        <w:spacing w:after="200"/>
        <w:rPr>
          <w:rFonts w:asciiTheme="minorHAnsi" w:hAnsiTheme="minorHAnsi"/>
        </w:rPr>
      </w:pPr>
      <w:r>
        <w:rPr>
          <w:rFonts w:asciiTheme="minorHAnsi" w:hAnsiTheme="minorHAnsi"/>
        </w:rPr>
        <w:t xml:space="preserve">General practitioner </w:t>
      </w:r>
      <w:r w:rsidR="00E136CF">
        <w:rPr>
          <w:rFonts w:asciiTheme="minorHAnsi" w:hAnsiTheme="minorHAnsi"/>
        </w:rPr>
        <w:t xml:space="preserve">(GP) </w:t>
      </w:r>
      <w:r>
        <w:rPr>
          <w:rFonts w:asciiTheme="minorHAnsi" w:hAnsiTheme="minorHAnsi"/>
        </w:rPr>
        <w:t>use:</w:t>
      </w:r>
    </w:p>
    <w:p w14:paraId="6AEE2E7B" w14:textId="77777777" w:rsidR="008731A1" w:rsidRPr="00A81A58" w:rsidRDefault="006E2A07" w:rsidP="00A81A58">
      <w:pPr>
        <w:pStyle w:val="ListParagraph"/>
        <w:numPr>
          <w:ilvl w:val="1"/>
          <w:numId w:val="61"/>
        </w:numPr>
        <w:spacing w:after="200"/>
        <w:rPr>
          <w:rFonts w:asciiTheme="minorHAnsi" w:hAnsiTheme="minorHAnsi" w:cstheme="minorHAnsi"/>
        </w:rPr>
      </w:pPr>
      <w:r>
        <w:rPr>
          <w:rFonts w:asciiTheme="minorHAnsi" w:hAnsiTheme="minorHAnsi"/>
        </w:rPr>
        <w:t xml:space="preserve">The association between gambling status and past-year visits to a GP was significant, with moderate-risk/problem gamblers being twice (OR 2.0) as likely as those with no gambling </w:t>
      </w:r>
      <w:r w:rsidR="00004C86">
        <w:rPr>
          <w:rFonts w:asciiTheme="minorHAnsi" w:hAnsiTheme="minorHAnsi"/>
        </w:rPr>
        <w:t>problems to</w:t>
      </w:r>
      <w:r>
        <w:rPr>
          <w:rFonts w:asciiTheme="minorHAnsi" w:hAnsiTheme="minorHAnsi"/>
        </w:rPr>
        <w:t xml:space="preserve"> have consulted a GP.</w:t>
      </w:r>
    </w:p>
    <w:p w14:paraId="4E7A0B69" w14:textId="77777777" w:rsidR="006E2A07" w:rsidRPr="00FD3667" w:rsidRDefault="00FD3667" w:rsidP="00A81A58">
      <w:pPr>
        <w:pStyle w:val="ListParagraph"/>
        <w:keepNext/>
        <w:numPr>
          <w:ilvl w:val="0"/>
          <w:numId w:val="61"/>
        </w:numPr>
        <w:spacing w:after="200"/>
        <w:ind w:left="357" w:hanging="357"/>
        <w:rPr>
          <w:rFonts w:asciiTheme="minorHAnsi" w:hAnsiTheme="minorHAnsi" w:cstheme="minorHAnsi"/>
        </w:rPr>
      </w:pPr>
      <w:r>
        <w:rPr>
          <w:rFonts w:asciiTheme="minorHAnsi" w:hAnsiTheme="minorHAnsi"/>
        </w:rPr>
        <w:lastRenderedPageBreak/>
        <w:t xml:space="preserve">General practitioner use – unmet needs: </w:t>
      </w:r>
    </w:p>
    <w:p w14:paraId="3B14962F" w14:textId="77777777" w:rsidR="00FD3667" w:rsidRPr="00290418" w:rsidRDefault="00FD3667" w:rsidP="004F129A">
      <w:pPr>
        <w:pStyle w:val="ListParagraph"/>
        <w:numPr>
          <w:ilvl w:val="1"/>
          <w:numId w:val="61"/>
        </w:numPr>
        <w:spacing w:after="200"/>
        <w:rPr>
          <w:rFonts w:asciiTheme="minorHAnsi" w:hAnsiTheme="minorHAnsi" w:cstheme="minorHAnsi"/>
        </w:rPr>
      </w:pPr>
      <w:r>
        <w:rPr>
          <w:rFonts w:asciiTheme="minorHAnsi" w:hAnsiTheme="minorHAnsi"/>
        </w:rPr>
        <w:t>There was a significant association</w:t>
      </w:r>
      <w:r w:rsidR="00C112C3">
        <w:rPr>
          <w:rFonts w:asciiTheme="minorHAnsi" w:hAnsiTheme="minorHAnsi"/>
        </w:rPr>
        <w:t xml:space="preserve"> </w:t>
      </w:r>
      <w:r>
        <w:rPr>
          <w:rFonts w:asciiTheme="minorHAnsi" w:hAnsiTheme="minorHAnsi"/>
        </w:rPr>
        <w:t>between unmet health needs</w:t>
      </w:r>
      <w:r w:rsidR="00C112C3">
        <w:rPr>
          <w:rFonts w:asciiTheme="minorHAnsi" w:hAnsiTheme="minorHAnsi"/>
        </w:rPr>
        <w:t xml:space="preserve"> (not being able to see a GP when they needed to)</w:t>
      </w:r>
      <w:r>
        <w:rPr>
          <w:rFonts w:asciiTheme="minorHAnsi" w:hAnsiTheme="minorHAnsi"/>
        </w:rPr>
        <w:t xml:space="preserve"> and gambling: compared to those with no gambling problems, low-risk gamblers were twice as likely (OR 2.1) and moderate-risk/problem gamblers were two and a half times as likely (OR</w:t>
      </w:r>
      <w:r w:rsidR="00C112C3">
        <w:rPr>
          <w:rFonts w:asciiTheme="minorHAnsi" w:hAnsiTheme="minorHAnsi"/>
        </w:rPr>
        <w:t xml:space="preserve"> 2.6</w:t>
      </w:r>
      <w:r>
        <w:rPr>
          <w:rFonts w:asciiTheme="minorHAnsi" w:hAnsiTheme="minorHAnsi"/>
        </w:rPr>
        <w:t>) to report unmet health needs</w:t>
      </w:r>
      <w:r w:rsidR="00C112C3">
        <w:rPr>
          <w:rFonts w:asciiTheme="minorHAnsi" w:hAnsiTheme="minorHAnsi"/>
        </w:rPr>
        <w:t xml:space="preserve">. </w:t>
      </w:r>
    </w:p>
    <w:p w14:paraId="1FD25727" w14:textId="77777777" w:rsidR="00290418" w:rsidRPr="001C0D08" w:rsidRDefault="001C0D08" w:rsidP="004F129A">
      <w:pPr>
        <w:pStyle w:val="ListParagraph"/>
        <w:numPr>
          <w:ilvl w:val="1"/>
          <w:numId w:val="61"/>
        </w:numPr>
        <w:spacing w:after="200"/>
        <w:rPr>
          <w:rFonts w:asciiTheme="minorHAnsi" w:hAnsiTheme="minorHAnsi" w:cstheme="minorHAnsi"/>
        </w:rPr>
      </w:pPr>
      <w:r>
        <w:rPr>
          <w:rFonts w:asciiTheme="minorHAnsi" w:hAnsiTheme="minorHAnsi"/>
        </w:rPr>
        <w:t xml:space="preserve">The relationship between gambling status and having unmet health needs </w:t>
      </w:r>
      <w:r w:rsidRPr="001C0D08">
        <w:rPr>
          <w:rFonts w:asciiTheme="minorHAnsi" w:hAnsiTheme="minorHAnsi"/>
          <w:u w:val="single"/>
        </w:rPr>
        <w:t>due to cost</w:t>
      </w:r>
      <w:r>
        <w:rPr>
          <w:rFonts w:asciiTheme="minorHAnsi" w:hAnsiTheme="minorHAnsi"/>
        </w:rPr>
        <w:t xml:space="preserve"> was also significant.  </w:t>
      </w:r>
      <w:r w:rsidRPr="000F7401">
        <w:rPr>
          <w:rFonts w:asciiTheme="minorHAnsi" w:hAnsiTheme="minorHAnsi"/>
        </w:rPr>
        <w:t xml:space="preserve">Low-risk and moderate-risk/problem gamblers were twice as likely </w:t>
      </w:r>
      <w:r>
        <w:rPr>
          <w:rFonts w:asciiTheme="minorHAnsi" w:hAnsiTheme="minorHAnsi"/>
        </w:rPr>
        <w:t xml:space="preserve">(OR 2.1 and OR 1.9 respectively) </w:t>
      </w:r>
      <w:r w:rsidRPr="000F7401">
        <w:rPr>
          <w:rFonts w:asciiTheme="minorHAnsi" w:hAnsiTheme="minorHAnsi"/>
        </w:rPr>
        <w:t xml:space="preserve">as </w:t>
      </w:r>
      <w:r>
        <w:rPr>
          <w:rFonts w:asciiTheme="minorHAnsi" w:hAnsiTheme="minorHAnsi"/>
        </w:rPr>
        <w:t>those</w:t>
      </w:r>
      <w:r w:rsidRPr="000F7401">
        <w:rPr>
          <w:rFonts w:asciiTheme="minorHAnsi" w:hAnsiTheme="minorHAnsi"/>
        </w:rPr>
        <w:t xml:space="preserve"> with no gambling problems</w:t>
      </w:r>
      <w:r>
        <w:rPr>
          <w:rFonts w:asciiTheme="minorHAnsi" w:hAnsiTheme="minorHAnsi"/>
        </w:rPr>
        <w:t xml:space="preserve"> to report that they had not seen a GP due to the cost.</w:t>
      </w:r>
    </w:p>
    <w:p w14:paraId="636630FB" w14:textId="77777777" w:rsidR="001C0D08" w:rsidRPr="00A81A58" w:rsidRDefault="002672CD" w:rsidP="00A81A58">
      <w:pPr>
        <w:pStyle w:val="ListParagraph"/>
        <w:numPr>
          <w:ilvl w:val="0"/>
          <w:numId w:val="61"/>
        </w:numPr>
        <w:spacing w:after="200"/>
        <w:rPr>
          <w:rFonts w:asciiTheme="minorHAnsi" w:hAnsiTheme="minorHAnsi"/>
        </w:rPr>
      </w:pPr>
      <w:r w:rsidRPr="00A81A58">
        <w:rPr>
          <w:rFonts w:asciiTheme="minorHAnsi" w:hAnsiTheme="minorHAnsi"/>
        </w:rPr>
        <w:t>Use of other health professionals:</w:t>
      </w:r>
    </w:p>
    <w:p w14:paraId="627207C4" w14:textId="77777777" w:rsidR="002672CD" w:rsidRPr="00896454" w:rsidRDefault="002672CD" w:rsidP="004F129A">
      <w:pPr>
        <w:pStyle w:val="ListParagraph"/>
        <w:numPr>
          <w:ilvl w:val="1"/>
          <w:numId w:val="61"/>
        </w:numPr>
        <w:spacing w:after="200"/>
        <w:rPr>
          <w:rFonts w:asciiTheme="minorHAnsi" w:hAnsiTheme="minorHAnsi" w:cstheme="minorHAnsi"/>
        </w:rPr>
      </w:pPr>
      <w:r w:rsidRPr="002672CD">
        <w:rPr>
          <w:rFonts w:asciiTheme="minorHAnsi" w:hAnsiTheme="minorHAnsi"/>
        </w:rPr>
        <w:t>Gambling st</w:t>
      </w:r>
      <w:r>
        <w:rPr>
          <w:rFonts w:asciiTheme="minorHAnsi" w:hAnsiTheme="minorHAnsi"/>
        </w:rPr>
        <w:t>at</w:t>
      </w:r>
      <w:r w:rsidRPr="002672CD">
        <w:rPr>
          <w:rFonts w:asciiTheme="minorHAnsi" w:hAnsiTheme="minorHAnsi"/>
        </w:rPr>
        <w:t>u</w:t>
      </w:r>
      <w:r>
        <w:rPr>
          <w:rFonts w:asciiTheme="minorHAnsi" w:hAnsiTheme="minorHAnsi"/>
        </w:rPr>
        <w:t>s</w:t>
      </w:r>
      <w:r w:rsidRPr="002672CD">
        <w:rPr>
          <w:rFonts w:asciiTheme="minorHAnsi" w:hAnsiTheme="minorHAnsi"/>
        </w:rPr>
        <w:t xml:space="preserve"> was significantly associated with use of other health professionals: </w:t>
      </w:r>
      <w:r>
        <w:rPr>
          <w:rFonts w:asciiTheme="minorHAnsi" w:hAnsiTheme="minorHAnsi"/>
        </w:rPr>
        <w:t>m</w:t>
      </w:r>
      <w:r w:rsidRPr="002672CD">
        <w:rPr>
          <w:rFonts w:asciiTheme="minorHAnsi" w:hAnsiTheme="minorHAnsi"/>
        </w:rPr>
        <w:t>oderate-risk/problem gamblers were three and a half times more likely (OR 3.4) than those with no gambling problems</w:t>
      </w:r>
      <w:r w:rsidR="00E32228">
        <w:rPr>
          <w:rFonts w:asciiTheme="minorHAnsi" w:hAnsiTheme="minorHAnsi"/>
        </w:rPr>
        <w:t xml:space="preserve"> </w:t>
      </w:r>
      <w:r w:rsidRPr="002672CD">
        <w:rPr>
          <w:rFonts w:asciiTheme="minorHAnsi" w:hAnsiTheme="minorHAnsi"/>
        </w:rPr>
        <w:t xml:space="preserve">to have sought help </w:t>
      </w:r>
      <w:r>
        <w:rPr>
          <w:rFonts w:asciiTheme="minorHAnsi" w:hAnsiTheme="minorHAnsi"/>
        </w:rPr>
        <w:t>i</w:t>
      </w:r>
      <w:r w:rsidRPr="002672CD">
        <w:rPr>
          <w:rFonts w:asciiTheme="minorHAnsi" w:hAnsiTheme="minorHAnsi"/>
        </w:rPr>
        <w:t xml:space="preserve">n the past 12 months.  </w:t>
      </w:r>
    </w:p>
    <w:p w14:paraId="4BA0CA56" w14:textId="77777777" w:rsidR="00A81A58" w:rsidRDefault="00896454" w:rsidP="00A81A58">
      <w:pPr>
        <w:spacing w:line="360" w:lineRule="auto"/>
        <w:rPr>
          <w:rFonts w:asciiTheme="minorHAnsi" w:hAnsiTheme="minorHAnsi" w:cstheme="minorHAnsi"/>
          <w:b/>
          <w:color w:val="1F497D"/>
        </w:rPr>
      </w:pPr>
      <w:r>
        <w:rPr>
          <w:rFonts w:asciiTheme="minorHAnsi" w:hAnsiTheme="minorHAnsi" w:cstheme="minorHAnsi"/>
          <w:b/>
          <w:color w:val="1F497D"/>
        </w:rPr>
        <w:t xml:space="preserve">Ecological factors and problematic gambling: </w:t>
      </w:r>
      <w:r w:rsidRPr="0061656B">
        <w:rPr>
          <w:rFonts w:asciiTheme="minorHAnsi" w:hAnsiTheme="minorHAnsi" w:cstheme="minorHAnsi"/>
          <w:b/>
          <w:color w:val="1F497D"/>
        </w:rPr>
        <w:t>Comparison of 2011/12 NZHS and the 2012 National Gambling Study</w:t>
      </w:r>
    </w:p>
    <w:p w14:paraId="727F20CD" w14:textId="77777777" w:rsidR="00896454" w:rsidRPr="00A81A58" w:rsidRDefault="00896454" w:rsidP="00A81A58">
      <w:pPr>
        <w:pStyle w:val="ListParagraph"/>
        <w:numPr>
          <w:ilvl w:val="0"/>
          <w:numId w:val="61"/>
        </w:numPr>
        <w:spacing w:after="200"/>
        <w:rPr>
          <w:rFonts w:asciiTheme="minorHAnsi" w:hAnsiTheme="minorHAnsi"/>
        </w:rPr>
      </w:pPr>
      <w:r w:rsidRPr="00A81A58">
        <w:rPr>
          <w:rFonts w:asciiTheme="minorHAnsi" w:hAnsiTheme="minorHAnsi"/>
        </w:rPr>
        <w:t xml:space="preserve">Unlike the most recent National Gambling Study, no association was found between problem gambling and level of education or employment status.  </w:t>
      </w:r>
    </w:p>
    <w:p w14:paraId="121A5754" w14:textId="77777777" w:rsidR="00896454" w:rsidRPr="00A81A58" w:rsidRDefault="00896454" w:rsidP="00A81A58">
      <w:pPr>
        <w:pStyle w:val="ListParagraph"/>
        <w:numPr>
          <w:ilvl w:val="0"/>
          <w:numId w:val="61"/>
        </w:numPr>
        <w:spacing w:after="200"/>
        <w:rPr>
          <w:rFonts w:asciiTheme="minorHAnsi" w:hAnsiTheme="minorHAnsi"/>
        </w:rPr>
      </w:pPr>
      <w:r w:rsidRPr="00A81A58">
        <w:rPr>
          <w:rFonts w:asciiTheme="minorHAnsi" w:hAnsiTheme="minorHAnsi"/>
        </w:rPr>
        <w:t>Both this research and the National Gambling Study found no significant relationship between the length of time an individual had been living in New Zealand (i.e. recent vs longer-term migrant status) and problem gambling.</w:t>
      </w:r>
    </w:p>
    <w:p w14:paraId="1794F8ED" w14:textId="77777777" w:rsidR="00896454" w:rsidRPr="00A81A58" w:rsidRDefault="00896454" w:rsidP="00A81A58">
      <w:pPr>
        <w:pStyle w:val="ListParagraph"/>
        <w:numPr>
          <w:ilvl w:val="0"/>
          <w:numId w:val="61"/>
        </w:numPr>
        <w:spacing w:after="200"/>
        <w:rPr>
          <w:rFonts w:asciiTheme="minorHAnsi" w:hAnsiTheme="minorHAnsi"/>
        </w:rPr>
      </w:pPr>
      <w:r w:rsidRPr="00A81A58">
        <w:rPr>
          <w:rFonts w:asciiTheme="minorHAnsi" w:hAnsiTheme="minorHAnsi"/>
        </w:rPr>
        <w:t>No relationship was observed between gambling and exposure to the Christchurch earthquake in the present research.  However, the National Gambling Study found that current residents of Christchurch were significantly less likely than those living in Auckland or Wellington to experience problem gambling.</w:t>
      </w:r>
    </w:p>
    <w:p w14:paraId="491E538B" w14:textId="77777777" w:rsidR="00896454" w:rsidRPr="00A81A58" w:rsidRDefault="00896454" w:rsidP="00A81A58">
      <w:pPr>
        <w:pStyle w:val="ListParagraph"/>
        <w:numPr>
          <w:ilvl w:val="0"/>
          <w:numId w:val="61"/>
        </w:numPr>
        <w:spacing w:after="200"/>
        <w:rPr>
          <w:rFonts w:asciiTheme="minorHAnsi" w:hAnsiTheme="minorHAnsi"/>
        </w:rPr>
      </w:pPr>
      <w:r w:rsidRPr="00A81A58">
        <w:rPr>
          <w:rFonts w:asciiTheme="minorHAnsi" w:hAnsiTheme="minorHAnsi"/>
        </w:rPr>
        <w:lastRenderedPageBreak/>
        <w:t>This study and the National Gambling Study observed links between problem gambling and use of other dangerous consumptions, poor health and mental health.</w:t>
      </w:r>
    </w:p>
    <w:p w14:paraId="2B77E539" w14:textId="77777777" w:rsidR="00A37966" w:rsidRPr="00AF3A24" w:rsidRDefault="006E6024" w:rsidP="00A37966">
      <w:pPr>
        <w:pStyle w:val="Heading1"/>
        <w:rPr>
          <w:rFonts w:asciiTheme="minorHAnsi" w:hAnsiTheme="minorHAnsi" w:cstheme="minorHAnsi"/>
          <w:caps w:val="0"/>
        </w:rPr>
      </w:pPr>
      <w:bookmarkStart w:id="169" w:name="_Ref400549392"/>
      <w:bookmarkStart w:id="170" w:name="_Ref400549733"/>
      <w:bookmarkStart w:id="171" w:name="_Toc403833192"/>
      <w:r>
        <w:rPr>
          <w:rFonts w:asciiTheme="minorHAnsi" w:hAnsiTheme="minorHAnsi" w:cstheme="minorHAnsi"/>
          <w:caps w:val="0"/>
        </w:rPr>
        <w:lastRenderedPageBreak/>
        <w:t xml:space="preserve">RESULTS: </w:t>
      </w:r>
      <w:r w:rsidR="007E7065">
        <w:rPr>
          <w:rFonts w:asciiTheme="minorHAnsi" w:hAnsiTheme="minorHAnsi" w:cstheme="minorHAnsi"/>
          <w:caps w:val="0"/>
        </w:rPr>
        <w:t xml:space="preserve">EXPERIENCING PROBLEMS DUE TO SOMEONE ELSE’S </w:t>
      </w:r>
      <w:r w:rsidR="00010D7D" w:rsidRPr="00AF3A24">
        <w:rPr>
          <w:rFonts w:asciiTheme="minorHAnsi" w:hAnsiTheme="minorHAnsi" w:cstheme="minorHAnsi"/>
          <w:caps w:val="0"/>
        </w:rPr>
        <w:t>GAMBLING</w:t>
      </w:r>
      <w:bookmarkEnd w:id="169"/>
      <w:bookmarkEnd w:id="170"/>
      <w:bookmarkEnd w:id="171"/>
    </w:p>
    <w:p w14:paraId="31A17A80" w14:textId="77777777" w:rsidR="00B264D6" w:rsidRDefault="006F2751" w:rsidP="006F2751">
      <w:pPr>
        <w:rPr>
          <w:rFonts w:asciiTheme="minorHAnsi" w:hAnsiTheme="minorHAnsi" w:cstheme="minorHAnsi"/>
          <w:lang w:val="en-GB"/>
        </w:rPr>
      </w:pPr>
      <w:r>
        <w:rPr>
          <w:rFonts w:asciiTheme="minorHAnsi" w:hAnsiTheme="minorHAnsi"/>
        </w:rPr>
        <w:t>Respondents were asked “In the past 12 months, have you had problems because of someone else’s gambling?”  In total</w:t>
      </w:r>
      <w:r w:rsidR="00E27A93" w:rsidRPr="006F2751">
        <w:rPr>
          <w:rFonts w:asciiTheme="minorHAnsi" w:hAnsiTheme="minorHAnsi"/>
        </w:rPr>
        <w:t xml:space="preserve">, 2.5% </w:t>
      </w:r>
      <w:r w:rsidR="009E637D" w:rsidRPr="006F2751">
        <w:rPr>
          <w:rFonts w:asciiTheme="minorHAnsi" w:hAnsiTheme="minorHAnsi"/>
        </w:rPr>
        <w:t>of adults</w:t>
      </w:r>
      <w:r w:rsidR="00B264D6">
        <w:rPr>
          <w:rFonts w:asciiTheme="minorHAnsi" w:hAnsiTheme="minorHAnsi"/>
        </w:rPr>
        <w:t xml:space="preserve"> aged 15 years and over</w:t>
      </w:r>
      <w:r w:rsidR="009E637D" w:rsidRPr="006F2751">
        <w:rPr>
          <w:rFonts w:asciiTheme="minorHAnsi" w:hAnsiTheme="minorHAnsi"/>
        </w:rPr>
        <w:t xml:space="preserve"> indicated that they </w:t>
      </w:r>
      <w:r>
        <w:rPr>
          <w:rFonts w:asciiTheme="minorHAnsi" w:hAnsiTheme="minorHAnsi"/>
        </w:rPr>
        <w:t>had been negatively impacted by someone else’s gambling.  T</w:t>
      </w:r>
      <w:r w:rsidR="009E637D" w:rsidRPr="00AF3A24">
        <w:rPr>
          <w:rFonts w:asciiTheme="minorHAnsi" w:hAnsiTheme="minorHAnsi" w:cstheme="minorHAnsi"/>
          <w:lang w:val="en-GB"/>
        </w:rPr>
        <w:t xml:space="preserve">his equates to </w:t>
      </w:r>
      <w:r w:rsidR="003C02DD">
        <w:rPr>
          <w:rFonts w:asciiTheme="minorHAnsi" w:hAnsiTheme="minorHAnsi" w:cstheme="minorHAnsi"/>
          <w:lang w:val="en-GB"/>
        </w:rPr>
        <w:t>approximately</w:t>
      </w:r>
      <w:r w:rsidR="00E27A93" w:rsidRPr="00AF3A24">
        <w:rPr>
          <w:rFonts w:asciiTheme="minorHAnsi" w:hAnsiTheme="minorHAnsi" w:cstheme="minorHAnsi"/>
          <w:lang w:val="en-GB"/>
        </w:rPr>
        <w:t xml:space="preserve"> </w:t>
      </w:r>
      <w:r w:rsidR="009E637D" w:rsidRPr="00AF3A24">
        <w:rPr>
          <w:rFonts w:asciiTheme="minorHAnsi" w:hAnsiTheme="minorHAnsi" w:cstheme="minorHAnsi"/>
          <w:lang w:val="en-GB"/>
        </w:rPr>
        <w:t xml:space="preserve">89,100 </w:t>
      </w:r>
      <w:r w:rsidR="00E834F3" w:rsidRPr="00AF3A24">
        <w:rPr>
          <w:rFonts w:asciiTheme="minorHAnsi" w:hAnsiTheme="minorHAnsi" w:cstheme="minorHAnsi"/>
          <w:lang w:val="en-GB"/>
        </w:rPr>
        <w:t>(</w:t>
      </w:r>
      <w:r>
        <w:rPr>
          <w:rFonts w:asciiTheme="minorHAnsi" w:hAnsiTheme="minorHAnsi" w:cstheme="minorHAnsi"/>
          <w:lang w:val="en-GB"/>
        </w:rPr>
        <w:t xml:space="preserve">95% CI </w:t>
      </w:r>
      <w:r w:rsidR="00E834F3" w:rsidRPr="00AF3A24">
        <w:rPr>
          <w:rFonts w:asciiTheme="minorHAnsi" w:hAnsiTheme="minorHAnsi" w:cstheme="minorHAnsi"/>
          <w:lang w:val="en-GB"/>
        </w:rPr>
        <w:t xml:space="preserve">77,000 - 101,100) </w:t>
      </w:r>
      <w:r w:rsidR="009E637D" w:rsidRPr="00AF3A24">
        <w:rPr>
          <w:rFonts w:asciiTheme="minorHAnsi" w:hAnsiTheme="minorHAnsi" w:cstheme="minorHAnsi"/>
          <w:lang w:val="en-GB"/>
        </w:rPr>
        <w:t>adults</w:t>
      </w:r>
      <w:r w:rsidR="00B264D6">
        <w:rPr>
          <w:rFonts w:asciiTheme="minorHAnsi" w:hAnsiTheme="minorHAnsi" w:cstheme="minorHAnsi"/>
          <w:lang w:val="en-GB"/>
        </w:rPr>
        <w:t xml:space="preserve"> in the New Zealand population</w:t>
      </w:r>
      <w:r w:rsidR="004646FB">
        <w:rPr>
          <w:rStyle w:val="FootnoteReference"/>
          <w:rFonts w:asciiTheme="minorHAnsi" w:hAnsiTheme="minorHAnsi"/>
          <w:lang w:val="en-GB"/>
        </w:rPr>
        <w:footnoteReference w:id="12"/>
      </w:r>
      <w:r w:rsidR="005E272D">
        <w:rPr>
          <w:rFonts w:asciiTheme="minorHAnsi" w:hAnsiTheme="minorHAnsi" w:cstheme="minorHAnsi"/>
          <w:lang w:val="en-GB"/>
        </w:rPr>
        <w:t xml:space="preserve">. </w:t>
      </w:r>
      <w:r w:rsidR="003C02DD">
        <w:rPr>
          <w:rFonts w:asciiTheme="minorHAnsi" w:hAnsiTheme="minorHAnsi" w:cstheme="minorHAnsi"/>
          <w:lang w:val="en-GB"/>
        </w:rPr>
        <w:t xml:space="preserve"> </w:t>
      </w:r>
    </w:p>
    <w:p w14:paraId="1AE53C38" w14:textId="77777777" w:rsidR="00FC7352" w:rsidRDefault="00FC7352" w:rsidP="006F2751">
      <w:pPr>
        <w:rPr>
          <w:rFonts w:asciiTheme="minorHAnsi" w:hAnsiTheme="minorHAnsi" w:cstheme="minorHAnsi"/>
          <w:lang w:val="en-GB"/>
        </w:rPr>
      </w:pPr>
    </w:p>
    <w:p w14:paraId="67440144" w14:textId="77777777" w:rsidR="00981752" w:rsidRDefault="00981752" w:rsidP="00F061EF">
      <w:pPr>
        <w:pStyle w:val="Heading2"/>
      </w:pPr>
      <w:bookmarkStart w:id="172" w:name="_Toc403833193"/>
      <w:r>
        <w:t>Profile</w:t>
      </w:r>
      <w:r w:rsidRPr="00AF3A24">
        <w:t xml:space="preserve"> </w:t>
      </w:r>
      <w:r>
        <w:t>of people affected by someone else’s gambling</w:t>
      </w:r>
      <w:bookmarkEnd w:id="172"/>
    </w:p>
    <w:p w14:paraId="36F16E23" w14:textId="77777777" w:rsidR="003A541A" w:rsidRPr="003A541A" w:rsidRDefault="003A541A" w:rsidP="006F2751">
      <w:pPr>
        <w:rPr>
          <w:rFonts w:asciiTheme="minorHAnsi" w:hAnsiTheme="minorHAnsi"/>
        </w:rPr>
      </w:pPr>
      <w:r>
        <w:rPr>
          <w:rFonts w:asciiTheme="minorHAnsi" w:hAnsiTheme="minorHAnsi"/>
        </w:rPr>
        <w:t xml:space="preserve">The demographic </w:t>
      </w:r>
      <w:r w:rsidR="00FC7352">
        <w:rPr>
          <w:rFonts w:asciiTheme="minorHAnsi" w:hAnsiTheme="minorHAnsi"/>
        </w:rPr>
        <w:t xml:space="preserve">characteristics (gender, age-group, ethnicity, neighbourhood deprivation, geography) </w:t>
      </w:r>
      <w:r>
        <w:rPr>
          <w:rFonts w:asciiTheme="minorHAnsi" w:hAnsiTheme="minorHAnsi"/>
        </w:rPr>
        <w:t xml:space="preserve">of people affected by someone else’s gambling were </w:t>
      </w:r>
      <w:r w:rsidR="00850A1E">
        <w:rPr>
          <w:rFonts w:asciiTheme="minorHAnsi" w:hAnsiTheme="minorHAnsi"/>
        </w:rPr>
        <w:t>examined</w:t>
      </w:r>
      <w:r>
        <w:rPr>
          <w:rFonts w:asciiTheme="minorHAnsi" w:hAnsiTheme="minorHAnsi"/>
        </w:rPr>
        <w:t xml:space="preserve">.  Significant findings are discussed in the following sub-sections, while further details (prevalence estimates and 95% confidence intervals, odds ratios and p-values) can be found in </w:t>
      </w:r>
      <w:r w:rsidR="009B746D">
        <w:rPr>
          <w:rFonts w:asciiTheme="minorHAnsi" w:hAnsiTheme="minorHAnsi"/>
        </w:rPr>
        <w:t>Table 34, Appendix L</w:t>
      </w:r>
      <w:r>
        <w:rPr>
          <w:rFonts w:asciiTheme="minorHAnsi" w:hAnsiTheme="minorHAnsi"/>
        </w:rPr>
        <w:t xml:space="preserve">.  </w:t>
      </w:r>
    </w:p>
    <w:p w14:paraId="671B05C9" w14:textId="77777777" w:rsidR="00850A1E" w:rsidRDefault="00850A1E" w:rsidP="00F061EF">
      <w:pPr>
        <w:pStyle w:val="Heading3"/>
      </w:pPr>
      <w:bookmarkStart w:id="173" w:name="_Toc403833194"/>
      <w:r w:rsidRPr="00B77FEF">
        <w:t>By gender</w:t>
      </w:r>
      <w:bookmarkEnd w:id="173"/>
    </w:p>
    <w:p w14:paraId="12B9DE64" w14:textId="77777777" w:rsidR="00850A1E" w:rsidRPr="00F72C50" w:rsidRDefault="00F72C50" w:rsidP="00850A1E">
      <w:pPr>
        <w:rPr>
          <w:rFonts w:asciiTheme="minorHAnsi" w:hAnsiTheme="minorHAnsi"/>
        </w:rPr>
      </w:pPr>
      <w:r w:rsidRPr="00F72C50">
        <w:rPr>
          <w:rFonts w:asciiTheme="minorHAnsi" w:hAnsiTheme="minorHAnsi"/>
        </w:rPr>
        <w:t>Approximately two percent of males (2.1%) and three percent of females (2.9%) indicated that they had been affected by someone else’s gambling in the past 12 months.  This was a significant difference (p=0.0294), with m</w:t>
      </w:r>
      <w:r w:rsidR="00044B5E" w:rsidRPr="00F72C50">
        <w:rPr>
          <w:rFonts w:asciiTheme="minorHAnsi" w:hAnsiTheme="minorHAnsi"/>
        </w:rPr>
        <w:t xml:space="preserve">ales </w:t>
      </w:r>
      <w:r w:rsidRPr="00F72C50">
        <w:rPr>
          <w:rFonts w:asciiTheme="minorHAnsi" w:hAnsiTheme="minorHAnsi"/>
        </w:rPr>
        <w:t>being</w:t>
      </w:r>
      <w:r w:rsidR="00044B5E" w:rsidRPr="00F72C50">
        <w:rPr>
          <w:rFonts w:asciiTheme="minorHAnsi" w:hAnsiTheme="minorHAnsi"/>
        </w:rPr>
        <w:t xml:space="preserve"> significantly less likely than females </w:t>
      </w:r>
      <w:r w:rsidRPr="00F72C50">
        <w:rPr>
          <w:rFonts w:asciiTheme="minorHAnsi" w:hAnsiTheme="minorHAnsi"/>
        </w:rPr>
        <w:t>(OR 0.7 and OR 1</w:t>
      </w:r>
      <w:r w:rsidR="004E4D03">
        <w:rPr>
          <w:rFonts w:asciiTheme="minorHAnsi" w:hAnsiTheme="minorHAnsi"/>
        </w:rPr>
        <w:t xml:space="preserve"> respectively</w:t>
      </w:r>
      <w:r w:rsidRPr="00F72C50">
        <w:rPr>
          <w:rFonts w:asciiTheme="minorHAnsi" w:hAnsiTheme="minorHAnsi"/>
        </w:rPr>
        <w:t xml:space="preserve">) </w:t>
      </w:r>
      <w:r w:rsidR="00044B5E" w:rsidRPr="00F72C50">
        <w:rPr>
          <w:rFonts w:asciiTheme="minorHAnsi" w:hAnsiTheme="minorHAnsi"/>
        </w:rPr>
        <w:t xml:space="preserve">to </w:t>
      </w:r>
      <w:r w:rsidRPr="00F72C50">
        <w:rPr>
          <w:rFonts w:asciiTheme="minorHAnsi" w:hAnsiTheme="minorHAnsi"/>
        </w:rPr>
        <w:t>report being impacted by another person’s gambling</w:t>
      </w:r>
      <w:r>
        <w:rPr>
          <w:rFonts w:asciiTheme="minorHAnsi" w:hAnsiTheme="minorHAnsi"/>
        </w:rPr>
        <w:t xml:space="preserve"> (see</w:t>
      </w:r>
      <w:r w:rsidR="00CE00E4">
        <w:rPr>
          <w:rFonts w:asciiTheme="minorHAnsi" w:hAnsiTheme="minorHAnsi"/>
        </w:rPr>
        <w:t xml:space="preserve"> Table 34, Appendix L</w:t>
      </w:r>
      <w:r>
        <w:rPr>
          <w:rFonts w:asciiTheme="minorHAnsi" w:hAnsiTheme="minorHAnsi"/>
        </w:rPr>
        <w:t>).</w:t>
      </w:r>
    </w:p>
    <w:p w14:paraId="7F956B28" w14:textId="77777777" w:rsidR="00850A1E" w:rsidRPr="00B77FEF" w:rsidRDefault="00850A1E" w:rsidP="00F061EF">
      <w:pPr>
        <w:pStyle w:val="Heading3"/>
      </w:pPr>
      <w:bookmarkStart w:id="174" w:name="_Toc403833195"/>
      <w:r w:rsidRPr="00B77FEF">
        <w:t xml:space="preserve">By </w:t>
      </w:r>
      <w:r>
        <w:t>age-group</w:t>
      </w:r>
      <w:bookmarkEnd w:id="174"/>
    </w:p>
    <w:p w14:paraId="223CCCA7" w14:textId="77777777" w:rsidR="00166C3F" w:rsidRDefault="00CE00E4" w:rsidP="00430990">
      <w:pPr>
        <w:rPr>
          <w:rFonts w:asciiTheme="minorHAnsi" w:hAnsiTheme="minorHAnsi"/>
        </w:rPr>
      </w:pPr>
      <w:r>
        <w:rPr>
          <w:rFonts w:asciiTheme="minorHAnsi" w:hAnsiTheme="minorHAnsi"/>
        </w:rPr>
        <w:t>Figure 35</w:t>
      </w:r>
      <w:r w:rsidR="004E4D03" w:rsidRPr="004E4D03">
        <w:rPr>
          <w:rFonts w:asciiTheme="minorHAnsi" w:hAnsiTheme="minorHAnsi"/>
        </w:rPr>
        <w:t xml:space="preserve"> </w:t>
      </w:r>
      <w:r w:rsidR="00166C3F" w:rsidRPr="004E4D03">
        <w:rPr>
          <w:rFonts w:asciiTheme="minorHAnsi" w:hAnsiTheme="minorHAnsi"/>
        </w:rPr>
        <w:t>illustrates the proportion of people affected by someone else’s gambling by age-group.  Age was</w:t>
      </w:r>
      <w:r w:rsidR="00166C3F">
        <w:rPr>
          <w:rFonts w:asciiTheme="minorHAnsi" w:hAnsiTheme="minorHAnsi"/>
        </w:rPr>
        <w:t xml:space="preserve"> significantly related to harm from someone else’s gambling, with those aged 25-34 being three times (OR 3.2) more likely to report this </w:t>
      </w:r>
      <w:r w:rsidR="004E4D03">
        <w:rPr>
          <w:rFonts w:asciiTheme="minorHAnsi" w:hAnsiTheme="minorHAnsi"/>
        </w:rPr>
        <w:t>compared with</w:t>
      </w:r>
      <w:r w:rsidR="00166C3F">
        <w:rPr>
          <w:rFonts w:asciiTheme="minorHAnsi" w:hAnsiTheme="minorHAnsi"/>
        </w:rPr>
        <w:t xml:space="preserve"> </w:t>
      </w:r>
      <w:r w:rsidR="004E4D03">
        <w:rPr>
          <w:rFonts w:asciiTheme="minorHAnsi" w:hAnsiTheme="minorHAnsi"/>
        </w:rPr>
        <w:t>adults</w:t>
      </w:r>
      <w:r w:rsidR="00166C3F">
        <w:rPr>
          <w:rFonts w:asciiTheme="minorHAnsi" w:hAnsiTheme="minorHAnsi"/>
        </w:rPr>
        <w:t xml:space="preserve"> aged 65 or older.  </w:t>
      </w:r>
      <w:r>
        <w:rPr>
          <w:rFonts w:asciiTheme="minorHAnsi" w:hAnsiTheme="minorHAnsi"/>
        </w:rPr>
        <w:t>Table 34 in Appendix L</w:t>
      </w:r>
      <w:r w:rsidR="00166C3F">
        <w:rPr>
          <w:rFonts w:asciiTheme="minorHAnsi" w:hAnsiTheme="minorHAnsi"/>
        </w:rPr>
        <w:t xml:space="preserve"> provides further details on this item. </w:t>
      </w:r>
    </w:p>
    <w:p w14:paraId="1183E488" w14:textId="77777777" w:rsidR="00856A0D" w:rsidRPr="00B633B8" w:rsidRDefault="00856A0D" w:rsidP="00FB0414">
      <w:pPr>
        <w:pStyle w:val="Caption"/>
        <w:keepNext/>
        <w:tabs>
          <w:tab w:val="left" w:pos="993"/>
        </w:tabs>
        <w:spacing w:after="0" w:line="276" w:lineRule="auto"/>
        <w:ind w:left="992" w:hanging="992"/>
        <w:rPr>
          <w:rFonts w:asciiTheme="minorHAnsi" w:hAnsiTheme="minorHAnsi" w:cstheme="minorHAnsi"/>
          <w:i/>
        </w:rPr>
      </w:pPr>
      <w:bookmarkStart w:id="175" w:name="_Toc425427007"/>
      <w:r w:rsidRPr="00AF20CE">
        <w:rPr>
          <w:rFonts w:asciiTheme="minorHAnsi" w:hAnsiTheme="minorHAnsi" w:cstheme="minorHAnsi"/>
          <w:i/>
        </w:rPr>
        <w:lastRenderedPageBreak/>
        <w:t xml:space="preserve">Figure </w:t>
      </w:r>
      <w:r w:rsidRPr="00AF20CE">
        <w:rPr>
          <w:rFonts w:asciiTheme="minorHAnsi" w:hAnsiTheme="minorHAnsi" w:cstheme="minorHAnsi"/>
          <w:i/>
        </w:rPr>
        <w:fldChar w:fldCharType="begin"/>
      </w:r>
      <w:r w:rsidRPr="00AF20CE">
        <w:rPr>
          <w:rFonts w:asciiTheme="minorHAnsi" w:hAnsiTheme="minorHAnsi" w:cstheme="minorHAnsi"/>
          <w:i/>
        </w:rPr>
        <w:instrText xml:space="preserve"> SEQ Figure \* ARABIC </w:instrText>
      </w:r>
      <w:r w:rsidRPr="00AF20CE">
        <w:rPr>
          <w:rFonts w:asciiTheme="minorHAnsi" w:hAnsiTheme="minorHAnsi" w:cstheme="minorHAnsi"/>
          <w:i/>
        </w:rPr>
        <w:fldChar w:fldCharType="separate"/>
      </w:r>
      <w:r w:rsidR="00D71107">
        <w:rPr>
          <w:rFonts w:asciiTheme="minorHAnsi" w:hAnsiTheme="minorHAnsi" w:cstheme="minorHAnsi"/>
          <w:i/>
          <w:noProof/>
        </w:rPr>
        <w:t>34</w:t>
      </w:r>
      <w:r w:rsidRPr="00AF20CE">
        <w:rPr>
          <w:rFonts w:asciiTheme="minorHAnsi" w:hAnsiTheme="minorHAnsi" w:cstheme="minorHAnsi"/>
          <w:i/>
        </w:rPr>
        <w:fldChar w:fldCharType="end"/>
      </w:r>
      <w:r w:rsidRPr="00AF20CE">
        <w:rPr>
          <w:rFonts w:asciiTheme="minorHAnsi" w:hAnsiTheme="minorHAnsi" w:cstheme="minorHAnsi"/>
          <w:i/>
        </w:rPr>
        <w:t xml:space="preserve">: </w:t>
      </w:r>
      <w:r w:rsidR="00166C3F">
        <w:rPr>
          <w:rFonts w:asciiTheme="minorHAnsi" w:hAnsiTheme="minorHAnsi" w:cstheme="minorHAnsi"/>
          <w:i/>
        </w:rPr>
        <w:t>Have b</w:t>
      </w:r>
      <w:r w:rsidR="004447F7">
        <w:rPr>
          <w:rFonts w:asciiTheme="minorHAnsi" w:hAnsiTheme="minorHAnsi" w:cstheme="minorHAnsi"/>
          <w:i/>
        </w:rPr>
        <w:t xml:space="preserve">een affected by someone else’s gambling </w:t>
      </w:r>
      <w:r>
        <w:rPr>
          <w:rFonts w:asciiTheme="minorHAnsi" w:hAnsiTheme="minorHAnsi" w:cstheme="minorHAnsi"/>
          <w:i/>
        </w:rPr>
        <w:t xml:space="preserve">in the past 12 months, </w:t>
      </w:r>
      <w:r w:rsidRPr="00AF20CE">
        <w:rPr>
          <w:rFonts w:asciiTheme="minorHAnsi" w:hAnsiTheme="minorHAnsi" w:cstheme="minorHAnsi"/>
          <w:i/>
        </w:rPr>
        <w:t xml:space="preserve">by </w:t>
      </w:r>
      <w:r w:rsidR="004447F7">
        <w:rPr>
          <w:rFonts w:asciiTheme="minorHAnsi" w:hAnsiTheme="minorHAnsi" w:cstheme="minorHAnsi"/>
          <w:i/>
        </w:rPr>
        <w:t>age-group</w:t>
      </w:r>
      <w:r w:rsidRPr="00AF20CE">
        <w:rPr>
          <w:rFonts w:asciiTheme="minorHAnsi" w:hAnsiTheme="minorHAnsi" w:cstheme="minorHAnsi"/>
          <w:i/>
        </w:rPr>
        <w:t xml:space="preserve">, </w:t>
      </w:r>
      <w:r w:rsidRPr="00AF3A24">
        <w:rPr>
          <w:rFonts w:asciiTheme="minorHAnsi" w:hAnsiTheme="minorHAnsi" w:cstheme="minorHAnsi"/>
          <w:i/>
        </w:rPr>
        <w:t>total population aged 15 years and over (unadjusted prevalence; N=12,5</w:t>
      </w:r>
      <w:r w:rsidR="004447F7">
        <w:rPr>
          <w:rFonts w:asciiTheme="minorHAnsi" w:hAnsiTheme="minorHAnsi" w:cstheme="minorHAnsi"/>
          <w:i/>
        </w:rPr>
        <w:t>76</w:t>
      </w:r>
      <w:r w:rsidRPr="00AF3A24">
        <w:rPr>
          <w:rFonts w:asciiTheme="minorHAnsi" w:hAnsiTheme="minorHAnsi" w:cstheme="minorHAnsi"/>
          <w:i/>
        </w:rPr>
        <w:t xml:space="preserve">) </w:t>
      </w:r>
      <w:r w:rsidRPr="006D31C2">
        <w:rPr>
          <w:rFonts w:asciiTheme="minorHAnsi" w:hAnsiTheme="minorHAnsi" w:cstheme="minorHAnsi"/>
          <w:i/>
          <w:vertAlign w:val="superscript"/>
        </w:rPr>
        <w:t>1</w:t>
      </w:r>
      <w:bookmarkEnd w:id="175"/>
    </w:p>
    <w:p w14:paraId="0BE30249" w14:textId="77777777" w:rsidR="00B633EA" w:rsidRDefault="001D687A" w:rsidP="001837AA">
      <w:pPr>
        <w:spacing w:line="240" w:lineRule="auto"/>
        <w:jc w:val="center"/>
        <w:rPr>
          <w:rFonts w:asciiTheme="minorHAnsi" w:hAnsiTheme="minorHAnsi" w:cstheme="minorHAnsi"/>
          <w:lang w:val="en-GB"/>
        </w:rPr>
      </w:pPr>
      <w:r>
        <w:rPr>
          <w:noProof/>
          <w:lang w:eastAsia="en-NZ"/>
        </w:rPr>
        <w:drawing>
          <wp:inline distT="0" distB="0" distL="0" distR="0" wp14:anchorId="2C161056" wp14:editId="657D7E9E">
            <wp:extent cx="4831307" cy="2852382"/>
            <wp:effectExtent l="0" t="0" r="26670" b="2476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EDB6BEF" w14:textId="77777777" w:rsidR="00856A0D" w:rsidRPr="009570D4" w:rsidRDefault="00856A0D" w:rsidP="00856A0D">
      <w:pPr>
        <w:pStyle w:val="Caption"/>
        <w:keepNext/>
        <w:spacing w:before="0" w:after="0" w:line="240" w:lineRule="auto"/>
        <w:ind w:left="1985" w:hanging="284"/>
        <w:jc w:val="left"/>
        <w:rPr>
          <w:rFonts w:asciiTheme="minorHAnsi" w:hAnsiTheme="minorHAnsi" w:cstheme="minorHAnsi"/>
          <w:b w:val="0"/>
          <w:sz w:val="16"/>
        </w:rPr>
      </w:pPr>
      <w:r w:rsidRPr="009570D4">
        <w:rPr>
          <w:rFonts w:asciiTheme="minorHAnsi" w:hAnsiTheme="minorHAnsi" w:cstheme="minorHAnsi"/>
          <w:b w:val="0"/>
          <w:sz w:val="16"/>
        </w:rPr>
        <w:t>Notes:</w:t>
      </w:r>
    </w:p>
    <w:p w14:paraId="62C87941" w14:textId="77777777" w:rsidR="00856A0D" w:rsidRPr="00856A0D" w:rsidRDefault="00856A0D" w:rsidP="00430990">
      <w:pPr>
        <w:spacing w:before="0" w:line="240" w:lineRule="auto"/>
        <w:ind w:left="1985" w:right="1380" w:hanging="284"/>
        <w:rPr>
          <w:rFonts w:asciiTheme="minorHAnsi" w:hAnsiTheme="minorHAnsi" w:cstheme="minorHAnsi"/>
          <w:sz w:val="16"/>
        </w:rPr>
      </w:pPr>
      <w:r w:rsidRPr="009570D4">
        <w:rPr>
          <w:rFonts w:asciiTheme="minorHAnsi" w:hAnsiTheme="minorHAnsi" w:cstheme="minorHAnsi"/>
          <w:sz w:val="16"/>
        </w:rPr>
        <w:t xml:space="preserve">1. Source: 2011/12 New </w:t>
      </w:r>
      <w:r w:rsidRPr="00856A0D">
        <w:rPr>
          <w:rFonts w:asciiTheme="minorHAnsi" w:hAnsiTheme="minorHAnsi" w:cstheme="minorHAnsi"/>
          <w:sz w:val="16"/>
        </w:rPr>
        <w:t>Zealand Health Survey.</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3FE08CC1" w14:textId="77777777" w:rsidR="00B633EA" w:rsidRDefault="00B633EA" w:rsidP="006F2751">
      <w:pPr>
        <w:rPr>
          <w:rFonts w:asciiTheme="minorHAnsi" w:hAnsiTheme="minorHAnsi" w:cstheme="minorHAnsi"/>
          <w:lang w:val="en-GB"/>
        </w:rPr>
      </w:pPr>
    </w:p>
    <w:p w14:paraId="24848F4C" w14:textId="77777777" w:rsidR="00850A1E" w:rsidRPr="00B77FEF" w:rsidRDefault="00850A1E" w:rsidP="00F061EF">
      <w:pPr>
        <w:pStyle w:val="Heading3"/>
      </w:pPr>
      <w:bookmarkStart w:id="176" w:name="_Toc403833196"/>
      <w:r w:rsidRPr="00B77FEF">
        <w:t xml:space="preserve">By </w:t>
      </w:r>
      <w:r>
        <w:t>ethnicity</w:t>
      </w:r>
      <w:bookmarkEnd w:id="176"/>
    </w:p>
    <w:p w14:paraId="0C7A1F85" w14:textId="77777777" w:rsidR="00B633EA" w:rsidRDefault="00370034" w:rsidP="006F2751">
      <w:pPr>
        <w:rPr>
          <w:rFonts w:asciiTheme="minorHAnsi" w:hAnsiTheme="minorHAnsi" w:cstheme="minorHAnsi"/>
          <w:lang w:val="en-GB"/>
        </w:rPr>
      </w:pPr>
      <w:r>
        <w:rPr>
          <w:rFonts w:asciiTheme="minorHAnsi" w:hAnsiTheme="minorHAnsi" w:cstheme="minorHAnsi"/>
          <w:lang w:val="en-GB"/>
        </w:rPr>
        <w:t>Compared with European/Other (2.3%), g</w:t>
      </w:r>
      <w:r w:rsidR="00166C3F">
        <w:rPr>
          <w:rFonts w:asciiTheme="minorHAnsi" w:hAnsiTheme="minorHAnsi" w:cstheme="minorHAnsi"/>
          <w:lang w:val="en-GB"/>
        </w:rPr>
        <w:t>reater proportions of Māori</w:t>
      </w:r>
      <w:r>
        <w:rPr>
          <w:rFonts w:asciiTheme="minorHAnsi" w:hAnsiTheme="minorHAnsi" w:cstheme="minorHAnsi"/>
          <w:lang w:val="en-GB"/>
        </w:rPr>
        <w:t xml:space="preserve"> (6.0%) </w:t>
      </w:r>
      <w:r w:rsidR="00166C3F">
        <w:rPr>
          <w:rFonts w:asciiTheme="minorHAnsi" w:hAnsiTheme="minorHAnsi" w:cstheme="minorHAnsi"/>
          <w:lang w:val="en-GB"/>
        </w:rPr>
        <w:t xml:space="preserve">and Pacific </w:t>
      </w:r>
      <w:r>
        <w:rPr>
          <w:rFonts w:asciiTheme="minorHAnsi" w:hAnsiTheme="minorHAnsi" w:cstheme="minorHAnsi"/>
          <w:lang w:val="en-GB"/>
        </w:rPr>
        <w:t xml:space="preserve">(4.6%) </w:t>
      </w:r>
      <w:r w:rsidR="00166C3F">
        <w:rPr>
          <w:rFonts w:asciiTheme="minorHAnsi" w:hAnsiTheme="minorHAnsi" w:cstheme="minorHAnsi"/>
          <w:lang w:val="en-GB"/>
        </w:rPr>
        <w:t>respondents experienc</w:t>
      </w:r>
      <w:r>
        <w:rPr>
          <w:rFonts w:asciiTheme="minorHAnsi" w:hAnsiTheme="minorHAnsi" w:cstheme="minorHAnsi"/>
          <w:lang w:val="en-GB"/>
        </w:rPr>
        <w:t>ed</w:t>
      </w:r>
      <w:r w:rsidR="00166C3F">
        <w:rPr>
          <w:rFonts w:asciiTheme="minorHAnsi" w:hAnsiTheme="minorHAnsi" w:cstheme="minorHAnsi"/>
          <w:lang w:val="en-GB"/>
        </w:rPr>
        <w:t xml:space="preserve"> negative impacts from someone else’s gambling.</w:t>
      </w:r>
      <w:r>
        <w:rPr>
          <w:rFonts w:asciiTheme="minorHAnsi" w:hAnsiTheme="minorHAnsi" w:cstheme="minorHAnsi"/>
          <w:lang w:val="en-GB"/>
        </w:rPr>
        <w:t xml:space="preserve">  This relationship was significant (p&lt;0.0001)</w:t>
      </w:r>
      <w:r w:rsidR="008E26BF">
        <w:rPr>
          <w:rFonts w:asciiTheme="minorHAnsi" w:hAnsiTheme="minorHAnsi" w:cstheme="minorHAnsi"/>
          <w:lang w:val="en-GB"/>
        </w:rPr>
        <w:t xml:space="preserve"> and</w:t>
      </w:r>
      <w:r>
        <w:rPr>
          <w:rFonts w:asciiTheme="minorHAnsi" w:hAnsiTheme="minorHAnsi" w:cstheme="minorHAnsi"/>
          <w:lang w:val="en-GB"/>
        </w:rPr>
        <w:t xml:space="preserve"> </w:t>
      </w:r>
      <w:r w:rsidR="004E4D03">
        <w:rPr>
          <w:rFonts w:asciiTheme="minorHAnsi" w:hAnsiTheme="minorHAnsi" w:cstheme="minorHAnsi"/>
          <w:lang w:val="en-GB"/>
        </w:rPr>
        <w:t xml:space="preserve">regression analysis revealed that </w:t>
      </w:r>
      <w:r>
        <w:rPr>
          <w:rFonts w:asciiTheme="minorHAnsi" w:hAnsiTheme="minorHAnsi" w:cstheme="minorHAnsi"/>
          <w:lang w:val="en-GB"/>
        </w:rPr>
        <w:t>Māori</w:t>
      </w:r>
      <w:r w:rsidR="008E26BF">
        <w:rPr>
          <w:rFonts w:asciiTheme="minorHAnsi" w:hAnsiTheme="minorHAnsi" w:cstheme="minorHAnsi"/>
          <w:lang w:val="en-GB"/>
        </w:rPr>
        <w:t xml:space="preserve"> were</w:t>
      </w:r>
      <w:r>
        <w:rPr>
          <w:rFonts w:asciiTheme="minorHAnsi" w:hAnsiTheme="minorHAnsi" w:cstheme="minorHAnsi"/>
          <w:lang w:val="en-GB"/>
        </w:rPr>
        <w:t xml:space="preserve"> nearly three (OR 2.8) and Pacific </w:t>
      </w:r>
      <w:r w:rsidR="008E26BF">
        <w:rPr>
          <w:rFonts w:asciiTheme="minorHAnsi" w:hAnsiTheme="minorHAnsi" w:cstheme="minorHAnsi"/>
          <w:lang w:val="en-GB"/>
        </w:rPr>
        <w:t>two</w:t>
      </w:r>
      <w:r>
        <w:rPr>
          <w:rFonts w:asciiTheme="minorHAnsi" w:hAnsiTheme="minorHAnsi" w:cstheme="minorHAnsi"/>
          <w:lang w:val="en-GB"/>
        </w:rPr>
        <w:t xml:space="preserve"> (OR 2.0) </w:t>
      </w:r>
      <w:r w:rsidR="008E26BF">
        <w:rPr>
          <w:rFonts w:asciiTheme="minorHAnsi" w:hAnsiTheme="minorHAnsi" w:cstheme="minorHAnsi"/>
          <w:lang w:val="en-GB"/>
        </w:rPr>
        <w:t>times more</w:t>
      </w:r>
      <w:r>
        <w:rPr>
          <w:rFonts w:asciiTheme="minorHAnsi" w:hAnsiTheme="minorHAnsi" w:cstheme="minorHAnsi"/>
          <w:lang w:val="en-GB"/>
        </w:rPr>
        <w:t xml:space="preserve"> likely</w:t>
      </w:r>
      <w:r w:rsidR="008E26BF">
        <w:rPr>
          <w:rFonts w:asciiTheme="minorHAnsi" w:hAnsiTheme="minorHAnsi" w:cstheme="minorHAnsi"/>
          <w:lang w:val="en-GB"/>
        </w:rPr>
        <w:t xml:space="preserve"> than</w:t>
      </w:r>
      <w:r>
        <w:rPr>
          <w:rFonts w:asciiTheme="minorHAnsi" w:hAnsiTheme="minorHAnsi" w:cstheme="minorHAnsi"/>
          <w:lang w:val="en-GB"/>
        </w:rPr>
        <w:t xml:space="preserve"> European/Other (OR1) to report negative impacts.  Asian </w:t>
      </w:r>
      <w:r w:rsidR="004E4D03">
        <w:rPr>
          <w:rFonts w:asciiTheme="minorHAnsi" w:hAnsiTheme="minorHAnsi" w:cstheme="minorHAnsi"/>
          <w:lang w:val="en-GB"/>
        </w:rPr>
        <w:t xml:space="preserve">people </w:t>
      </w:r>
      <w:r>
        <w:rPr>
          <w:rFonts w:asciiTheme="minorHAnsi" w:hAnsiTheme="minorHAnsi" w:cstheme="minorHAnsi"/>
          <w:lang w:val="en-GB"/>
        </w:rPr>
        <w:t xml:space="preserve">were </w:t>
      </w:r>
      <w:r w:rsidR="00521854">
        <w:rPr>
          <w:rFonts w:asciiTheme="minorHAnsi" w:hAnsiTheme="minorHAnsi" w:cstheme="minorHAnsi"/>
          <w:lang w:val="en-GB"/>
        </w:rPr>
        <w:t>less</w:t>
      </w:r>
      <w:r>
        <w:rPr>
          <w:rFonts w:asciiTheme="minorHAnsi" w:hAnsiTheme="minorHAnsi" w:cstheme="minorHAnsi"/>
          <w:lang w:val="en-GB"/>
        </w:rPr>
        <w:t xml:space="preserve"> likely to</w:t>
      </w:r>
      <w:r w:rsidR="00C324B1">
        <w:rPr>
          <w:rFonts w:asciiTheme="minorHAnsi" w:hAnsiTheme="minorHAnsi" w:cstheme="minorHAnsi"/>
          <w:lang w:val="en-GB"/>
        </w:rPr>
        <w:t xml:space="preserve"> report</w:t>
      </w:r>
      <w:r>
        <w:rPr>
          <w:rFonts w:asciiTheme="minorHAnsi" w:hAnsiTheme="minorHAnsi" w:cstheme="minorHAnsi"/>
          <w:lang w:val="en-GB"/>
        </w:rPr>
        <w:t xml:space="preserve"> </w:t>
      </w:r>
      <w:r w:rsidR="004E4D03">
        <w:rPr>
          <w:rFonts w:asciiTheme="minorHAnsi" w:hAnsiTheme="minorHAnsi" w:cstheme="minorHAnsi"/>
          <w:lang w:val="en-GB"/>
        </w:rPr>
        <w:t xml:space="preserve">being negatively impacted by </w:t>
      </w:r>
      <w:r>
        <w:rPr>
          <w:rFonts w:asciiTheme="minorHAnsi" w:hAnsiTheme="minorHAnsi" w:cstheme="minorHAnsi"/>
          <w:lang w:val="en-GB"/>
        </w:rPr>
        <w:t xml:space="preserve">someone else’s gambling (OR 0.8). </w:t>
      </w:r>
      <w:r w:rsidR="008E26BF">
        <w:rPr>
          <w:rFonts w:asciiTheme="minorHAnsi" w:hAnsiTheme="minorHAnsi" w:cstheme="minorHAnsi"/>
          <w:lang w:val="en-GB"/>
        </w:rPr>
        <w:t xml:space="preserve"> See </w:t>
      </w:r>
      <w:r w:rsidR="00D333EF">
        <w:rPr>
          <w:rFonts w:asciiTheme="minorHAnsi" w:hAnsiTheme="minorHAnsi" w:cstheme="minorHAnsi"/>
          <w:lang w:val="en-GB"/>
        </w:rPr>
        <w:t>Table 34</w:t>
      </w:r>
      <w:r w:rsidR="008E26BF">
        <w:rPr>
          <w:rFonts w:asciiTheme="minorHAnsi" w:hAnsiTheme="minorHAnsi"/>
        </w:rPr>
        <w:t xml:space="preserve"> (</w:t>
      </w:r>
      <w:r w:rsidR="00D333EF">
        <w:rPr>
          <w:rFonts w:asciiTheme="minorHAnsi" w:hAnsiTheme="minorHAnsi"/>
        </w:rPr>
        <w:t>Appendix L</w:t>
      </w:r>
      <w:r w:rsidR="008E26BF">
        <w:rPr>
          <w:rFonts w:asciiTheme="minorHAnsi" w:hAnsiTheme="minorHAnsi"/>
        </w:rPr>
        <w:t xml:space="preserve">) for detailed results. </w:t>
      </w:r>
    </w:p>
    <w:p w14:paraId="4417DAAD" w14:textId="77777777" w:rsidR="00850A1E" w:rsidRDefault="00850A1E" w:rsidP="00F061EF">
      <w:pPr>
        <w:pStyle w:val="Heading3"/>
      </w:pPr>
      <w:bookmarkStart w:id="177" w:name="_Toc403833197"/>
      <w:r w:rsidRPr="00B77FEF">
        <w:t xml:space="preserve">By </w:t>
      </w:r>
      <w:r>
        <w:t>neighbourhood deprivation</w:t>
      </w:r>
      <w:bookmarkEnd w:id="177"/>
    </w:p>
    <w:p w14:paraId="622D02E0" w14:textId="77777777" w:rsidR="00850A1E" w:rsidRPr="00D47C3E" w:rsidRDefault="00D47C3E" w:rsidP="00850A1E">
      <w:pPr>
        <w:rPr>
          <w:rFonts w:asciiTheme="minorHAnsi" w:hAnsiTheme="minorHAnsi" w:cstheme="minorHAnsi"/>
          <w:lang w:val="en-GB"/>
        </w:rPr>
      </w:pPr>
      <w:r w:rsidRPr="00D47C3E">
        <w:rPr>
          <w:rFonts w:asciiTheme="minorHAnsi" w:hAnsiTheme="minorHAnsi" w:cstheme="minorHAnsi"/>
          <w:lang w:val="en-GB"/>
        </w:rPr>
        <w:t xml:space="preserve">There was a general trend for the incidence of harm from other’s gambling to increase with neighbourhood deprivation: 1.8% of those in the least deprived neighbourhoods rising steadily to 3.8% for neighbourhoods with the highest levels of deprivation. </w:t>
      </w:r>
      <w:r w:rsidR="00DE126D">
        <w:rPr>
          <w:rFonts w:asciiTheme="minorHAnsi" w:hAnsiTheme="minorHAnsi" w:cstheme="minorHAnsi"/>
          <w:lang w:val="en-GB"/>
        </w:rPr>
        <w:t xml:space="preserve"> However, t</w:t>
      </w:r>
      <w:r w:rsidRPr="00D47C3E">
        <w:rPr>
          <w:rFonts w:asciiTheme="minorHAnsi" w:hAnsiTheme="minorHAnsi" w:cstheme="minorHAnsi"/>
          <w:lang w:val="en-GB"/>
        </w:rPr>
        <w:t>his relationship was not statistically significant (p=0.51).</w:t>
      </w:r>
      <w:r w:rsidR="00B12EB2">
        <w:rPr>
          <w:rFonts w:asciiTheme="minorHAnsi" w:hAnsiTheme="minorHAnsi" w:cstheme="minorHAnsi"/>
          <w:lang w:val="en-GB"/>
        </w:rPr>
        <w:t xml:space="preserve">  See </w:t>
      </w:r>
      <w:r w:rsidR="006A115F">
        <w:rPr>
          <w:rFonts w:asciiTheme="minorHAnsi" w:hAnsiTheme="minorHAnsi" w:cstheme="minorHAnsi"/>
          <w:lang w:val="en-GB"/>
        </w:rPr>
        <w:t>Table 34</w:t>
      </w:r>
      <w:r w:rsidR="006A115F">
        <w:rPr>
          <w:rFonts w:asciiTheme="minorHAnsi" w:hAnsiTheme="minorHAnsi"/>
        </w:rPr>
        <w:t xml:space="preserve"> (Appendix L)</w:t>
      </w:r>
      <w:r w:rsidR="00B12EB2">
        <w:rPr>
          <w:rFonts w:asciiTheme="minorHAnsi" w:hAnsiTheme="minorHAnsi"/>
        </w:rPr>
        <w:t xml:space="preserve"> for detailed results.</w:t>
      </w:r>
    </w:p>
    <w:p w14:paraId="73D43805" w14:textId="77777777" w:rsidR="00850A1E" w:rsidRPr="00B77FEF" w:rsidRDefault="00850A1E" w:rsidP="00F061EF">
      <w:pPr>
        <w:pStyle w:val="Heading3"/>
      </w:pPr>
      <w:bookmarkStart w:id="178" w:name="_Toc403833198"/>
      <w:r w:rsidRPr="00B77FEF">
        <w:lastRenderedPageBreak/>
        <w:t xml:space="preserve">By </w:t>
      </w:r>
      <w:r>
        <w:t>geography</w:t>
      </w:r>
      <w:bookmarkEnd w:id="178"/>
      <w:r>
        <w:t xml:space="preserve"> </w:t>
      </w:r>
    </w:p>
    <w:p w14:paraId="2F760031" w14:textId="77777777" w:rsidR="00FF4981" w:rsidRDefault="00B12EB2" w:rsidP="00625825">
      <w:pPr>
        <w:rPr>
          <w:rFonts w:asciiTheme="minorHAnsi" w:hAnsiTheme="minorHAnsi" w:cstheme="minorHAnsi"/>
          <w:lang w:val="en-GB"/>
        </w:rPr>
      </w:pPr>
      <w:r w:rsidRPr="00905AA1">
        <w:rPr>
          <w:rFonts w:asciiTheme="minorHAnsi" w:hAnsiTheme="minorHAnsi" w:cstheme="minorHAnsi"/>
          <w:lang w:val="en-GB"/>
        </w:rPr>
        <w:t xml:space="preserve">No relationship was evident between </w:t>
      </w:r>
      <w:r w:rsidR="00905AA1">
        <w:rPr>
          <w:rFonts w:asciiTheme="minorHAnsi" w:hAnsiTheme="minorHAnsi" w:cstheme="minorHAnsi"/>
          <w:lang w:val="en-GB"/>
        </w:rPr>
        <w:t xml:space="preserve">geographic location (i.e. </w:t>
      </w:r>
      <w:r w:rsidRPr="00905AA1">
        <w:rPr>
          <w:rFonts w:asciiTheme="minorHAnsi" w:hAnsiTheme="minorHAnsi" w:cstheme="minorHAnsi"/>
          <w:lang w:val="en-GB"/>
        </w:rPr>
        <w:t>living in a rural or urban</w:t>
      </w:r>
      <w:r w:rsidR="00905AA1">
        <w:rPr>
          <w:rFonts w:asciiTheme="minorHAnsi" w:hAnsiTheme="minorHAnsi" w:cstheme="minorHAnsi"/>
          <w:lang w:val="en-GB"/>
        </w:rPr>
        <w:t>)</w:t>
      </w:r>
      <w:r w:rsidRPr="00905AA1">
        <w:rPr>
          <w:rFonts w:asciiTheme="minorHAnsi" w:hAnsiTheme="minorHAnsi" w:cstheme="minorHAnsi"/>
          <w:lang w:val="en-GB"/>
        </w:rPr>
        <w:t xml:space="preserve"> and being impacted by someone else’s gambling</w:t>
      </w:r>
      <w:r w:rsidR="00905AA1">
        <w:rPr>
          <w:rFonts w:asciiTheme="minorHAnsi" w:hAnsiTheme="minorHAnsi" w:cstheme="minorHAnsi"/>
          <w:lang w:val="en-GB"/>
        </w:rPr>
        <w:t>.</w:t>
      </w:r>
    </w:p>
    <w:p w14:paraId="5CF232B0" w14:textId="77777777" w:rsidR="00905AA1" w:rsidRPr="00625825" w:rsidRDefault="00905AA1" w:rsidP="00625825">
      <w:pPr>
        <w:rPr>
          <w:rFonts w:asciiTheme="minorHAnsi" w:hAnsiTheme="minorHAnsi"/>
        </w:rPr>
      </w:pPr>
    </w:p>
    <w:p w14:paraId="528F7070" w14:textId="77777777" w:rsidR="00A64A4E" w:rsidRPr="00AF3A24" w:rsidRDefault="000245C7" w:rsidP="00F061EF">
      <w:pPr>
        <w:pStyle w:val="Heading2"/>
      </w:pPr>
      <w:bookmarkStart w:id="179" w:name="_Toc403833199"/>
      <w:r>
        <w:t>Gambling status (</w:t>
      </w:r>
      <w:r w:rsidR="00B85E87">
        <w:t>PGSI</w:t>
      </w:r>
      <w:r>
        <w:t xml:space="preserve"> score) and being </w:t>
      </w:r>
      <w:r w:rsidR="00DB48F6" w:rsidRPr="00AF3A24">
        <w:t>affect</w:t>
      </w:r>
      <w:r>
        <w:t>ed by</w:t>
      </w:r>
      <w:r w:rsidR="00DB48F6" w:rsidRPr="00AF3A24">
        <w:t xml:space="preserve"> </w:t>
      </w:r>
      <w:r w:rsidR="00C97BDF">
        <w:t>someone else’s</w:t>
      </w:r>
      <w:r w:rsidR="00DB48F6" w:rsidRPr="00AF3A24">
        <w:t xml:space="preserve"> gambling</w:t>
      </w:r>
      <w:bookmarkEnd w:id="179"/>
    </w:p>
    <w:p w14:paraId="63D9651B" w14:textId="1E50B946" w:rsidR="000D16C2" w:rsidRDefault="00644131" w:rsidP="00A64A4E">
      <w:pPr>
        <w:rPr>
          <w:rFonts w:asciiTheme="minorHAnsi" w:hAnsiTheme="minorHAnsi"/>
        </w:rPr>
      </w:pPr>
      <w:r>
        <w:rPr>
          <w:rFonts w:asciiTheme="minorHAnsi" w:hAnsiTheme="minorHAnsi"/>
        </w:rPr>
        <w:t xml:space="preserve">As outlined in </w:t>
      </w:r>
      <w:r w:rsidR="006A115F">
        <w:rPr>
          <w:rFonts w:asciiTheme="minorHAnsi" w:hAnsiTheme="minorHAnsi"/>
        </w:rPr>
        <w:t>Table 17</w:t>
      </w:r>
      <w:r>
        <w:rPr>
          <w:rFonts w:asciiTheme="minorHAnsi" w:hAnsiTheme="minorHAnsi"/>
        </w:rPr>
        <w:t>, o</w:t>
      </w:r>
      <w:r w:rsidR="000D16C2">
        <w:rPr>
          <w:rFonts w:asciiTheme="minorHAnsi" w:hAnsiTheme="minorHAnsi"/>
        </w:rPr>
        <w:t>f the 2.5% of adults aged 15 and over who had been affected by someone else’s gambling, approximately one-third were non-gamblers (31.2%)</w:t>
      </w:r>
      <w:r w:rsidR="002E2785">
        <w:rPr>
          <w:rFonts w:asciiTheme="minorHAnsi" w:hAnsiTheme="minorHAnsi"/>
        </w:rPr>
        <w:t>, t</w:t>
      </w:r>
      <w:r w:rsidR="000D16C2">
        <w:rPr>
          <w:rFonts w:asciiTheme="minorHAnsi" w:hAnsiTheme="minorHAnsi"/>
        </w:rPr>
        <w:t xml:space="preserve">he majority were non-problem/recreational gamblers (56.8%), and 12% </w:t>
      </w:r>
      <w:r w:rsidR="00134D1B">
        <w:rPr>
          <w:rFonts w:asciiTheme="minorHAnsi" w:hAnsiTheme="minorHAnsi"/>
        </w:rPr>
        <w:t xml:space="preserve">were classified as low- or moderate-risk/problem gamblers (i.e. they </w:t>
      </w:r>
      <w:r w:rsidR="000D16C2">
        <w:rPr>
          <w:rFonts w:asciiTheme="minorHAnsi" w:hAnsiTheme="minorHAnsi"/>
        </w:rPr>
        <w:t xml:space="preserve">were experiencing some </w:t>
      </w:r>
      <w:r w:rsidR="00F85D0A">
        <w:rPr>
          <w:rFonts w:asciiTheme="minorHAnsi" w:hAnsiTheme="minorHAnsi"/>
        </w:rPr>
        <w:t xml:space="preserve">level of </w:t>
      </w:r>
      <w:r w:rsidR="000D16C2">
        <w:rPr>
          <w:rFonts w:asciiTheme="minorHAnsi" w:hAnsiTheme="minorHAnsi"/>
        </w:rPr>
        <w:t xml:space="preserve">harm from their own gambling </w:t>
      </w:r>
      <w:r>
        <w:rPr>
          <w:rFonts w:asciiTheme="minorHAnsi" w:hAnsiTheme="minorHAnsi"/>
        </w:rPr>
        <w:t>).</w:t>
      </w:r>
    </w:p>
    <w:p w14:paraId="2608B6A5" w14:textId="77777777" w:rsidR="00A64A4E" w:rsidRPr="00AF3A24" w:rsidRDefault="00A64A4E" w:rsidP="00A64A4E">
      <w:pPr>
        <w:pStyle w:val="Caption"/>
        <w:keepNext/>
        <w:spacing w:line="276" w:lineRule="auto"/>
        <w:ind w:left="993" w:hanging="993"/>
        <w:rPr>
          <w:rFonts w:asciiTheme="minorHAnsi" w:hAnsiTheme="minorHAnsi" w:cstheme="minorHAnsi"/>
          <w:i/>
          <w:vertAlign w:val="superscript"/>
        </w:rPr>
      </w:pPr>
      <w:bookmarkStart w:id="180" w:name="_Ref398116912"/>
      <w:bookmarkStart w:id="181" w:name="_Toc425426884"/>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17</w:t>
      </w:r>
      <w:r w:rsidRPr="00AF3A24">
        <w:rPr>
          <w:rFonts w:asciiTheme="minorHAnsi" w:hAnsiTheme="minorHAnsi"/>
          <w:i/>
        </w:rPr>
        <w:fldChar w:fldCharType="end"/>
      </w:r>
      <w:bookmarkEnd w:id="180"/>
      <w:r w:rsidRPr="00AF3A24">
        <w:rPr>
          <w:rFonts w:asciiTheme="minorHAnsi" w:hAnsiTheme="minorHAnsi"/>
          <w:i/>
        </w:rPr>
        <w:t>:</w:t>
      </w:r>
      <w:r w:rsidR="005A35AA">
        <w:rPr>
          <w:rFonts w:asciiTheme="minorHAnsi" w:hAnsiTheme="minorHAnsi"/>
          <w:i/>
        </w:rPr>
        <w:t xml:space="preserve"> </w:t>
      </w:r>
      <w:r w:rsidRPr="00AF3A24">
        <w:rPr>
          <w:rFonts w:asciiTheme="minorHAnsi" w:hAnsiTheme="minorHAnsi" w:cstheme="minorHAnsi"/>
          <w:i/>
        </w:rPr>
        <w:t xml:space="preserve">Have been affected by other’s gambling by gambling status (PGSI categorisation), total population aged 15 years and over (unadjusted prevalence) </w:t>
      </w:r>
      <w:r w:rsidRPr="00AF3A24">
        <w:rPr>
          <w:rFonts w:asciiTheme="minorHAnsi" w:hAnsiTheme="minorHAnsi" w:cstheme="minorHAnsi"/>
          <w:i/>
          <w:vertAlign w:val="superscript"/>
        </w:rPr>
        <w:t>1</w:t>
      </w:r>
      <w:bookmarkEnd w:id="181"/>
    </w:p>
    <w:tbl>
      <w:tblPr>
        <w:tblStyle w:val="TableGrid"/>
        <w:tblW w:w="0" w:type="auto"/>
        <w:jc w:val="center"/>
        <w:tblInd w:w="747" w:type="dxa"/>
        <w:tblLook w:val="04A0" w:firstRow="1" w:lastRow="0" w:firstColumn="1" w:lastColumn="0" w:noHBand="0" w:noVBand="1"/>
      </w:tblPr>
      <w:tblGrid>
        <w:gridCol w:w="3591"/>
        <w:gridCol w:w="1229"/>
        <w:gridCol w:w="1572"/>
        <w:gridCol w:w="1573"/>
        <w:gridCol w:w="1475"/>
      </w:tblGrid>
      <w:tr w:rsidR="006879ED" w:rsidRPr="00AF3A24" w14:paraId="3D25A36D" w14:textId="77777777" w:rsidTr="006879ED">
        <w:trPr>
          <w:trHeight w:val="314"/>
          <w:jc w:val="center"/>
        </w:trPr>
        <w:tc>
          <w:tcPr>
            <w:tcW w:w="3591" w:type="dxa"/>
            <w:vMerge w:val="restart"/>
            <w:shd w:val="clear" w:color="auto" w:fill="92CDDC" w:themeFill="accent5" w:themeFillTint="99"/>
            <w:vAlign w:val="center"/>
          </w:tcPr>
          <w:p w14:paraId="375398C1" w14:textId="77777777" w:rsidR="006879ED" w:rsidRPr="00AF3A24" w:rsidRDefault="006879ED" w:rsidP="006473FF">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PGSI CATEGORISATION</w:t>
            </w:r>
          </w:p>
        </w:tc>
        <w:tc>
          <w:tcPr>
            <w:tcW w:w="5849" w:type="dxa"/>
            <w:gridSpan w:val="4"/>
            <w:shd w:val="clear" w:color="auto" w:fill="92CDDC" w:themeFill="accent5" w:themeFillTint="99"/>
            <w:vAlign w:val="center"/>
          </w:tcPr>
          <w:p w14:paraId="1D180286" w14:textId="0E0881D9" w:rsidR="006879ED" w:rsidRPr="00AF3A24" w:rsidRDefault="006879ED" w:rsidP="006879E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AFFECTED BY OTHER’S GAMBLING</w:t>
            </w:r>
          </w:p>
        </w:tc>
      </w:tr>
      <w:tr w:rsidR="006879ED" w:rsidRPr="00AF3A24" w14:paraId="6179EDD1" w14:textId="77777777" w:rsidTr="006879ED">
        <w:trPr>
          <w:trHeight w:val="491"/>
          <w:jc w:val="center"/>
        </w:trPr>
        <w:tc>
          <w:tcPr>
            <w:tcW w:w="3591" w:type="dxa"/>
            <w:vMerge/>
            <w:shd w:val="clear" w:color="auto" w:fill="92CDDC" w:themeFill="accent5" w:themeFillTint="99"/>
            <w:vAlign w:val="center"/>
          </w:tcPr>
          <w:p w14:paraId="67FB50C8" w14:textId="77777777" w:rsidR="006879ED" w:rsidRPr="00AF3A24" w:rsidRDefault="006879ED" w:rsidP="006473FF">
            <w:pPr>
              <w:spacing w:before="0" w:line="240" w:lineRule="auto"/>
              <w:jc w:val="left"/>
              <w:rPr>
                <w:rFonts w:asciiTheme="minorHAnsi" w:hAnsiTheme="minorHAnsi" w:cstheme="minorHAnsi"/>
                <w:b/>
                <w:sz w:val="18"/>
                <w:szCs w:val="18"/>
              </w:rPr>
            </w:pPr>
          </w:p>
        </w:tc>
        <w:tc>
          <w:tcPr>
            <w:tcW w:w="1229" w:type="dxa"/>
            <w:vMerge w:val="restart"/>
            <w:shd w:val="clear" w:color="auto" w:fill="92CDDC" w:themeFill="accent5" w:themeFillTint="99"/>
            <w:vAlign w:val="center"/>
          </w:tcPr>
          <w:p w14:paraId="44E6E57E" w14:textId="43A66F5C" w:rsidR="006879ED" w:rsidRPr="00AF3A24" w:rsidRDefault="006879ED" w:rsidP="006879E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72" w:type="dxa"/>
            <w:tcBorders>
              <w:bottom w:val="single" w:sz="4" w:space="0" w:color="auto"/>
            </w:tcBorders>
            <w:shd w:val="clear" w:color="auto" w:fill="92CDDC" w:themeFill="accent5" w:themeFillTint="99"/>
            <w:vAlign w:val="center"/>
          </w:tcPr>
          <w:p w14:paraId="2F56EDBC" w14:textId="3D24B956"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Prevalence for total adults </w:t>
            </w:r>
          </w:p>
          <w:p w14:paraId="34EB2069" w14:textId="77777777" w:rsidR="006879ED" w:rsidRPr="00AF3A24" w:rsidRDefault="006879ED" w:rsidP="00A64A4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(N=12,576)</w:t>
            </w:r>
          </w:p>
        </w:tc>
        <w:tc>
          <w:tcPr>
            <w:tcW w:w="1573" w:type="dxa"/>
            <w:tcBorders>
              <w:bottom w:val="single" w:sz="4" w:space="0" w:color="auto"/>
            </w:tcBorders>
            <w:shd w:val="clear" w:color="auto" w:fill="92CDDC" w:themeFill="accent5" w:themeFillTint="99"/>
            <w:vAlign w:val="center"/>
          </w:tcPr>
          <w:p w14:paraId="3B473130" w14:textId="77777777" w:rsidR="006879ED" w:rsidRPr="00AF3A24" w:rsidRDefault="006879ED" w:rsidP="00A64A4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Prevalence for those who’ve been affected (N=391)</w:t>
            </w:r>
          </w:p>
        </w:tc>
        <w:tc>
          <w:tcPr>
            <w:tcW w:w="1475" w:type="dxa"/>
            <w:vMerge w:val="restart"/>
            <w:shd w:val="clear" w:color="auto" w:fill="92CDDC" w:themeFill="accent5" w:themeFillTint="99"/>
            <w:vAlign w:val="center"/>
          </w:tcPr>
          <w:p w14:paraId="3536DE7F"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Estimated number </w:t>
            </w:r>
          </w:p>
          <w:p w14:paraId="150282BC"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of people</w:t>
            </w:r>
          </w:p>
          <w:p w14:paraId="1C5E1C8C"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 (95% CI)</w:t>
            </w:r>
            <w:r>
              <w:rPr>
                <w:rFonts w:asciiTheme="minorHAnsi" w:hAnsiTheme="minorHAnsi" w:cstheme="minorHAnsi"/>
                <w:b/>
                <w:sz w:val="18"/>
                <w:szCs w:val="18"/>
              </w:rPr>
              <w:t xml:space="preserve"> </w:t>
            </w:r>
            <w:r w:rsidRPr="005E272D">
              <w:rPr>
                <w:rFonts w:asciiTheme="minorHAnsi" w:hAnsiTheme="minorHAnsi" w:cstheme="minorHAnsi"/>
                <w:b/>
                <w:sz w:val="18"/>
                <w:szCs w:val="18"/>
                <w:vertAlign w:val="superscript"/>
              </w:rPr>
              <w:t>2</w:t>
            </w:r>
          </w:p>
        </w:tc>
      </w:tr>
      <w:tr w:rsidR="006879ED" w:rsidRPr="00AF3A24" w14:paraId="78B1DBB9" w14:textId="77777777" w:rsidTr="006879ED">
        <w:trPr>
          <w:trHeight w:val="275"/>
          <w:jc w:val="center"/>
        </w:trPr>
        <w:tc>
          <w:tcPr>
            <w:tcW w:w="3591" w:type="dxa"/>
            <w:vMerge/>
            <w:tcBorders>
              <w:bottom w:val="single" w:sz="4" w:space="0" w:color="auto"/>
            </w:tcBorders>
            <w:shd w:val="clear" w:color="auto" w:fill="92CDDC" w:themeFill="accent5" w:themeFillTint="99"/>
            <w:vAlign w:val="center"/>
          </w:tcPr>
          <w:p w14:paraId="1DA5454B" w14:textId="77777777" w:rsidR="006879ED" w:rsidRPr="00AF3A24" w:rsidRDefault="006879ED" w:rsidP="006473FF">
            <w:pPr>
              <w:spacing w:before="0" w:line="240" w:lineRule="auto"/>
              <w:jc w:val="left"/>
              <w:rPr>
                <w:rFonts w:asciiTheme="minorHAnsi" w:hAnsiTheme="minorHAnsi" w:cstheme="minorHAnsi"/>
                <w:b/>
                <w:sz w:val="18"/>
                <w:szCs w:val="18"/>
              </w:rPr>
            </w:pPr>
          </w:p>
        </w:tc>
        <w:tc>
          <w:tcPr>
            <w:tcW w:w="1229" w:type="dxa"/>
            <w:vMerge/>
            <w:tcBorders>
              <w:bottom w:val="single" w:sz="4" w:space="0" w:color="auto"/>
            </w:tcBorders>
            <w:shd w:val="clear" w:color="auto" w:fill="92CDDC" w:themeFill="accent5" w:themeFillTint="99"/>
            <w:vAlign w:val="center"/>
          </w:tcPr>
          <w:p w14:paraId="1857A2BC" w14:textId="48997EE8" w:rsidR="006879ED" w:rsidRPr="00AF3A24" w:rsidRDefault="006879ED" w:rsidP="006473FF">
            <w:pPr>
              <w:spacing w:before="0" w:line="240" w:lineRule="auto"/>
              <w:jc w:val="center"/>
              <w:rPr>
                <w:rFonts w:asciiTheme="minorHAnsi" w:hAnsiTheme="minorHAnsi" w:cstheme="minorHAnsi"/>
                <w:b/>
                <w:sz w:val="18"/>
                <w:szCs w:val="18"/>
              </w:rPr>
            </w:pPr>
          </w:p>
        </w:tc>
        <w:tc>
          <w:tcPr>
            <w:tcW w:w="1572" w:type="dxa"/>
            <w:tcBorders>
              <w:bottom w:val="single" w:sz="4" w:space="0" w:color="auto"/>
            </w:tcBorders>
            <w:shd w:val="clear" w:color="auto" w:fill="92CDDC" w:themeFill="accent5" w:themeFillTint="99"/>
            <w:vAlign w:val="center"/>
          </w:tcPr>
          <w:p w14:paraId="46852400"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CC2E4D8"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573" w:type="dxa"/>
            <w:tcBorders>
              <w:bottom w:val="single" w:sz="4" w:space="0" w:color="auto"/>
            </w:tcBorders>
            <w:shd w:val="clear" w:color="auto" w:fill="92CDDC" w:themeFill="accent5" w:themeFillTint="99"/>
            <w:vAlign w:val="center"/>
          </w:tcPr>
          <w:p w14:paraId="5BD2324C"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29E062F4" w14:textId="77777777" w:rsidR="006879ED" w:rsidRPr="00AF3A24" w:rsidRDefault="006879ED" w:rsidP="006473F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475" w:type="dxa"/>
            <w:vMerge/>
            <w:tcBorders>
              <w:bottom w:val="single" w:sz="4" w:space="0" w:color="auto"/>
            </w:tcBorders>
            <w:shd w:val="clear" w:color="auto" w:fill="92CDDC" w:themeFill="accent5" w:themeFillTint="99"/>
          </w:tcPr>
          <w:p w14:paraId="20410036" w14:textId="77777777" w:rsidR="006879ED" w:rsidRPr="00AF3A24" w:rsidRDefault="006879ED" w:rsidP="006473FF">
            <w:pPr>
              <w:spacing w:before="0" w:line="240" w:lineRule="auto"/>
              <w:jc w:val="center"/>
              <w:rPr>
                <w:rFonts w:asciiTheme="minorHAnsi" w:hAnsiTheme="minorHAnsi" w:cstheme="minorHAnsi"/>
                <w:b/>
                <w:sz w:val="18"/>
                <w:szCs w:val="18"/>
              </w:rPr>
            </w:pPr>
          </w:p>
        </w:tc>
      </w:tr>
      <w:tr w:rsidR="006879ED" w:rsidRPr="00AF3A24" w14:paraId="2639B388" w14:textId="77777777" w:rsidTr="006879ED">
        <w:trPr>
          <w:jc w:val="center"/>
        </w:trPr>
        <w:tc>
          <w:tcPr>
            <w:tcW w:w="3591" w:type="dxa"/>
            <w:tcBorders>
              <w:top w:val="single" w:sz="4" w:space="0" w:color="auto"/>
              <w:bottom w:val="nil"/>
            </w:tcBorders>
            <w:shd w:val="clear" w:color="auto" w:fill="DAEEF3" w:themeFill="accent5" w:themeFillTint="33"/>
            <w:vAlign w:val="center"/>
          </w:tcPr>
          <w:p w14:paraId="5A474CAE" w14:textId="77777777" w:rsidR="006879ED" w:rsidRPr="00AF3A24" w:rsidRDefault="006879ED" w:rsidP="006473FF">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1229" w:type="dxa"/>
            <w:tcBorders>
              <w:bottom w:val="nil"/>
            </w:tcBorders>
            <w:shd w:val="clear" w:color="auto" w:fill="DAEEF3" w:themeFill="accent5" w:themeFillTint="33"/>
            <w:vAlign w:val="center"/>
          </w:tcPr>
          <w:p w14:paraId="37D90EDA" w14:textId="7B1508A2" w:rsidR="006879ED" w:rsidRPr="00AF3A24" w:rsidRDefault="006879ED" w:rsidP="006473F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391</w:t>
            </w:r>
          </w:p>
        </w:tc>
        <w:tc>
          <w:tcPr>
            <w:tcW w:w="1572" w:type="dxa"/>
            <w:tcBorders>
              <w:bottom w:val="nil"/>
              <w:right w:val="single" w:sz="4" w:space="0" w:color="auto"/>
            </w:tcBorders>
            <w:shd w:val="clear" w:color="auto" w:fill="DAEEF3" w:themeFill="accent5" w:themeFillTint="33"/>
            <w:vAlign w:val="center"/>
          </w:tcPr>
          <w:p w14:paraId="79468014" w14:textId="77777777" w:rsidR="006879ED" w:rsidRPr="00AF3A24" w:rsidRDefault="006879ED" w:rsidP="006473F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r w:rsidRPr="00AF3A24">
              <w:rPr>
                <w:rFonts w:asciiTheme="minorHAnsi" w:hAnsiTheme="minorHAnsi"/>
                <w:bCs/>
                <w:color w:val="000000"/>
                <w:sz w:val="16"/>
                <w:szCs w:val="16"/>
              </w:rPr>
              <w:br/>
              <w:t>(2.2 - 2.9)</w:t>
            </w:r>
          </w:p>
        </w:tc>
        <w:tc>
          <w:tcPr>
            <w:tcW w:w="1573" w:type="dxa"/>
            <w:tcBorders>
              <w:left w:val="single" w:sz="4" w:space="0" w:color="auto"/>
              <w:bottom w:val="nil"/>
            </w:tcBorders>
            <w:shd w:val="clear" w:color="auto" w:fill="DAEEF3" w:themeFill="accent5" w:themeFillTint="33"/>
            <w:vAlign w:val="center"/>
          </w:tcPr>
          <w:p w14:paraId="20AC895C" w14:textId="77777777" w:rsidR="006879ED" w:rsidRPr="00AF3A24" w:rsidRDefault="006879ED" w:rsidP="006473F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100.0</w:t>
            </w:r>
          </w:p>
        </w:tc>
        <w:tc>
          <w:tcPr>
            <w:tcW w:w="1475" w:type="dxa"/>
            <w:tcBorders>
              <w:left w:val="nil"/>
              <w:bottom w:val="nil"/>
            </w:tcBorders>
            <w:shd w:val="clear" w:color="auto" w:fill="DAEEF3" w:themeFill="accent5" w:themeFillTint="33"/>
            <w:vAlign w:val="center"/>
          </w:tcPr>
          <w:p w14:paraId="161E5F46"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89,100</w:t>
            </w:r>
            <w:r w:rsidRPr="00AF3A24">
              <w:rPr>
                <w:rFonts w:asciiTheme="minorHAnsi" w:hAnsiTheme="minorHAnsi"/>
                <w:bCs/>
                <w:color w:val="000000"/>
                <w:sz w:val="16"/>
                <w:szCs w:val="16"/>
              </w:rPr>
              <w:br/>
              <w:t>(77,000 - 101,100)</w:t>
            </w:r>
          </w:p>
        </w:tc>
      </w:tr>
      <w:tr w:rsidR="006879ED" w:rsidRPr="00AF3A24" w14:paraId="39C25921" w14:textId="77777777" w:rsidTr="006879ED">
        <w:trPr>
          <w:jc w:val="center"/>
        </w:trPr>
        <w:tc>
          <w:tcPr>
            <w:tcW w:w="3591" w:type="dxa"/>
            <w:tcBorders>
              <w:top w:val="single" w:sz="4" w:space="0" w:color="auto"/>
              <w:bottom w:val="nil"/>
            </w:tcBorders>
            <w:shd w:val="clear" w:color="auto" w:fill="DAEEF3" w:themeFill="accent5" w:themeFillTint="33"/>
            <w:vAlign w:val="center"/>
          </w:tcPr>
          <w:p w14:paraId="0EA93D9A" w14:textId="77777777" w:rsidR="006879ED" w:rsidRPr="00AF3A24" w:rsidRDefault="006879ED" w:rsidP="006473FF">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Non-gambler</w:t>
            </w:r>
          </w:p>
        </w:tc>
        <w:tc>
          <w:tcPr>
            <w:tcW w:w="1229" w:type="dxa"/>
            <w:tcBorders>
              <w:bottom w:val="nil"/>
            </w:tcBorders>
            <w:shd w:val="clear" w:color="auto" w:fill="DAEEF3" w:themeFill="accent5" w:themeFillTint="33"/>
            <w:vAlign w:val="center"/>
          </w:tcPr>
          <w:p w14:paraId="465F8238" w14:textId="70F92B4E" w:rsidR="006879ED" w:rsidRPr="00AF3A24" w:rsidRDefault="006879ED" w:rsidP="00F321E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131</w:t>
            </w:r>
          </w:p>
        </w:tc>
        <w:tc>
          <w:tcPr>
            <w:tcW w:w="1572" w:type="dxa"/>
            <w:tcBorders>
              <w:bottom w:val="nil"/>
              <w:right w:val="single" w:sz="4" w:space="0" w:color="auto"/>
            </w:tcBorders>
            <w:shd w:val="clear" w:color="auto" w:fill="DAEEF3" w:themeFill="accent5" w:themeFillTint="33"/>
            <w:vAlign w:val="center"/>
          </w:tcPr>
          <w:p w14:paraId="41956E1E"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w:t>
            </w:r>
            <w:r w:rsidRPr="00AF3A24">
              <w:rPr>
                <w:rFonts w:asciiTheme="minorHAnsi" w:hAnsiTheme="minorHAnsi"/>
                <w:bCs/>
                <w:color w:val="000000"/>
                <w:sz w:val="16"/>
                <w:szCs w:val="16"/>
              </w:rPr>
              <w:br/>
              <w:t>(0.6 - 1.0)</w:t>
            </w:r>
          </w:p>
        </w:tc>
        <w:tc>
          <w:tcPr>
            <w:tcW w:w="1573" w:type="dxa"/>
            <w:tcBorders>
              <w:left w:val="single" w:sz="4" w:space="0" w:color="auto"/>
              <w:bottom w:val="nil"/>
            </w:tcBorders>
            <w:shd w:val="clear" w:color="auto" w:fill="DAEEF3" w:themeFill="accent5" w:themeFillTint="33"/>
            <w:vAlign w:val="center"/>
          </w:tcPr>
          <w:p w14:paraId="1CAE5243" w14:textId="77777777" w:rsidR="006879ED" w:rsidRPr="00AF3A24" w:rsidRDefault="006879ED" w:rsidP="00F321E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31.2</w:t>
            </w:r>
            <w:r w:rsidRPr="00AF3A24">
              <w:rPr>
                <w:rFonts w:asciiTheme="minorHAnsi" w:hAnsiTheme="minorHAnsi"/>
                <w:bCs/>
                <w:color w:val="000000"/>
                <w:sz w:val="16"/>
                <w:szCs w:val="16"/>
              </w:rPr>
              <w:br/>
              <w:t>(25.6 - 36.8)</w:t>
            </w:r>
          </w:p>
        </w:tc>
        <w:tc>
          <w:tcPr>
            <w:tcW w:w="1475" w:type="dxa"/>
            <w:tcBorders>
              <w:left w:val="nil"/>
              <w:bottom w:val="nil"/>
            </w:tcBorders>
            <w:shd w:val="clear" w:color="auto" w:fill="DAEEF3" w:themeFill="accent5" w:themeFillTint="33"/>
            <w:vAlign w:val="center"/>
          </w:tcPr>
          <w:p w14:paraId="66969440"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27,800</w:t>
            </w:r>
            <w:r w:rsidRPr="00AF3A24">
              <w:rPr>
                <w:rFonts w:asciiTheme="minorHAnsi" w:hAnsiTheme="minorHAnsi"/>
                <w:bCs/>
                <w:color w:val="000000"/>
                <w:sz w:val="16"/>
                <w:szCs w:val="16"/>
              </w:rPr>
              <w:br/>
              <w:t>(21,900 - 33,700)</w:t>
            </w:r>
          </w:p>
        </w:tc>
      </w:tr>
      <w:tr w:rsidR="006879ED" w:rsidRPr="00AF3A24" w14:paraId="4C759231" w14:textId="77777777" w:rsidTr="006879ED">
        <w:trPr>
          <w:jc w:val="center"/>
        </w:trPr>
        <w:tc>
          <w:tcPr>
            <w:tcW w:w="3591" w:type="dxa"/>
            <w:tcBorders>
              <w:top w:val="nil"/>
              <w:bottom w:val="nil"/>
            </w:tcBorders>
            <w:shd w:val="clear" w:color="auto" w:fill="DAEEF3" w:themeFill="accent5" w:themeFillTint="33"/>
            <w:vAlign w:val="center"/>
          </w:tcPr>
          <w:p w14:paraId="6FE226D2" w14:textId="77777777" w:rsidR="006879ED" w:rsidRPr="00AF3A24" w:rsidRDefault="006879ED" w:rsidP="006473FF">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Non-problem / Recreational</w:t>
            </w:r>
          </w:p>
        </w:tc>
        <w:tc>
          <w:tcPr>
            <w:tcW w:w="1229" w:type="dxa"/>
            <w:tcBorders>
              <w:top w:val="nil"/>
              <w:bottom w:val="nil"/>
            </w:tcBorders>
            <w:shd w:val="clear" w:color="auto" w:fill="DAEEF3" w:themeFill="accent5" w:themeFillTint="33"/>
            <w:vAlign w:val="center"/>
          </w:tcPr>
          <w:p w14:paraId="5A2D3DCC" w14:textId="21FF444D" w:rsidR="006879ED" w:rsidRPr="00AF3A24" w:rsidRDefault="006879ED" w:rsidP="00F321E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209</w:t>
            </w:r>
          </w:p>
        </w:tc>
        <w:tc>
          <w:tcPr>
            <w:tcW w:w="1572" w:type="dxa"/>
            <w:tcBorders>
              <w:top w:val="nil"/>
              <w:bottom w:val="nil"/>
              <w:right w:val="single" w:sz="4" w:space="0" w:color="auto"/>
            </w:tcBorders>
            <w:shd w:val="clear" w:color="auto" w:fill="DAEEF3" w:themeFill="accent5" w:themeFillTint="33"/>
            <w:vAlign w:val="center"/>
          </w:tcPr>
          <w:p w14:paraId="38C9EEBB"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w:t>
            </w:r>
            <w:r w:rsidRPr="00AF3A24">
              <w:rPr>
                <w:rFonts w:asciiTheme="minorHAnsi" w:hAnsiTheme="minorHAnsi"/>
                <w:bCs/>
                <w:color w:val="000000"/>
                <w:sz w:val="16"/>
                <w:szCs w:val="16"/>
              </w:rPr>
              <w:br/>
              <w:t>(1.2 - 1.7)</w:t>
            </w:r>
          </w:p>
        </w:tc>
        <w:tc>
          <w:tcPr>
            <w:tcW w:w="1573" w:type="dxa"/>
            <w:tcBorders>
              <w:top w:val="nil"/>
              <w:left w:val="single" w:sz="4" w:space="0" w:color="auto"/>
              <w:bottom w:val="nil"/>
            </w:tcBorders>
            <w:shd w:val="clear" w:color="auto" w:fill="DAEEF3" w:themeFill="accent5" w:themeFillTint="33"/>
            <w:vAlign w:val="center"/>
          </w:tcPr>
          <w:p w14:paraId="35D84FB4" w14:textId="77777777" w:rsidR="006879ED" w:rsidRPr="00AF3A24" w:rsidRDefault="006879ED" w:rsidP="00F321E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56.8</w:t>
            </w:r>
            <w:r w:rsidRPr="00AF3A24">
              <w:rPr>
                <w:rFonts w:asciiTheme="minorHAnsi" w:hAnsiTheme="minorHAnsi"/>
                <w:bCs/>
                <w:color w:val="000000"/>
                <w:sz w:val="16"/>
                <w:szCs w:val="16"/>
              </w:rPr>
              <w:br/>
              <w:t>(50.4 - 63.3)</w:t>
            </w:r>
          </w:p>
        </w:tc>
        <w:tc>
          <w:tcPr>
            <w:tcW w:w="1475" w:type="dxa"/>
            <w:tcBorders>
              <w:top w:val="nil"/>
              <w:left w:val="nil"/>
              <w:bottom w:val="nil"/>
            </w:tcBorders>
            <w:shd w:val="clear" w:color="auto" w:fill="DAEEF3" w:themeFill="accent5" w:themeFillTint="33"/>
            <w:vAlign w:val="center"/>
          </w:tcPr>
          <w:p w14:paraId="46768914"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50,600</w:t>
            </w:r>
            <w:r w:rsidRPr="00AF3A24">
              <w:rPr>
                <w:rFonts w:asciiTheme="minorHAnsi" w:hAnsiTheme="minorHAnsi"/>
                <w:bCs/>
                <w:color w:val="000000"/>
                <w:sz w:val="16"/>
                <w:szCs w:val="16"/>
              </w:rPr>
              <w:br/>
              <w:t>(41,400 - 59,900)</w:t>
            </w:r>
          </w:p>
        </w:tc>
      </w:tr>
      <w:tr w:rsidR="006879ED" w:rsidRPr="00AF3A24" w14:paraId="69E91052" w14:textId="77777777" w:rsidTr="006879ED">
        <w:trPr>
          <w:jc w:val="center"/>
        </w:trPr>
        <w:tc>
          <w:tcPr>
            <w:tcW w:w="3591" w:type="dxa"/>
            <w:tcBorders>
              <w:top w:val="nil"/>
              <w:bottom w:val="single" w:sz="4" w:space="0" w:color="auto"/>
            </w:tcBorders>
            <w:shd w:val="clear" w:color="auto" w:fill="DAEEF3" w:themeFill="accent5" w:themeFillTint="33"/>
            <w:vAlign w:val="center"/>
          </w:tcPr>
          <w:p w14:paraId="5576380B" w14:textId="77777777" w:rsidR="006879ED" w:rsidRPr="00AF3A24" w:rsidRDefault="006879ED" w:rsidP="0019754F">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Combined Problem, </w:t>
            </w:r>
            <w:r>
              <w:rPr>
                <w:rFonts w:asciiTheme="minorHAnsi" w:hAnsiTheme="minorHAnsi" w:cstheme="minorHAnsi"/>
                <w:sz w:val="16"/>
                <w:szCs w:val="16"/>
              </w:rPr>
              <w:t>m</w:t>
            </w:r>
            <w:r w:rsidRPr="00AF3A24">
              <w:rPr>
                <w:rFonts w:asciiTheme="minorHAnsi" w:hAnsiTheme="minorHAnsi" w:cstheme="minorHAnsi"/>
                <w:sz w:val="16"/>
                <w:szCs w:val="16"/>
              </w:rPr>
              <w:t xml:space="preserve">oderate-risk and </w:t>
            </w:r>
            <w:r>
              <w:rPr>
                <w:rFonts w:asciiTheme="minorHAnsi" w:hAnsiTheme="minorHAnsi" w:cstheme="minorHAnsi"/>
                <w:sz w:val="16"/>
                <w:szCs w:val="16"/>
              </w:rPr>
              <w:t>l</w:t>
            </w:r>
            <w:r w:rsidRPr="00AF3A24">
              <w:rPr>
                <w:rFonts w:asciiTheme="minorHAnsi" w:hAnsiTheme="minorHAnsi" w:cstheme="minorHAnsi"/>
                <w:sz w:val="16"/>
                <w:szCs w:val="16"/>
              </w:rPr>
              <w:t xml:space="preserve">ow-risk </w:t>
            </w:r>
            <w:r>
              <w:rPr>
                <w:rFonts w:asciiTheme="minorHAnsi" w:hAnsiTheme="minorHAnsi" w:cstheme="minorHAnsi"/>
                <w:sz w:val="16"/>
                <w:szCs w:val="16"/>
                <w:vertAlign w:val="superscript"/>
              </w:rPr>
              <w:t>3</w:t>
            </w:r>
          </w:p>
        </w:tc>
        <w:tc>
          <w:tcPr>
            <w:tcW w:w="1229" w:type="dxa"/>
            <w:tcBorders>
              <w:top w:val="nil"/>
              <w:bottom w:val="single" w:sz="4" w:space="0" w:color="auto"/>
            </w:tcBorders>
            <w:shd w:val="clear" w:color="auto" w:fill="DAEEF3" w:themeFill="accent5" w:themeFillTint="33"/>
            <w:vAlign w:val="center"/>
          </w:tcPr>
          <w:p w14:paraId="25525E54" w14:textId="58EC0647" w:rsidR="006879ED" w:rsidRPr="00AF3A24" w:rsidRDefault="006879ED" w:rsidP="006473FF">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p>
        </w:tc>
        <w:tc>
          <w:tcPr>
            <w:tcW w:w="1572" w:type="dxa"/>
            <w:tcBorders>
              <w:top w:val="nil"/>
              <w:bottom w:val="single" w:sz="4" w:space="0" w:color="auto"/>
              <w:right w:val="single" w:sz="4" w:space="0" w:color="auto"/>
            </w:tcBorders>
            <w:shd w:val="clear" w:color="auto" w:fill="DAEEF3" w:themeFill="accent5" w:themeFillTint="33"/>
            <w:vAlign w:val="center"/>
          </w:tcPr>
          <w:p w14:paraId="3FD999E3"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0.3</w:t>
            </w:r>
            <w:r w:rsidRPr="00AF3A24">
              <w:rPr>
                <w:rFonts w:asciiTheme="minorHAnsi" w:hAnsiTheme="minorHAnsi"/>
                <w:bCs/>
                <w:color w:val="000000"/>
                <w:sz w:val="16"/>
                <w:szCs w:val="16"/>
              </w:rPr>
              <w:br/>
              <w:t>(0.2 - 0.4)</w:t>
            </w:r>
          </w:p>
        </w:tc>
        <w:tc>
          <w:tcPr>
            <w:tcW w:w="1573" w:type="dxa"/>
            <w:tcBorders>
              <w:top w:val="nil"/>
              <w:left w:val="single" w:sz="4" w:space="0" w:color="auto"/>
              <w:bottom w:val="single" w:sz="4" w:space="0" w:color="auto"/>
            </w:tcBorders>
            <w:shd w:val="clear" w:color="auto" w:fill="DAEEF3" w:themeFill="accent5" w:themeFillTint="33"/>
            <w:vAlign w:val="center"/>
          </w:tcPr>
          <w:p w14:paraId="19F17C13" w14:textId="77777777" w:rsidR="006879ED" w:rsidRPr="00AF3A24" w:rsidRDefault="006879ED" w:rsidP="003209F2">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r w:rsidRPr="00AF3A24">
              <w:rPr>
                <w:rFonts w:asciiTheme="minorHAnsi" w:hAnsiTheme="minorHAnsi"/>
                <w:bCs/>
                <w:color w:val="000000"/>
                <w:sz w:val="16"/>
                <w:szCs w:val="16"/>
              </w:rPr>
              <w:br/>
              <w:t>(7.4 - 16.6)</w:t>
            </w:r>
          </w:p>
        </w:tc>
        <w:tc>
          <w:tcPr>
            <w:tcW w:w="1475" w:type="dxa"/>
            <w:tcBorders>
              <w:top w:val="nil"/>
              <w:left w:val="nil"/>
              <w:bottom w:val="single" w:sz="4" w:space="0" w:color="auto"/>
            </w:tcBorders>
            <w:shd w:val="clear" w:color="auto" w:fill="DAEEF3" w:themeFill="accent5" w:themeFillTint="33"/>
            <w:vAlign w:val="center"/>
          </w:tcPr>
          <w:p w14:paraId="603199E0" w14:textId="77777777" w:rsidR="006879ED" w:rsidRPr="00AF3A24" w:rsidRDefault="006879ED" w:rsidP="00DA1188">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10,700</w:t>
            </w:r>
            <w:r w:rsidRPr="00AF3A24">
              <w:rPr>
                <w:rFonts w:asciiTheme="minorHAnsi" w:hAnsiTheme="minorHAnsi"/>
                <w:bCs/>
                <w:color w:val="000000"/>
                <w:sz w:val="16"/>
                <w:szCs w:val="16"/>
              </w:rPr>
              <w:br/>
              <w:t>(6,300 - 15,100)</w:t>
            </w:r>
          </w:p>
        </w:tc>
      </w:tr>
    </w:tbl>
    <w:p w14:paraId="2D2413D9" w14:textId="77777777" w:rsidR="00A64A4E" w:rsidRPr="00AF3A24" w:rsidRDefault="00A64A4E" w:rsidP="008539C2">
      <w:pPr>
        <w:spacing w:before="0" w:line="240" w:lineRule="auto"/>
        <w:ind w:left="709" w:hanging="283"/>
        <w:rPr>
          <w:rFonts w:asciiTheme="minorHAnsi" w:hAnsiTheme="minorHAnsi" w:cstheme="minorHAnsi"/>
          <w:sz w:val="16"/>
        </w:rPr>
      </w:pPr>
      <w:r w:rsidRPr="00AF3A24">
        <w:rPr>
          <w:rFonts w:asciiTheme="minorHAnsi" w:hAnsiTheme="minorHAnsi" w:cstheme="minorHAnsi"/>
          <w:sz w:val="16"/>
        </w:rPr>
        <w:t>Notes:</w:t>
      </w:r>
    </w:p>
    <w:p w14:paraId="5C1A418C" w14:textId="77777777" w:rsidR="00600565" w:rsidRDefault="00A64A4E" w:rsidP="008539C2">
      <w:pPr>
        <w:pStyle w:val="ListParagraph"/>
        <w:numPr>
          <w:ilvl w:val="0"/>
          <w:numId w:val="20"/>
        </w:numPr>
        <w:spacing w:line="240" w:lineRule="auto"/>
        <w:ind w:left="709" w:hanging="283"/>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76519044" w14:textId="77777777" w:rsidR="005E272D" w:rsidRPr="00600565" w:rsidRDefault="005E272D" w:rsidP="008539C2">
      <w:pPr>
        <w:pStyle w:val="ListParagraph"/>
        <w:numPr>
          <w:ilvl w:val="0"/>
          <w:numId w:val="20"/>
        </w:numPr>
        <w:spacing w:line="240" w:lineRule="auto"/>
        <w:ind w:left="709" w:hanging="283"/>
        <w:rPr>
          <w:rFonts w:asciiTheme="minorHAnsi" w:hAnsiTheme="minorHAnsi" w:cstheme="minorHAnsi"/>
          <w:sz w:val="16"/>
        </w:rPr>
      </w:pPr>
      <w:r w:rsidRPr="00600565">
        <w:rPr>
          <w:rFonts w:asciiTheme="minorHAnsi" w:hAnsiTheme="minorHAnsi" w:cstheme="minorHAnsi"/>
          <w:sz w:val="16"/>
        </w:rPr>
        <w:t>Estimated number of people has been calculated using New Zealand 2006 Census data.</w:t>
      </w:r>
    </w:p>
    <w:p w14:paraId="32187CEF" w14:textId="77777777" w:rsidR="005D7DCD" w:rsidRPr="00AF3A24" w:rsidRDefault="005D7DCD" w:rsidP="008539C2">
      <w:pPr>
        <w:pStyle w:val="ListParagraph"/>
        <w:numPr>
          <w:ilvl w:val="0"/>
          <w:numId w:val="20"/>
        </w:numPr>
        <w:spacing w:line="240" w:lineRule="auto"/>
        <w:ind w:left="709" w:hanging="283"/>
        <w:rPr>
          <w:rFonts w:asciiTheme="minorHAnsi" w:hAnsiTheme="minorHAnsi" w:cstheme="minorHAnsi"/>
          <w:sz w:val="16"/>
        </w:rPr>
      </w:pPr>
      <w:r w:rsidRPr="00AF3A24">
        <w:rPr>
          <w:rFonts w:asciiTheme="minorHAnsi" w:hAnsiTheme="minorHAnsi" w:cstheme="minorHAnsi"/>
          <w:sz w:val="16"/>
        </w:rPr>
        <w:t xml:space="preserve">Due to small cell sizes / denominators (n&lt;30), </w:t>
      </w:r>
      <w:r w:rsidR="00B4266A" w:rsidRPr="00AF3A24">
        <w:rPr>
          <w:rFonts w:asciiTheme="minorHAnsi" w:hAnsiTheme="minorHAnsi" w:cstheme="minorHAnsi"/>
          <w:sz w:val="16"/>
        </w:rPr>
        <w:t>‘problem’, ‘moderate-risk’ and ‘low-risk’</w:t>
      </w:r>
      <w:r w:rsidRPr="00AF3A24">
        <w:rPr>
          <w:rFonts w:asciiTheme="minorHAnsi" w:hAnsiTheme="minorHAnsi" w:cstheme="minorHAnsi"/>
          <w:sz w:val="16"/>
        </w:rPr>
        <w:t xml:space="preserve"> categories </w:t>
      </w:r>
      <w:r w:rsidR="000F6BC2" w:rsidRPr="00AF3A24">
        <w:rPr>
          <w:rFonts w:asciiTheme="minorHAnsi" w:hAnsiTheme="minorHAnsi" w:cstheme="minorHAnsi"/>
          <w:sz w:val="16"/>
        </w:rPr>
        <w:t>have been</w:t>
      </w:r>
      <w:r w:rsidRPr="00AF3A24">
        <w:rPr>
          <w:rFonts w:asciiTheme="minorHAnsi" w:hAnsiTheme="minorHAnsi" w:cstheme="minorHAnsi"/>
          <w:sz w:val="16"/>
        </w:rPr>
        <w:t xml:space="preserve"> combined to enable their inclusion in th</w:t>
      </w:r>
      <w:r w:rsidR="00B4266A" w:rsidRPr="00AF3A24">
        <w:rPr>
          <w:rFonts w:asciiTheme="minorHAnsi" w:hAnsiTheme="minorHAnsi" w:cstheme="minorHAnsi"/>
          <w:sz w:val="16"/>
        </w:rPr>
        <w:t>is analysis</w:t>
      </w:r>
      <w:r w:rsidRPr="00AF3A24">
        <w:rPr>
          <w:rFonts w:asciiTheme="minorHAnsi" w:hAnsiTheme="minorHAnsi" w:cstheme="minorHAnsi"/>
          <w:sz w:val="16"/>
        </w:rPr>
        <w:t>.</w:t>
      </w:r>
    </w:p>
    <w:p w14:paraId="707DBCF4" w14:textId="77777777" w:rsidR="00A64A4E" w:rsidRPr="00AF3A24" w:rsidRDefault="00A64A4E" w:rsidP="00A64A4E">
      <w:pPr>
        <w:spacing w:line="240" w:lineRule="auto"/>
        <w:rPr>
          <w:rFonts w:asciiTheme="minorHAnsi" w:hAnsiTheme="minorHAnsi" w:cstheme="minorHAnsi"/>
          <w:sz w:val="18"/>
        </w:rPr>
      </w:pPr>
    </w:p>
    <w:p w14:paraId="22C6DE92" w14:textId="77777777" w:rsidR="00AE1319" w:rsidRPr="00AE1319" w:rsidRDefault="006A115F" w:rsidP="00AE1319">
      <w:pPr>
        <w:rPr>
          <w:rFonts w:asciiTheme="minorHAnsi" w:hAnsiTheme="minorHAnsi"/>
        </w:rPr>
      </w:pPr>
      <w:r>
        <w:rPr>
          <w:rFonts w:asciiTheme="minorHAnsi" w:hAnsiTheme="minorHAnsi"/>
        </w:rPr>
        <w:t>Figure 35</w:t>
      </w:r>
      <w:r w:rsidR="00B1660C">
        <w:rPr>
          <w:rFonts w:asciiTheme="minorHAnsi" w:hAnsiTheme="minorHAnsi"/>
        </w:rPr>
        <w:t xml:space="preserve"> </w:t>
      </w:r>
      <w:r w:rsidR="00FB3DDE">
        <w:rPr>
          <w:rFonts w:asciiTheme="minorHAnsi" w:hAnsiTheme="minorHAnsi"/>
        </w:rPr>
        <w:t>illustrates</w:t>
      </w:r>
      <w:r w:rsidR="0044182D">
        <w:rPr>
          <w:rFonts w:asciiTheme="minorHAnsi" w:hAnsiTheme="minorHAnsi"/>
        </w:rPr>
        <w:t xml:space="preserve"> this relationship and shows </w:t>
      </w:r>
      <w:r w:rsidR="00B1660C">
        <w:rPr>
          <w:rFonts w:asciiTheme="minorHAnsi" w:hAnsiTheme="minorHAnsi"/>
        </w:rPr>
        <w:t xml:space="preserve">that </w:t>
      </w:r>
      <w:r w:rsidR="009143A7">
        <w:rPr>
          <w:rFonts w:asciiTheme="minorHAnsi" w:hAnsiTheme="minorHAnsi"/>
        </w:rPr>
        <w:t>the proportion of people affected by someone else’s gambling increased along with problem gambling severity: 9.5%</w:t>
      </w:r>
      <w:r w:rsidR="00B1660C">
        <w:rPr>
          <w:rFonts w:asciiTheme="minorHAnsi" w:hAnsiTheme="minorHAnsi"/>
        </w:rPr>
        <w:t xml:space="preserve"> of people categorised as low-</w:t>
      </w:r>
      <w:r w:rsidR="00FB3DDE">
        <w:rPr>
          <w:rFonts w:asciiTheme="minorHAnsi" w:hAnsiTheme="minorHAnsi"/>
        </w:rPr>
        <w:t xml:space="preserve"> or </w:t>
      </w:r>
      <w:r w:rsidR="00B1660C">
        <w:rPr>
          <w:rFonts w:asciiTheme="minorHAnsi" w:hAnsiTheme="minorHAnsi"/>
        </w:rPr>
        <w:t>moderate-risk</w:t>
      </w:r>
      <w:r w:rsidR="0099148F">
        <w:rPr>
          <w:rFonts w:asciiTheme="minorHAnsi" w:hAnsiTheme="minorHAnsi"/>
        </w:rPr>
        <w:t>/</w:t>
      </w:r>
      <w:r w:rsidR="00B1660C">
        <w:rPr>
          <w:rFonts w:asciiTheme="minorHAnsi" w:hAnsiTheme="minorHAnsi"/>
        </w:rPr>
        <w:t>problem gamblers had been affected by someone else’s gambling</w:t>
      </w:r>
      <w:r w:rsidR="009143A7">
        <w:rPr>
          <w:rFonts w:asciiTheme="minorHAnsi" w:hAnsiTheme="minorHAnsi"/>
        </w:rPr>
        <w:t>,</w:t>
      </w:r>
      <w:r w:rsidR="00B1660C">
        <w:rPr>
          <w:rFonts w:asciiTheme="minorHAnsi" w:hAnsiTheme="minorHAnsi"/>
        </w:rPr>
        <w:t xml:space="preserve"> compared with 2.9% of non-problem</w:t>
      </w:r>
      <w:r w:rsidR="001D5235">
        <w:rPr>
          <w:rFonts w:asciiTheme="minorHAnsi" w:hAnsiTheme="minorHAnsi"/>
        </w:rPr>
        <w:t>/</w:t>
      </w:r>
      <w:r w:rsidR="00B1660C">
        <w:rPr>
          <w:rFonts w:asciiTheme="minorHAnsi" w:hAnsiTheme="minorHAnsi"/>
        </w:rPr>
        <w:t xml:space="preserve">recreational </w:t>
      </w:r>
      <w:r w:rsidR="001D5235">
        <w:rPr>
          <w:rFonts w:asciiTheme="minorHAnsi" w:hAnsiTheme="minorHAnsi"/>
        </w:rPr>
        <w:t xml:space="preserve">gamblers </w:t>
      </w:r>
      <w:r w:rsidR="00B1660C">
        <w:rPr>
          <w:rFonts w:asciiTheme="minorHAnsi" w:hAnsiTheme="minorHAnsi"/>
        </w:rPr>
        <w:t xml:space="preserve">and 1.6% of non-gamblers. </w:t>
      </w:r>
    </w:p>
    <w:p w14:paraId="42553951" w14:textId="77777777" w:rsidR="00804DCA" w:rsidRPr="00AF3A24" w:rsidRDefault="00804DCA" w:rsidP="00804DCA">
      <w:pPr>
        <w:pStyle w:val="Caption"/>
        <w:keepNext/>
        <w:spacing w:after="0" w:line="276" w:lineRule="auto"/>
        <w:ind w:left="992" w:hanging="992"/>
        <w:rPr>
          <w:rFonts w:asciiTheme="minorHAnsi" w:hAnsiTheme="minorHAnsi" w:cstheme="minorHAnsi"/>
          <w:i/>
        </w:rPr>
      </w:pPr>
      <w:bookmarkStart w:id="182" w:name="_Ref398121209"/>
      <w:bookmarkStart w:id="183" w:name="_Toc425427008"/>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35</w:t>
      </w:r>
      <w:r w:rsidRPr="00AF3A24">
        <w:rPr>
          <w:rFonts w:asciiTheme="minorHAnsi" w:hAnsiTheme="minorHAnsi" w:cstheme="minorHAnsi"/>
          <w:i/>
          <w:noProof/>
        </w:rPr>
        <w:fldChar w:fldCharType="end"/>
      </w:r>
      <w:bookmarkEnd w:id="182"/>
      <w:r w:rsidRPr="00AF3A24">
        <w:rPr>
          <w:rFonts w:asciiTheme="minorHAnsi" w:hAnsiTheme="minorHAnsi" w:cstheme="minorHAnsi"/>
          <w:i/>
        </w:rPr>
        <w:t xml:space="preserve">: Have been affected by other’s gambling, by gambling status (PGSI categorisation), total population aged 15 years and over (unadjusted prevalence; N=12,576) </w:t>
      </w:r>
      <w:r w:rsidRPr="00AF3A24">
        <w:rPr>
          <w:rFonts w:asciiTheme="minorHAnsi" w:hAnsiTheme="minorHAnsi" w:cstheme="minorHAnsi"/>
          <w:i/>
          <w:vertAlign w:val="superscript"/>
        </w:rPr>
        <w:t>1</w:t>
      </w:r>
      <w:bookmarkEnd w:id="183"/>
      <w:r w:rsidR="00881085" w:rsidRPr="00AF3A24">
        <w:rPr>
          <w:rFonts w:asciiTheme="minorHAnsi" w:hAnsiTheme="minorHAnsi" w:cstheme="minorHAnsi"/>
          <w:i/>
          <w:vertAlign w:val="superscript"/>
        </w:rPr>
        <w:t xml:space="preserve"> </w:t>
      </w:r>
    </w:p>
    <w:p w14:paraId="5A84ADB1" w14:textId="77777777" w:rsidR="00A64A4E" w:rsidRPr="00AF3A24" w:rsidRDefault="00804DCA" w:rsidP="00804DCA">
      <w:pPr>
        <w:spacing w:line="240" w:lineRule="auto"/>
        <w:jc w:val="center"/>
        <w:rPr>
          <w:rFonts w:asciiTheme="minorHAnsi" w:hAnsiTheme="minorHAnsi"/>
        </w:rPr>
      </w:pPr>
      <w:r w:rsidRPr="00AF3A24">
        <w:rPr>
          <w:rFonts w:asciiTheme="minorHAnsi" w:hAnsiTheme="minorHAnsi"/>
          <w:noProof/>
          <w:lang w:eastAsia="en-NZ"/>
        </w:rPr>
        <w:drawing>
          <wp:inline distT="0" distB="0" distL="0" distR="0" wp14:anchorId="1A6F6943" wp14:editId="3F25FE77">
            <wp:extent cx="4735902" cy="3045125"/>
            <wp:effectExtent l="0" t="0" r="26670" b="222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F085444" w14:textId="77777777" w:rsidR="00804DCA" w:rsidRPr="00AF3A24" w:rsidRDefault="00804DCA" w:rsidP="001C147C">
      <w:pPr>
        <w:spacing w:before="0" w:line="240" w:lineRule="auto"/>
        <w:ind w:left="1276"/>
        <w:rPr>
          <w:rFonts w:asciiTheme="minorHAnsi" w:hAnsiTheme="minorHAnsi" w:cstheme="minorHAnsi"/>
          <w:sz w:val="16"/>
        </w:rPr>
      </w:pPr>
      <w:r w:rsidRPr="00AF3A24">
        <w:rPr>
          <w:rFonts w:asciiTheme="minorHAnsi" w:hAnsiTheme="minorHAnsi" w:cstheme="minorHAnsi"/>
          <w:sz w:val="16"/>
        </w:rPr>
        <w:t>Notes:</w:t>
      </w:r>
    </w:p>
    <w:p w14:paraId="6D957CEE" w14:textId="77777777" w:rsidR="00804DCA" w:rsidRPr="00AF3A24" w:rsidRDefault="00804DCA" w:rsidP="00D75319">
      <w:pPr>
        <w:pStyle w:val="ListParagraph"/>
        <w:numPr>
          <w:ilvl w:val="0"/>
          <w:numId w:val="21"/>
        </w:numPr>
        <w:spacing w:line="240" w:lineRule="auto"/>
        <w:ind w:left="1560" w:hanging="283"/>
        <w:rPr>
          <w:rFonts w:asciiTheme="minorHAnsi" w:hAnsiTheme="minorHAnsi" w:cstheme="minorHAnsi"/>
          <w:sz w:val="16"/>
        </w:rPr>
      </w:pPr>
      <w:r w:rsidRPr="00AF3A24">
        <w:rPr>
          <w:rFonts w:asciiTheme="minorHAnsi" w:hAnsiTheme="minorHAnsi" w:cstheme="minorHAnsi"/>
          <w:sz w:val="16"/>
        </w:rPr>
        <w:t>Source: 201</w:t>
      </w:r>
      <w:r w:rsidR="00F30D48">
        <w:rPr>
          <w:rFonts w:asciiTheme="minorHAnsi" w:hAnsiTheme="minorHAnsi" w:cstheme="minorHAnsi"/>
          <w:sz w:val="16"/>
        </w:rPr>
        <w:t>1/12 New Zealand Health Survey.</w:t>
      </w:r>
    </w:p>
    <w:p w14:paraId="1AE6BA90" w14:textId="77777777" w:rsidR="00B4266A" w:rsidRPr="00C96227" w:rsidRDefault="00C96227" w:rsidP="001C147C">
      <w:pPr>
        <w:spacing w:before="0" w:line="240" w:lineRule="auto"/>
        <w:ind w:left="1560" w:right="1324" w:hanging="283"/>
        <w:rPr>
          <w:rFonts w:asciiTheme="minorHAnsi" w:hAnsiTheme="minorHAnsi" w:cstheme="minorHAnsi"/>
          <w:sz w:val="16"/>
        </w:rPr>
      </w:pPr>
      <w:r>
        <w:rPr>
          <w:rFonts w:asciiTheme="minorHAnsi" w:hAnsiTheme="minorHAnsi" w:cstheme="minorHAnsi"/>
          <w:sz w:val="16"/>
        </w:rPr>
        <w:t xml:space="preserve">* </w:t>
      </w:r>
      <w:r>
        <w:rPr>
          <w:rFonts w:asciiTheme="minorHAnsi" w:hAnsiTheme="minorHAnsi" w:cstheme="minorHAnsi"/>
          <w:sz w:val="16"/>
        </w:rPr>
        <w:tab/>
      </w:r>
      <w:r w:rsidR="00B4266A" w:rsidRPr="00C96227">
        <w:rPr>
          <w:rFonts w:asciiTheme="minorHAnsi" w:hAnsiTheme="minorHAnsi" w:cstheme="minorHAnsi"/>
          <w:sz w:val="16"/>
        </w:rPr>
        <w:t>Due to small cell sizes / denominators (n&lt;30), ‘problem’, ‘moderate-risk’ and ‘low-risk’ categories have been combined to enable their inclusion in this analysis.</w:t>
      </w:r>
    </w:p>
    <w:p w14:paraId="208FE2C8" w14:textId="77777777" w:rsidR="00110EBD" w:rsidRPr="00AF3A24" w:rsidRDefault="00110EBD">
      <w:pPr>
        <w:spacing w:before="0" w:after="200" w:line="276" w:lineRule="auto"/>
        <w:jc w:val="left"/>
        <w:rPr>
          <w:rFonts w:asciiTheme="minorHAnsi" w:hAnsiTheme="minorHAnsi" w:cstheme="minorHAnsi"/>
          <w:lang w:val="en-GB"/>
        </w:rPr>
      </w:pPr>
    </w:p>
    <w:p w14:paraId="4AFBDC89" w14:textId="77777777" w:rsidR="003250C3" w:rsidRDefault="003250C3" w:rsidP="00F061EF">
      <w:pPr>
        <w:pStyle w:val="Heading2"/>
      </w:pPr>
      <w:bookmarkStart w:id="184" w:name="_Toc403833200"/>
      <w:r w:rsidRPr="00AF3A24">
        <w:t>Gambling activity</w:t>
      </w:r>
      <w:r w:rsidR="000423EB">
        <w:t xml:space="preserve"> and being affected by someone else’s gambling</w:t>
      </w:r>
      <w:bookmarkEnd w:id="184"/>
    </w:p>
    <w:p w14:paraId="3B48515B" w14:textId="77777777" w:rsidR="00823E84" w:rsidRPr="0036024E" w:rsidRDefault="00A46F4B" w:rsidP="0075248D">
      <w:pPr>
        <w:rPr>
          <w:rFonts w:asciiTheme="minorHAnsi" w:hAnsiTheme="minorHAnsi"/>
        </w:rPr>
      </w:pPr>
      <w:r w:rsidRPr="00A46F4B">
        <w:rPr>
          <w:rFonts w:asciiTheme="minorHAnsi" w:hAnsiTheme="minorHAnsi"/>
        </w:rPr>
        <w:t xml:space="preserve">Respondents </w:t>
      </w:r>
      <w:r w:rsidR="000423EB">
        <w:rPr>
          <w:rFonts w:asciiTheme="minorHAnsi" w:hAnsiTheme="minorHAnsi"/>
        </w:rPr>
        <w:t xml:space="preserve">who had been impacted by someone </w:t>
      </w:r>
      <w:proofErr w:type="gramStart"/>
      <w:r w:rsidR="000423EB">
        <w:rPr>
          <w:rFonts w:asciiTheme="minorHAnsi" w:hAnsiTheme="minorHAnsi"/>
        </w:rPr>
        <w:t>else’s</w:t>
      </w:r>
      <w:proofErr w:type="gramEnd"/>
      <w:r w:rsidR="000423EB">
        <w:rPr>
          <w:rFonts w:asciiTheme="minorHAnsi" w:hAnsiTheme="minorHAnsi"/>
        </w:rPr>
        <w:t xml:space="preserve"> gambling </w:t>
      </w:r>
      <w:r w:rsidRPr="00A46F4B">
        <w:rPr>
          <w:rFonts w:asciiTheme="minorHAnsi" w:hAnsiTheme="minorHAnsi"/>
        </w:rPr>
        <w:t xml:space="preserve">were asked </w:t>
      </w:r>
      <w:r w:rsidR="00AD5690">
        <w:rPr>
          <w:rFonts w:asciiTheme="minorHAnsi" w:hAnsiTheme="minorHAnsi"/>
        </w:rPr>
        <w:t xml:space="preserve">to specify the gambling </w:t>
      </w:r>
      <w:r w:rsidR="000423EB">
        <w:rPr>
          <w:rFonts w:asciiTheme="minorHAnsi" w:hAnsiTheme="minorHAnsi"/>
        </w:rPr>
        <w:t>activity</w:t>
      </w:r>
      <w:r w:rsidR="00AD5690">
        <w:rPr>
          <w:rFonts w:asciiTheme="minorHAnsi" w:hAnsiTheme="minorHAnsi"/>
        </w:rPr>
        <w:t xml:space="preserve"> that had been involved </w:t>
      </w:r>
      <w:r w:rsidR="000423EB">
        <w:rPr>
          <w:rFonts w:asciiTheme="minorHAnsi" w:hAnsiTheme="minorHAnsi"/>
        </w:rPr>
        <w:t>(</w:t>
      </w:r>
      <w:r w:rsidRPr="00A46F4B">
        <w:rPr>
          <w:rFonts w:asciiTheme="minorHAnsi" w:hAnsiTheme="minorHAnsi"/>
        </w:rPr>
        <w:t>“Can you say what kind of gambling was involved?”</w:t>
      </w:r>
      <w:r w:rsidR="000423EB">
        <w:rPr>
          <w:rFonts w:asciiTheme="minorHAnsi" w:hAnsiTheme="minorHAnsi"/>
        </w:rPr>
        <w:t>)</w:t>
      </w:r>
      <w:r w:rsidR="00FD5596">
        <w:rPr>
          <w:rFonts w:asciiTheme="minorHAnsi" w:hAnsiTheme="minorHAnsi"/>
        </w:rPr>
        <w:t xml:space="preserve">. </w:t>
      </w:r>
      <w:r w:rsidR="00593209">
        <w:rPr>
          <w:rFonts w:asciiTheme="minorHAnsi" w:hAnsiTheme="minorHAnsi"/>
        </w:rPr>
        <w:t xml:space="preserve"> </w:t>
      </w:r>
      <w:r w:rsidR="000B62F3">
        <w:rPr>
          <w:rFonts w:asciiTheme="minorHAnsi" w:hAnsiTheme="minorHAnsi"/>
        </w:rPr>
        <w:t>While t</w:t>
      </w:r>
      <w:r w:rsidR="008D6A9B">
        <w:rPr>
          <w:rFonts w:asciiTheme="minorHAnsi" w:hAnsiTheme="minorHAnsi"/>
        </w:rPr>
        <w:t>he r</w:t>
      </w:r>
      <w:r w:rsidR="00593209">
        <w:rPr>
          <w:rFonts w:asciiTheme="minorHAnsi" w:hAnsiTheme="minorHAnsi"/>
        </w:rPr>
        <w:t>esponse options included e</w:t>
      </w:r>
      <w:r>
        <w:rPr>
          <w:rFonts w:asciiTheme="minorHAnsi" w:hAnsiTheme="minorHAnsi"/>
        </w:rPr>
        <w:t xml:space="preserve">leven gambling </w:t>
      </w:r>
      <w:r w:rsidR="000B62F3">
        <w:rPr>
          <w:rFonts w:asciiTheme="minorHAnsi" w:hAnsiTheme="minorHAnsi"/>
        </w:rPr>
        <w:t>activities</w:t>
      </w:r>
      <w:r w:rsidR="00593209">
        <w:rPr>
          <w:rFonts w:asciiTheme="minorHAnsi" w:hAnsiTheme="minorHAnsi"/>
        </w:rPr>
        <w:t>,</w:t>
      </w:r>
      <w:r w:rsidR="008D6A9B">
        <w:rPr>
          <w:rFonts w:asciiTheme="minorHAnsi" w:hAnsiTheme="minorHAnsi"/>
        </w:rPr>
        <w:t xml:space="preserve"> </w:t>
      </w:r>
      <w:r w:rsidR="000B62F3">
        <w:rPr>
          <w:rFonts w:asciiTheme="minorHAnsi" w:hAnsiTheme="minorHAnsi"/>
        </w:rPr>
        <w:t xml:space="preserve">these </w:t>
      </w:r>
      <w:r w:rsidR="000423EB">
        <w:rPr>
          <w:rFonts w:asciiTheme="minorHAnsi" w:hAnsiTheme="minorHAnsi"/>
        </w:rPr>
        <w:t>have been</w:t>
      </w:r>
      <w:r w:rsidR="008D6A9B">
        <w:rPr>
          <w:rFonts w:asciiTheme="minorHAnsi" w:hAnsiTheme="minorHAnsi"/>
        </w:rPr>
        <w:t xml:space="preserve"> combined </w:t>
      </w:r>
      <w:r w:rsidR="00593209">
        <w:rPr>
          <w:rFonts w:asciiTheme="minorHAnsi" w:hAnsiTheme="minorHAnsi"/>
        </w:rPr>
        <w:t>to</w:t>
      </w:r>
      <w:r w:rsidR="008D6A9B">
        <w:rPr>
          <w:rFonts w:asciiTheme="minorHAnsi" w:hAnsiTheme="minorHAnsi"/>
        </w:rPr>
        <w:t xml:space="preserve"> form</w:t>
      </w:r>
      <w:r w:rsidR="00010924">
        <w:rPr>
          <w:rFonts w:asciiTheme="minorHAnsi" w:hAnsiTheme="minorHAnsi"/>
        </w:rPr>
        <w:t xml:space="preserve"> </w:t>
      </w:r>
      <w:r w:rsidR="000B62F3">
        <w:rPr>
          <w:rFonts w:asciiTheme="minorHAnsi" w:hAnsiTheme="minorHAnsi"/>
        </w:rPr>
        <w:t xml:space="preserve">the following </w:t>
      </w:r>
      <w:r w:rsidR="008D6A9B">
        <w:rPr>
          <w:rFonts w:asciiTheme="minorHAnsi" w:hAnsiTheme="minorHAnsi"/>
        </w:rPr>
        <w:t>s</w:t>
      </w:r>
      <w:r w:rsidR="00593209">
        <w:rPr>
          <w:rFonts w:asciiTheme="minorHAnsi" w:hAnsiTheme="minorHAnsi"/>
        </w:rPr>
        <w:t xml:space="preserve">ix </w:t>
      </w:r>
      <w:r w:rsidR="008D6A9B">
        <w:rPr>
          <w:rFonts w:asciiTheme="minorHAnsi" w:hAnsiTheme="minorHAnsi"/>
        </w:rPr>
        <w:t>categories</w:t>
      </w:r>
      <w:r w:rsidR="000B62F3" w:rsidRPr="00EF7496">
        <w:footnoteReference w:id="13"/>
      </w:r>
      <w:r w:rsidR="00010924">
        <w:rPr>
          <w:rFonts w:asciiTheme="minorHAnsi" w:hAnsiTheme="minorHAnsi"/>
        </w:rPr>
        <w:t>:</w:t>
      </w:r>
      <w:r w:rsidR="00593209">
        <w:rPr>
          <w:rFonts w:asciiTheme="minorHAnsi" w:hAnsiTheme="minorHAnsi"/>
        </w:rPr>
        <w:t xml:space="preserve"> </w:t>
      </w:r>
      <w:r>
        <w:rPr>
          <w:rFonts w:asciiTheme="minorHAnsi" w:hAnsiTheme="minorHAnsi"/>
        </w:rPr>
        <w:t xml:space="preserve"> </w:t>
      </w:r>
      <w:r w:rsidR="00010924">
        <w:rPr>
          <w:rFonts w:asciiTheme="minorHAnsi" w:hAnsiTheme="minorHAnsi"/>
        </w:rPr>
        <w:t>Non-casino EGMs;</w:t>
      </w:r>
      <w:r w:rsidR="006A0B4E">
        <w:rPr>
          <w:rFonts w:asciiTheme="minorHAnsi" w:hAnsiTheme="minorHAnsi"/>
        </w:rPr>
        <w:t xml:space="preserve"> </w:t>
      </w:r>
      <w:r w:rsidR="00010924">
        <w:rPr>
          <w:rFonts w:asciiTheme="minorHAnsi" w:hAnsiTheme="minorHAnsi"/>
        </w:rPr>
        <w:t>Casino EGMs;</w:t>
      </w:r>
      <w:r w:rsidR="006A0B4E">
        <w:rPr>
          <w:rFonts w:asciiTheme="minorHAnsi" w:hAnsiTheme="minorHAnsi"/>
        </w:rPr>
        <w:t xml:space="preserve"> </w:t>
      </w:r>
      <w:r w:rsidR="00010924">
        <w:rPr>
          <w:rFonts w:asciiTheme="minorHAnsi" w:hAnsiTheme="minorHAnsi"/>
        </w:rPr>
        <w:t>Track or sports betting;</w:t>
      </w:r>
      <w:r w:rsidR="006A0B4E">
        <w:rPr>
          <w:rFonts w:asciiTheme="minorHAnsi" w:hAnsiTheme="minorHAnsi"/>
        </w:rPr>
        <w:t xml:space="preserve"> </w:t>
      </w:r>
      <w:r w:rsidR="00010924">
        <w:rPr>
          <w:rFonts w:asciiTheme="minorHAnsi" w:hAnsiTheme="minorHAnsi"/>
        </w:rPr>
        <w:t>Casino tables;</w:t>
      </w:r>
      <w:r w:rsidR="006A0B4E">
        <w:rPr>
          <w:rFonts w:asciiTheme="minorHAnsi" w:hAnsiTheme="minorHAnsi"/>
        </w:rPr>
        <w:t xml:space="preserve"> </w:t>
      </w:r>
      <w:r w:rsidR="00010924">
        <w:rPr>
          <w:rFonts w:asciiTheme="minorHAnsi" w:hAnsiTheme="minorHAnsi"/>
        </w:rPr>
        <w:t>Other/Housie/Internet gambling; and, Lotto/Keno/Instant Kiwi</w:t>
      </w:r>
      <w:r w:rsidR="008D6A9B">
        <w:rPr>
          <w:rFonts w:asciiTheme="minorHAnsi" w:hAnsiTheme="minorHAnsi"/>
        </w:rPr>
        <w:t xml:space="preserve">. </w:t>
      </w:r>
      <w:r w:rsidR="000423EB">
        <w:rPr>
          <w:rFonts w:asciiTheme="minorHAnsi" w:hAnsiTheme="minorHAnsi"/>
        </w:rPr>
        <w:t xml:space="preserve"> </w:t>
      </w:r>
      <w:r w:rsidR="006A115F">
        <w:rPr>
          <w:rFonts w:asciiTheme="minorHAnsi" w:hAnsiTheme="minorHAnsi"/>
        </w:rPr>
        <w:t>Figure 36</w:t>
      </w:r>
      <w:r w:rsidR="00BB47A3">
        <w:rPr>
          <w:rFonts w:asciiTheme="minorHAnsi" w:hAnsiTheme="minorHAnsi"/>
        </w:rPr>
        <w:t xml:space="preserve"> illustrates that non-casino EGMs (52.9%), casino EGMs (32.0%) and track or sports betting (22.1%) were the modes most associated with harm from someone else’s </w:t>
      </w:r>
      <w:r w:rsidR="00C97BDF">
        <w:rPr>
          <w:rFonts w:asciiTheme="minorHAnsi" w:hAnsiTheme="minorHAnsi"/>
        </w:rPr>
        <w:t>gambling</w:t>
      </w:r>
      <w:r w:rsidR="00BB47A3">
        <w:rPr>
          <w:rFonts w:asciiTheme="minorHAnsi" w:hAnsiTheme="minorHAnsi"/>
        </w:rPr>
        <w:t xml:space="preserve">. </w:t>
      </w:r>
      <w:r w:rsidR="00FD5596">
        <w:rPr>
          <w:rFonts w:asciiTheme="minorHAnsi" w:hAnsiTheme="minorHAnsi"/>
        </w:rPr>
        <w:t xml:space="preserve"> </w:t>
      </w:r>
      <w:r w:rsidR="00CB14E4">
        <w:rPr>
          <w:rFonts w:asciiTheme="minorHAnsi" w:hAnsiTheme="minorHAnsi"/>
        </w:rPr>
        <w:t xml:space="preserve">Less than ten percent of people who had been negatively impacted by another </w:t>
      </w:r>
      <w:proofErr w:type="gramStart"/>
      <w:r w:rsidR="00CB14E4">
        <w:rPr>
          <w:rFonts w:asciiTheme="minorHAnsi" w:hAnsiTheme="minorHAnsi"/>
        </w:rPr>
        <w:t>person’s</w:t>
      </w:r>
      <w:proofErr w:type="gramEnd"/>
      <w:r w:rsidR="00CB14E4">
        <w:rPr>
          <w:rFonts w:asciiTheme="minorHAnsi" w:hAnsiTheme="minorHAnsi"/>
        </w:rPr>
        <w:t xml:space="preserve"> gambling cited casino tables</w:t>
      </w:r>
      <w:r w:rsidR="008F737E">
        <w:rPr>
          <w:rFonts w:asciiTheme="minorHAnsi" w:hAnsiTheme="minorHAnsi"/>
        </w:rPr>
        <w:t>, other/housie/internet, or l</w:t>
      </w:r>
      <w:r w:rsidR="00CB14E4">
        <w:rPr>
          <w:rFonts w:asciiTheme="minorHAnsi" w:hAnsiTheme="minorHAnsi"/>
        </w:rPr>
        <w:t xml:space="preserve">ottery products as the activity that had been involved. </w:t>
      </w:r>
      <w:r w:rsidR="00F06C97">
        <w:rPr>
          <w:rFonts w:asciiTheme="minorHAnsi" w:hAnsiTheme="minorHAnsi"/>
        </w:rPr>
        <w:t xml:space="preserve"> Further details can be found </w:t>
      </w:r>
      <w:r w:rsidR="00F06C97" w:rsidRPr="0036024E">
        <w:rPr>
          <w:rFonts w:asciiTheme="minorHAnsi" w:hAnsiTheme="minorHAnsi"/>
        </w:rPr>
        <w:t xml:space="preserve">in </w:t>
      </w:r>
      <w:r w:rsidR="006A115F">
        <w:rPr>
          <w:rFonts w:asciiTheme="minorHAnsi" w:hAnsiTheme="minorHAnsi"/>
        </w:rPr>
        <w:t>Appendix L</w:t>
      </w:r>
      <w:r w:rsidR="00C14851" w:rsidRPr="0036024E">
        <w:rPr>
          <w:rFonts w:asciiTheme="minorHAnsi" w:hAnsiTheme="minorHAnsi"/>
        </w:rPr>
        <w:t xml:space="preserve"> (se</w:t>
      </w:r>
      <w:r w:rsidR="00EF7496">
        <w:rPr>
          <w:rFonts w:asciiTheme="minorHAnsi" w:hAnsiTheme="minorHAnsi"/>
        </w:rPr>
        <w:t xml:space="preserve">e </w:t>
      </w:r>
      <w:r w:rsidR="006A115F">
        <w:rPr>
          <w:rFonts w:asciiTheme="minorHAnsi" w:hAnsiTheme="minorHAnsi"/>
        </w:rPr>
        <w:t>Table 35)</w:t>
      </w:r>
      <w:r w:rsidR="00C14851" w:rsidRPr="0036024E">
        <w:rPr>
          <w:rFonts w:asciiTheme="minorHAnsi" w:hAnsiTheme="minorHAnsi"/>
        </w:rPr>
        <w:t xml:space="preserve">. </w:t>
      </w:r>
    </w:p>
    <w:p w14:paraId="6065E4E0" w14:textId="5BE1A02D" w:rsidR="0028013A" w:rsidRDefault="0028013A" w:rsidP="0028013A">
      <w:pPr>
        <w:pStyle w:val="Caption"/>
        <w:keepNext/>
        <w:spacing w:after="0" w:line="276" w:lineRule="auto"/>
        <w:ind w:left="992" w:hanging="992"/>
        <w:rPr>
          <w:rFonts w:asciiTheme="minorHAnsi" w:hAnsiTheme="minorHAnsi" w:cstheme="minorHAnsi"/>
          <w:i/>
          <w:vertAlign w:val="superscript"/>
        </w:rPr>
      </w:pPr>
      <w:bookmarkStart w:id="185" w:name="_Ref398124003"/>
      <w:bookmarkStart w:id="186" w:name="_Toc425427009"/>
      <w:r w:rsidRPr="00AF3A24">
        <w:rPr>
          <w:rFonts w:asciiTheme="minorHAnsi" w:hAnsiTheme="minorHAnsi" w:cstheme="minorHAnsi"/>
          <w:i/>
        </w:rPr>
        <w:lastRenderedPageBreak/>
        <w:t xml:space="preserve">Figure </w:t>
      </w:r>
      <w:r w:rsidRPr="00AF3A24">
        <w:rPr>
          <w:rFonts w:asciiTheme="minorHAnsi" w:hAnsiTheme="minorHAnsi" w:cstheme="minorHAnsi"/>
          <w:i/>
        </w:rPr>
        <w:fldChar w:fldCharType="begin"/>
      </w:r>
      <w:r w:rsidRPr="00AF3A24">
        <w:rPr>
          <w:rFonts w:asciiTheme="minorHAnsi" w:hAnsiTheme="minorHAnsi" w:cstheme="minorHAnsi"/>
          <w:i/>
        </w:rPr>
        <w:instrText xml:space="preserve"> SEQ Figure \* ARABIC </w:instrText>
      </w:r>
      <w:r w:rsidRPr="00AF3A24">
        <w:rPr>
          <w:rFonts w:asciiTheme="minorHAnsi" w:hAnsiTheme="minorHAnsi" w:cstheme="minorHAnsi"/>
          <w:i/>
        </w:rPr>
        <w:fldChar w:fldCharType="separate"/>
      </w:r>
      <w:r w:rsidR="00D71107">
        <w:rPr>
          <w:rFonts w:asciiTheme="minorHAnsi" w:hAnsiTheme="minorHAnsi" w:cstheme="minorHAnsi"/>
          <w:i/>
          <w:noProof/>
        </w:rPr>
        <w:t>36</w:t>
      </w:r>
      <w:r w:rsidRPr="00AF3A24">
        <w:rPr>
          <w:rFonts w:asciiTheme="minorHAnsi" w:hAnsiTheme="minorHAnsi" w:cstheme="minorHAnsi"/>
          <w:i/>
          <w:noProof/>
        </w:rPr>
        <w:fldChar w:fldCharType="end"/>
      </w:r>
      <w:bookmarkEnd w:id="185"/>
      <w:proofErr w:type="gramStart"/>
      <w:r w:rsidRPr="00AF3A24">
        <w:rPr>
          <w:rFonts w:asciiTheme="minorHAnsi" w:hAnsiTheme="minorHAnsi" w:cstheme="minorHAnsi"/>
          <w:i/>
        </w:rPr>
        <w:t>:</w:t>
      </w:r>
      <w:r w:rsidR="005A35AA">
        <w:rPr>
          <w:rFonts w:asciiTheme="minorHAnsi" w:hAnsiTheme="minorHAnsi" w:cstheme="minorHAnsi"/>
          <w:i/>
        </w:rPr>
        <w:t xml:space="preserve"> </w:t>
      </w:r>
      <w:r w:rsidR="00C97BDF">
        <w:rPr>
          <w:rFonts w:asciiTheme="minorHAnsi" w:hAnsiTheme="minorHAnsi" w:cstheme="minorHAnsi"/>
          <w:i/>
        </w:rPr>
        <w:t xml:space="preserve">Negative </w:t>
      </w:r>
      <w:r w:rsidRPr="00AF3A24">
        <w:rPr>
          <w:rFonts w:asciiTheme="minorHAnsi" w:hAnsiTheme="minorHAnsi" w:cstheme="minorHAnsi"/>
          <w:i/>
        </w:rPr>
        <w:t>impact</w:t>
      </w:r>
      <w:r w:rsidR="00C97BDF">
        <w:rPr>
          <w:rFonts w:asciiTheme="minorHAnsi" w:hAnsiTheme="minorHAnsi" w:cstheme="minorHAnsi"/>
          <w:i/>
        </w:rPr>
        <w:t>s from someone else’s</w:t>
      </w:r>
      <w:proofErr w:type="gramEnd"/>
      <w:r w:rsidR="0044266F">
        <w:rPr>
          <w:rFonts w:asciiTheme="minorHAnsi" w:hAnsiTheme="minorHAnsi" w:cstheme="minorHAnsi"/>
          <w:i/>
        </w:rPr>
        <w:t xml:space="preserve"> gambling by</w:t>
      </w:r>
      <w:r w:rsidRPr="00AF3A24">
        <w:rPr>
          <w:rFonts w:asciiTheme="minorHAnsi" w:hAnsiTheme="minorHAnsi" w:cstheme="minorHAnsi"/>
          <w:i/>
        </w:rPr>
        <w:t xml:space="preserve"> activity that was involved, those who have been impacted (unadjusted prevalence; N=391) </w:t>
      </w:r>
      <w:r w:rsidRPr="00AF3A24">
        <w:rPr>
          <w:rFonts w:asciiTheme="minorHAnsi" w:hAnsiTheme="minorHAnsi" w:cstheme="minorHAnsi"/>
          <w:i/>
          <w:vertAlign w:val="superscript"/>
        </w:rPr>
        <w:t>1</w:t>
      </w:r>
      <w:bookmarkEnd w:id="186"/>
    </w:p>
    <w:p w14:paraId="400A56E4" w14:textId="77777777" w:rsidR="0028013A" w:rsidRDefault="0028013A" w:rsidP="00B633B8">
      <w:pPr>
        <w:spacing w:line="360" w:lineRule="auto"/>
        <w:jc w:val="center"/>
      </w:pPr>
      <w:r>
        <w:rPr>
          <w:noProof/>
          <w:lang w:eastAsia="en-NZ"/>
        </w:rPr>
        <w:drawing>
          <wp:inline distT="0" distB="0" distL="0" distR="0" wp14:anchorId="2F9FEDE1" wp14:editId="257591A1">
            <wp:extent cx="5048250" cy="2876550"/>
            <wp:effectExtent l="0" t="0" r="19050" b="1905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7B449C9" w14:textId="77777777" w:rsidR="0028013A" w:rsidRPr="00AF3A24" w:rsidRDefault="0028013A" w:rsidP="0028013A">
      <w:pPr>
        <w:spacing w:before="0" w:line="240" w:lineRule="auto"/>
        <w:ind w:left="1134"/>
        <w:rPr>
          <w:rFonts w:asciiTheme="minorHAnsi" w:hAnsiTheme="minorHAnsi" w:cstheme="minorHAnsi"/>
          <w:sz w:val="16"/>
        </w:rPr>
      </w:pPr>
      <w:r w:rsidRPr="00AF3A24">
        <w:rPr>
          <w:rFonts w:asciiTheme="minorHAnsi" w:hAnsiTheme="minorHAnsi" w:cstheme="minorHAnsi"/>
          <w:sz w:val="16"/>
        </w:rPr>
        <w:t>Notes:</w:t>
      </w:r>
    </w:p>
    <w:p w14:paraId="0A7F7F83" w14:textId="33F70775" w:rsidR="0028013A" w:rsidRDefault="0028013A" w:rsidP="00D75319">
      <w:pPr>
        <w:pStyle w:val="ListParagraph"/>
        <w:numPr>
          <w:ilvl w:val="0"/>
          <w:numId w:val="17"/>
        </w:numPr>
        <w:spacing w:line="240" w:lineRule="auto"/>
        <w:ind w:left="1560" w:right="1324"/>
        <w:rPr>
          <w:rFonts w:asciiTheme="minorHAnsi" w:hAnsiTheme="minorHAnsi" w:cstheme="minorHAnsi"/>
          <w:sz w:val="16"/>
        </w:rPr>
      </w:pPr>
      <w:r w:rsidRPr="00AF3A24">
        <w:rPr>
          <w:rFonts w:asciiTheme="minorHAnsi" w:hAnsiTheme="minorHAnsi" w:cstheme="minorHAnsi"/>
          <w:sz w:val="16"/>
        </w:rPr>
        <w:t xml:space="preserve">Source: 2011/12 New Zealand Health Survey. </w:t>
      </w:r>
      <w:r w:rsidR="00F11F34">
        <w:rPr>
          <w:rFonts w:asciiTheme="minorHAnsi" w:hAnsiTheme="minorHAnsi" w:cstheme="minorHAnsi"/>
          <w:sz w:val="16"/>
        </w:rPr>
        <w:t xml:space="preserve"> </w:t>
      </w:r>
      <w:r w:rsidR="00F11F34" w:rsidRPr="00B970C8">
        <w:rPr>
          <w:rFonts w:asciiTheme="minorHAnsi" w:hAnsiTheme="minorHAnsi" w:cstheme="minorHAnsi"/>
          <w:sz w:val="16"/>
          <w:szCs w:val="16"/>
        </w:rPr>
        <w:t>Error bars are indicative of 95% confidence intervals.</w:t>
      </w:r>
    </w:p>
    <w:p w14:paraId="584B6FBF" w14:textId="77777777" w:rsidR="00675104" w:rsidRDefault="0028013A" w:rsidP="00D75319">
      <w:pPr>
        <w:pStyle w:val="ListParagraph"/>
        <w:numPr>
          <w:ilvl w:val="0"/>
          <w:numId w:val="17"/>
        </w:numPr>
        <w:spacing w:line="240" w:lineRule="auto"/>
        <w:ind w:left="1560" w:right="1324"/>
        <w:rPr>
          <w:rFonts w:asciiTheme="minorHAnsi" w:hAnsiTheme="minorHAnsi" w:cstheme="minorHAnsi"/>
          <w:sz w:val="16"/>
        </w:rPr>
      </w:pPr>
      <w:r w:rsidRPr="00AF3A24">
        <w:rPr>
          <w:rFonts w:asciiTheme="minorHAnsi" w:hAnsiTheme="minorHAnsi" w:cstheme="minorHAnsi"/>
          <w:sz w:val="16"/>
        </w:rPr>
        <w:t>Due to small cell sizes/denominators (n&lt;30), some activities were combined with others to enable their inclusion in the analyses</w:t>
      </w:r>
      <w:r w:rsidR="00675104">
        <w:rPr>
          <w:rFonts w:asciiTheme="minorHAnsi" w:hAnsiTheme="minorHAnsi" w:cstheme="minorHAnsi"/>
          <w:sz w:val="16"/>
        </w:rPr>
        <w:t>.</w:t>
      </w:r>
    </w:p>
    <w:p w14:paraId="610AE433" w14:textId="77777777" w:rsidR="00593209" w:rsidRPr="00AF3A24" w:rsidRDefault="00593209" w:rsidP="00D75319">
      <w:pPr>
        <w:pStyle w:val="ListParagraph"/>
        <w:numPr>
          <w:ilvl w:val="0"/>
          <w:numId w:val="17"/>
        </w:numPr>
        <w:spacing w:line="240" w:lineRule="auto"/>
        <w:ind w:left="1560" w:right="1324"/>
        <w:rPr>
          <w:rFonts w:asciiTheme="minorHAnsi" w:hAnsiTheme="minorHAnsi" w:cstheme="minorHAnsi"/>
          <w:sz w:val="16"/>
        </w:rPr>
      </w:pPr>
      <w:r>
        <w:rPr>
          <w:rFonts w:asciiTheme="minorHAnsi" w:hAnsiTheme="minorHAnsi" w:cstheme="minorHAnsi"/>
          <w:sz w:val="16"/>
        </w:rPr>
        <w:t>‘</w:t>
      </w:r>
      <w:r w:rsidRPr="00AF3A24">
        <w:rPr>
          <w:rFonts w:asciiTheme="minorHAnsi" w:hAnsiTheme="minorHAnsi" w:cstheme="minorHAnsi"/>
          <w:sz w:val="16"/>
        </w:rPr>
        <w:t>Lotto</w:t>
      </w:r>
      <w:r>
        <w:rPr>
          <w:rFonts w:asciiTheme="minorHAnsi" w:hAnsiTheme="minorHAnsi" w:cstheme="minorHAnsi"/>
          <w:sz w:val="16"/>
        </w:rPr>
        <w:t>’</w:t>
      </w:r>
      <w:r w:rsidRPr="00AF3A24">
        <w:rPr>
          <w:rFonts w:asciiTheme="minorHAnsi" w:hAnsiTheme="minorHAnsi" w:cstheme="minorHAnsi"/>
          <w:sz w:val="16"/>
        </w:rPr>
        <w:t xml:space="preserve"> includes ‘Strike’, ‘Powerball’, </w:t>
      </w:r>
      <w:r w:rsidR="00EF7496">
        <w:rPr>
          <w:rFonts w:asciiTheme="minorHAnsi" w:hAnsiTheme="minorHAnsi" w:cstheme="minorHAnsi"/>
          <w:sz w:val="16"/>
        </w:rPr>
        <w:t>and ‘Big Wednesday’</w:t>
      </w:r>
      <w:r w:rsidRPr="00AF3A24">
        <w:rPr>
          <w:rFonts w:asciiTheme="minorHAnsi" w:hAnsiTheme="minorHAnsi" w:cstheme="minorHAnsi"/>
          <w:sz w:val="16"/>
        </w:rPr>
        <w:t xml:space="preserve">. </w:t>
      </w:r>
    </w:p>
    <w:p w14:paraId="79E1755B" w14:textId="77777777" w:rsidR="0028013A" w:rsidRDefault="0028013A" w:rsidP="00D75319">
      <w:pPr>
        <w:pStyle w:val="ListParagraph"/>
        <w:numPr>
          <w:ilvl w:val="0"/>
          <w:numId w:val="17"/>
        </w:numPr>
        <w:spacing w:line="240" w:lineRule="auto"/>
        <w:ind w:left="1560" w:right="1324"/>
        <w:rPr>
          <w:rFonts w:asciiTheme="minorHAnsi" w:hAnsiTheme="minorHAnsi" w:cstheme="minorHAnsi"/>
          <w:sz w:val="16"/>
        </w:rPr>
      </w:pPr>
      <w:r>
        <w:rPr>
          <w:rFonts w:asciiTheme="minorHAnsi" w:hAnsiTheme="minorHAnsi" w:cstheme="minorHAnsi"/>
          <w:sz w:val="16"/>
        </w:rPr>
        <w:t>Multiple responses were allowed.</w:t>
      </w:r>
    </w:p>
    <w:p w14:paraId="5960156D" w14:textId="77777777" w:rsidR="00355C5C" w:rsidRPr="00AF3A24" w:rsidRDefault="00355C5C" w:rsidP="000D5719">
      <w:pPr>
        <w:spacing w:before="0" w:after="200" w:line="276" w:lineRule="auto"/>
        <w:jc w:val="left"/>
        <w:rPr>
          <w:rFonts w:asciiTheme="minorHAnsi" w:hAnsiTheme="minorHAnsi" w:cstheme="minorHAnsi"/>
          <w:lang w:val="en-GB"/>
        </w:rPr>
      </w:pPr>
    </w:p>
    <w:p w14:paraId="0FA07600" w14:textId="77777777" w:rsidR="00901611" w:rsidRPr="00901611" w:rsidRDefault="00200E0F" w:rsidP="00F061EF">
      <w:pPr>
        <w:pStyle w:val="Heading2"/>
      </w:pPr>
      <w:bookmarkStart w:id="187" w:name="_Toc403833201"/>
      <w:r>
        <w:t>SUMMAR</w:t>
      </w:r>
      <w:r w:rsidR="00EB5023">
        <w:t>Y</w:t>
      </w:r>
      <w:r w:rsidR="00EB5023" w:rsidRPr="00AD5690">
        <w:t xml:space="preserve">: </w:t>
      </w:r>
      <w:r w:rsidR="00901611" w:rsidRPr="00901611">
        <w:t>EXPERIENCING PROBLEMS DUE TO SOMEONE ELSE’S GAMBLING</w:t>
      </w:r>
      <w:bookmarkEnd w:id="187"/>
    </w:p>
    <w:p w14:paraId="1B2E9B8B" w14:textId="77777777" w:rsidR="00981752" w:rsidRPr="00F77152" w:rsidRDefault="00BF07FA" w:rsidP="00981752">
      <w:pPr>
        <w:spacing w:line="360" w:lineRule="auto"/>
        <w:rPr>
          <w:rFonts w:asciiTheme="minorHAnsi" w:hAnsiTheme="minorHAnsi" w:cstheme="minorHAnsi"/>
          <w:b/>
          <w:color w:val="1F497D"/>
        </w:rPr>
      </w:pPr>
      <w:r>
        <w:rPr>
          <w:rFonts w:asciiTheme="minorHAnsi" w:hAnsiTheme="minorHAnsi" w:cstheme="minorHAnsi"/>
          <w:b/>
          <w:color w:val="1F497D"/>
        </w:rPr>
        <w:t xml:space="preserve">Experiencing problems due to someone else’s gambling </w:t>
      </w:r>
      <w:r w:rsidR="00995D4D">
        <w:rPr>
          <w:rFonts w:asciiTheme="minorHAnsi" w:hAnsiTheme="minorHAnsi" w:cstheme="minorHAnsi"/>
          <w:b/>
          <w:color w:val="1F497D"/>
        </w:rPr>
        <w:t>- prevalence</w:t>
      </w:r>
      <w:r w:rsidR="00981752" w:rsidRPr="00F77152">
        <w:rPr>
          <w:rFonts w:asciiTheme="minorHAnsi" w:hAnsiTheme="minorHAnsi" w:cstheme="minorHAnsi"/>
          <w:b/>
          <w:color w:val="1F497D"/>
        </w:rPr>
        <w:t>:</w:t>
      </w:r>
    </w:p>
    <w:p w14:paraId="6611D2EC" w14:textId="77777777" w:rsidR="00981752" w:rsidRPr="00981752" w:rsidRDefault="00981752" w:rsidP="004F129A">
      <w:pPr>
        <w:pStyle w:val="ListParagraph"/>
        <w:numPr>
          <w:ilvl w:val="0"/>
          <w:numId w:val="61"/>
        </w:numPr>
        <w:spacing w:after="200"/>
        <w:rPr>
          <w:rFonts w:asciiTheme="minorHAnsi" w:hAnsiTheme="minorHAnsi"/>
        </w:rPr>
      </w:pPr>
      <w:r w:rsidRPr="006F2751">
        <w:rPr>
          <w:rFonts w:asciiTheme="minorHAnsi" w:hAnsiTheme="minorHAnsi"/>
        </w:rPr>
        <w:t>2.5% of adults</w:t>
      </w:r>
      <w:r>
        <w:rPr>
          <w:rFonts w:asciiTheme="minorHAnsi" w:hAnsiTheme="minorHAnsi"/>
        </w:rPr>
        <w:t xml:space="preserve"> aged 15 years and over</w:t>
      </w:r>
      <w:r w:rsidRPr="006F2751">
        <w:rPr>
          <w:rFonts w:asciiTheme="minorHAnsi" w:hAnsiTheme="minorHAnsi"/>
        </w:rPr>
        <w:t xml:space="preserve"> indicated that they </w:t>
      </w:r>
      <w:r>
        <w:rPr>
          <w:rFonts w:asciiTheme="minorHAnsi" w:hAnsiTheme="minorHAnsi"/>
        </w:rPr>
        <w:t>had been negatively impacted by someone else’s gambling.  T</w:t>
      </w:r>
      <w:r w:rsidRPr="00981752">
        <w:rPr>
          <w:rFonts w:asciiTheme="minorHAnsi" w:hAnsiTheme="minorHAnsi"/>
        </w:rPr>
        <w:t xml:space="preserve">his equates to approximately 89,100 (95% CI 77,000 - 101,100) adults in the New Zealand population.  </w:t>
      </w:r>
    </w:p>
    <w:p w14:paraId="54D5A71D" w14:textId="77777777" w:rsidR="00981752" w:rsidRPr="00F77152" w:rsidRDefault="00981752" w:rsidP="00981752">
      <w:pPr>
        <w:spacing w:line="360" w:lineRule="auto"/>
        <w:rPr>
          <w:rFonts w:asciiTheme="minorHAnsi" w:hAnsiTheme="minorHAnsi" w:cstheme="minorHAnsi"/>
          <w:b/>
          <w:color w:val="1F497D"/>
        </w:rPr>
      </w:pPr>
      <w:r>
        <w:rPr>
          <w:rFonts w:asciiTheme="minorHAnsi" w:hAnsiTheme="minorHAnsi" w:cstheme="minorHAnsi"/>
          <w:b/>
          <w:color w:val="1F497D"/>
        </w:rPr>
        <w:t>Profile of people affected by someone else’s gambling</w:t>
      </w:r>
      <w:r w:rsidRPr="00F77152">
        <w:rPr>
          <w:rFonts w:asciiTheme="minorHAnsi" w:hAnsiTheme="minorHAnsi" w:cstheme="minorHAnsi"/>
          <w:b/>
          <w:color w:val="1F497D"/>
        </w:rPr>
        <w:t>:</w:t>
      </w:r>
    </w:p>
    <w:p w14:paraId="2378D549" w14:textId="77777777" w:rsidR="00995D4D" w:rsidRDefault="00995D4D" w:rsidP="004F129A">
      <w:pPr>
        <w:pStyle w:val="ListParagraph"/>
        <w:numPr>
          <w:ilvl w:val="0"/>
          <w:numId w:val="61"/>
        </w:numPr>
        <w:spacing w:after="200"/>
        <w:rPr>
          <w:rFonts w:asciiTheme="minorHAnsi" w:hAnsiTheme="minorHAnsi" w:cstheme="minorHAnsi"/>
        </w:rPr>
      </w:pPr>
      <w:r>
        <w:rPr>
          <w:rFonts w:asciiTheme="minorHAnsi" w:hAnsiTheme="minorHAnsi" w:cstheme="minorHAnsi"/>
        </w:rPr>
        <w:t xml:space="preserve">Adults that had been affected by someone else’s gambling were more likely to be female, </w:t>
      </w:r>
      <w:r w:rsidR="00A80BE8">
        <w:rPr>
          <w:rFonts w:asciiTheme="minorHAnsi" w:hAnsiTheme="minorHAnsi" w:cstheme="minorHAnsi"/>
        </w:rPr>
        <w:t>aged 25-34 years, and identify as Māori or Pacific.</w:t>
      </w:r>
    </w:p>
    <w:p w14:paraId="6D9B0B83" w14:textId="77777777" w:rsidR="00A80BE8" w:rsidRDefault="00A80BE8" w:rsidP="00A80BE8">
      <w:pPr>
        <w:spacing w:line="360" w:lineRule="auto"/>
        <w:rPr>
          <w:rFonts w:asciiTheme="minorHAnsi" w:hAnsiTheme="minorHAnsi" w:cstheme="minorHAnsi"/>
          <w:b/>
          <w:color w:val="1F497D"/>
        </w:rPr>
      </w:pPr>
      <w:r w:rsidRPr="00A80BE8">
        <w:rPr>
          <w:rFonts w:asciiTheme="minorHAnsi" w:hAnsiTheme="minorHAnsi" w:cstheme="minorHAnsi"/>
          <w:b/>
          <w:color w:val="1F497D"/>
        </w:rPr>
        <w:t>Gambling status (CPGI score) and being affected by someone else’s gambling</w:t>
      </w:r>
      <w:r w:rsidR="0075248D">
        <w:rPr>
          <w:rFonts w:asciiTheme="minorHAnsi" w:hAnsiTheme="minorHAnsi" w:cstheme="minorHAnsi"/>
          <w:b/>
          <w:color w:val="1F497D"/>
        </w:rPr>
        <w:t>:</w:t>
      </w:r>
    </w:p>
    <w:p w14:paraId="7015910E" w14:textId="77777777" w:rsidR="00F763CD" w:rsidRDefault="00F763CD" w:rsidP="004F129A">
      <w:pPr>
        <w:pStyle w:val="ListParagraph"/>
        <w:numPr>
          <w:ilvl w:val="0"/>
          <w:numId w:val="61"/>
        </w:numPr>
        <w:spacing w:after="200"/>
        <w:rPr>
          <w:rFonts w:asciiTheme="minorHAnsi" w:hAnsiTheme="minorHAnsi" w:cstheme="minorHAnsi"/>
        </w:rPr>
      </w:pPr>
      <w:r>
        <w:rPr>
          <w:rFonts w:asciiTheme="minorHAnsi" w:hAnsiTheme="minorHAnsi" w:cstheme="minorHAnsi"/>
        </w:rPr>
        <w:t>T</w:t>
      </w:r>
      <w:r w:rsidRPr="00F763CD">
        <w:rPr>
          <w:rFonts w:asciiTheme="minorHAnsi" w:hAnsiTheme="minorHAnsi" w:cstheme="minorHAnsi"/>
        </w:rPr>
        <w:t xml:space="preserve">he proportion of people affected by someone else’s gambling increased along with problem gambling severity: 9.5% of people categorised as low- or moderate-risk/problem gamblers had been affected by </w:t>
      </w:r>
      <w:r w:rsidRPr="00F763CD">
        <w:rPr>
          <w:rFonts w:asciiTheme="minorHAnsi" w:hAnsiTheme="minorHAnsi" w:cstheme="minorHAnsi"/>
        </w:rPr>
        <w:lastRenderedPageBreak/>
        <w:t xml:space="preserve">someone else’s gambling, compared with 2.9% of non-problem/recreational gamblers and 1.6% of non-gamblers. </w:t>
      </w:r>
    </w:p>
    <w:p w14:paraId="066AB8A8" w14:textId="77777777" w:rsidR="00AD5690" w:rsidRDefault="00AD5690" w:rsidP="00AD5690">
      <w:pPr>
        <w:spacing w:line="360" w:lineRule="auto"/>
        <w:rPr>
          <w:rFonts w:asciiTheme="minorHAnsi" w:hAnsiTheme="minorHAnsi" w:cstheme="minorHAnsi"/>
          <w:b/>
          <w:color w:val="1F497D"/>
        </w:rPr>
      </w:pPr>
      <w:r w:rsidRPr="00AD5690">
        <w:rPr>
          <w:rFonts w:asciiTheme="minorHAnsi" w:hAnsiTheme="minorHAnsi" w:cstheme="minorHAnsi"/>
          <w:b/>
          <w:color w:val="1F497D"/>
        </w:rPr>
        <w:t>Gambling activity and being affected by someone else’s gambling</w:t>
      </w:r>
      <w:r w:rsidR="0075248D">
        <w:rPr>
          <w:rFonts w:asciiTheme="minorHAnsi" w:hAnsiTheme="minorHAnsi" w:cstheme="minorHAnsi"/>
          <w:b/>
          <w:color w:val="1F497D"/>
        </w:rPr>
        <w:t>:</w:t>
      </w:r>
    </w:p>
    <w:p w14:paraId="473AAE2B" w14:textId="77777777" w:rsidR="00AD5690" w:rsidRPr="00AD5690" w:rsidRDefault="00AD5690" w:rsidP="004F129A">
      <w:pPr>
        <w:pStyle w:val="ListParagraph"/>
        <w:numPr>
          <w:ilvl w:val="0"/>
          <w:numId w:val="61"/>
        </w:numPr>
        <w:spacing w:after="200"/>
        <w:rPr>
          <w:rFonts w:asciiTheme="minorHAnsi" w:hAnsiTheme="minorHAnsi" w:cstheme="minorHAnsi"/>
        </w:rPr>
      </w:pPr>
      <w:r w:rsidRPr="00AD5690">
        <w:rPr>
          <w:rFonts w:asciiTheme="minorHAnsi" w:hAnsiTheme="minorHAnsi" w:cstheme="minorHAnsi"/>
        </w:rPr>
        <w:t xml:space="preserve">Respondents who had been impacted by someone </w:t>
      </w:r>
      <w:proofErr w:type="gramStart"/>
      <w:r w:rsidRPr="00AD5690">
        <w:rPr>
          <w:rFonts w:asciiTheme="minorHAnsi" w:hAnsiTheme="minorHAnsi" w:cstheme="minorHAnsi"/>
        </w:rPr>
        <w:t>else’s</w:t>
      </w:r>
      <w:proofErr w:type="gramEnd"/>
      <w:r w:rsidRPr="00AD5690">
        <w:rPr>
          <w:rFonts w:asciiTheme="minorHAnsi" w:hAnsiTheme="minorHAnsi" w:cstheme="minorHAnsi"/>
        </w:rPr>
        <w:t xml:space="preserve"> gambling were asked to specify the gambling activity that had been involved.  Non-casino EGMs (52.9%), casino EGMs (32.0%) and track or sports betting (22.1%) were the modes most associated with harm from someone else’s gambling.</w:t>
      </w:r>
    </w:p>
    <w:p w14:paraId="313876BF" w14:textId="77777777" w:rsidR="00697C63" w:rsidRPr="00390B18" w:rsidRDefault="00697C63" w:rsidP="00697C63">
      <w:pPr>
        <w:pStyle w:val="Heading1"/>
        <w:rPr>
          <w:rFonts w:asciiTheme="minorHAnsi" w:hAnsiTheme="minorHAnsi" w:cstheme="minorHAnsi"/>
          <w:caps w:val="0"/>
        </w:rPr>
      </w:pPr>
      <w:bookmarkStart w:id="188" w:name="_Toc403833202"/>
      <w:r w:rsidRPr="00390B18">
        <w:rPr>
          <w:rFonts w:asciiTheme="minorHAnsi" w:hAnsiTheme="minorHAnsi" w:cstheme="minorHAnsi"/>
          <w:caps w:val="0"/>
        </w:rPr>
        <w:lastRenderedPageBreak/>
        <w:t>DISCUSSION &amp; CONCLUSIONS</w:t>
      </w:r>
      <w:bookmarkEnd w:id="188"/>
    </w:p>
    <w:p w14:paraId="5E305008" w14:textId="77777777" w:rsidR="00613A97" w:rsidRDefault="002C7585" w:rsidP="00697C63">
      <w:pPr>
        <w:rPr>
          <w:rFonts w:asciiTheme="minorHAnsi" w:hAnsiTheme="minorHAnsi"/>
        </w:rPr>
      </w:pPr>
      <w:r>
        <w:rPr>
          <w:rFonts w:asciiTheme="minorHAnsi" w:hAnsiTheme="minorHAnsi"/>
        </w:rPr>
        <w:t>This report presents results from an in-depth quantitative analysis of gambling</w:t>
      </w:r>
      <w:r w:rsidR="00567E11">
        <w:rPr>
          <w:rFonts w:asciiTheme="minorHAnsi" w:hAnsiTheme="minorHAnsi"/>
        </w:rPr>
        <w:t xml:space="preserve"> and problem gambling</w:t>
      </w:r>
      <w:r>
        <w:rPr>
          <w:rFonts w:asciiTheme="minorHAnsi" w:hAnsiTheme="minorHAnsi"/>
        </w:rPr>
        <w:t xml:space="preserve"> data from the 2011/12 New Zealand Health Survey. </w:t>
      </w:r>
      <w:r w:rsidR="00B26E86">
        <w:rPr>
          <w:rFonts w:asciiTheme="minorHAnsi" w:hAnsiTheme="minorHAnsi"/>
        </w:rPr>
        <w:t xml:space="preserve"> </w:t>
      </w:r>
      <w:r w:rsidR="00613A97">
        <w:rPr>
          <w:rFonts w:asciiTheme="minorHAnsi" w:hAnsiTheme="minorHAnsi"/>
        </w:rPr>
        <w:t xml:space="preserve">The 2011/12 New Zealand Health Survey gathered data through face-to-face interviews with more than 12,000 randomly selected adults aged 15 years and over throughout New Zealand.  It is a valuable source of information about health behaviours, lifestyles, health status, and access to healthcare.  Questions on gambling </w:t>
      </w:r>
      <w:r w:rsidR="00567E11">
        <w:rPr>
          <w:rFonts w:asciiTheme="minorHAnsi" w:hAnsiTheme="minorHAnsi"/>
        </w:rPr>
        <w:t xml:space="preserve">and problem gambling </w:t>
      </w:r>
      <w:r w:rsidR="00613A97">
        <w:rPr>
          <w:rFonts w:asciiTheme="minorHAnsi" w:hAnsiTheme="minorHAnsi"/>
        </w:rPr>
        <w:t>have been included in the three</w:t>
      </w:r>
      <w:r w:rsidR="00EA271D">
        <w:rPr>
          <w:rFonts w:asciiTheme="minorHAnsi" w:hAnsiTheme="minorHAnsi"/>
        </w:rPr>
        <w:t xml:space="preserve"> most recent</w:t>
      </w:r>
      <w:r w:rsidR="00613A97">
        <w:rPr>
          <w:rFonts w:asciiTheme="minorHAnsi" w:hAnsiTheme="minorHAnsi"/>
        </w:rPr>
        <w:t xml:space="preserve"> New Zealand Health Surveys</w:t>
      </w:r>
      <w:r w:rsidR="00B26E86">
        <w:rPr>
          <w:rFonts w:asciiTheme="minorHAnsi" w:hAnsiTheme="minorHAnsi"/>
        </w:rPr>
        <w:t xml:space="preserve"> - 2002/03, 2006/07 and 2011/12.</w:t>
      </w:r>
    </w:p>
    <w:p w14:paraId="7E7B2A27" w14:textId="77777777" w:rsidR="00567E11" w:rsidRPr="00F813F3" w:rsidRDefault="00B26E86" w:rsidP="00567E11">
      <w:pPr>
        <w:rPr>
          <w:rFonts w:asciiTheme="minorHAnsi" w:hAnsiTheme="minorHAnsi"/>
        </w:rPr>
      </w:pPr>
      <w:r>
        <w:rPr>
          <w:rFonts w:asciiTheme="minorHAnsi" w:hAnsiTheme="minorHAnsi"/>
        </w:rPr>
        <w:t>The overall aim of this project was to</w:t>
      </w:r>
      <w:r w:rsidR="00567E11">
        <w:rPr>
          <w:rFonts w:asciiTheme="minorHAnsi" w:hAnsiTheme="minorHAnsi"/>
        </w:rPr>
        <w:t xml:space="preserve"> </w:t>
      </w:r>
      <w:r w:rsidR="00567E11" w:rsidRPr="00F813F3">
        <w:rPr>
          <w:rFonts w:asciiTheme="minorHAnsi" w:hAnsiTheme="minorHAnsi"/>
        </w:rPr>
        <w:t>provide a comprehensive and detailed analysis of the full gambling and problem gambling data set collected in the 2011/2012 New Zealand Health Survey.  Specifically, the research aimed to:</w:t>
      </w:r>
    </w:p>
    <w:p w14:paraId="560D25E9" w14:textId="77777777" w:rsidR="00567E11" w:rsidRPr="00F813F3" w:rsidRDefault="00567E11" w:rsidP="004F129A">
      <w:pPr>
        <w:pStyle w:val="ListParagraph"/>
        <w:numPr>
          <w:ilvl w:val="0"/>
          <w:numId w:val="78"/>
        </w:numPr>
        <w:rPr>
          <w:rFonts w:asciiTheme="minorHAnsi" w:hAnsiTheme="minorHAnsi"/>
        </w:rPr>
      </w:pPr>
      <w:r w:rsidRPr="00F813F3">
        <w:rPr>
          <w:rFonts w:asciiTheme="minorHAnsi" w:hAnsiTheme="minorHAnsi"/>
        </w:rPr>
        <w:t>Provide population based estimates of gambling and problem gambling behaviours in relation to individuals’ (adults aged 15 years or older) own gambling behaviour and the gambling behaviour of others (i.e. people affected by other’s gambling).</w:t>
      </w:r>
    </w:p>
    <w:p w14:paraId="51742C57" w14:textId="77777777" w:rsidR="00567E11" w:rsidRPr="00F813F3" w:rsidRDefault="00567E11" w:rsidP="004F129A">
      <w:pPr>
        <w:pStyle w:val="ListParagraph"/>
        <w:numPr>
          <w:ilvl w:val="0"/>
          <w:numId w:val="78"/>
        </w:numPr>
        <w:rPr>
          <w:rFonts w:asciiTheme="minorHAnsi" w:hAnsiTheme="minorHAnsi"/>
        </w:rPr>
      </w:pPr>
      <w:r w:rsidRPr="00F813F3">
        <w:rPr>
          <w:rFonts w:asciiTheme="minorHAnsi" w:hAnsiTheme="minorHAnsi"/>
        </w:rPr>
        <w:t xml:space="preserve">Examine similarities and disparities in gambling and problem gambling behaviours according to major socio-demographic variables: age, </w:t>
      </w:r>
      <w:r w:rsidR="00521854">
        <w:rPr>
          <w:rFonts w:asciiTheme="minorHAnsi" w:hAnsiTheme="minorHAnsi"/>
        </w:rPr>
        <w:t>gender</w:t>
      </w:r>
      <w:r w:rsidRPr="00F813F3">
        <w:rPr>
          <w:rFonts w:asciiTheme="minorHAnsi" w:hAnsiTheme="minorHAnsi"/>
        </w:rPr>
        <w:t xml:space="preserve">, ethnicity, </w:t>
      </w:r>
      <w:r w:rsidR="00992602">
        <w:rPr>
          <w:rFonts w:asciiTheme="minorHAnsi" w:hAnsiTheme="minorHAnsi"/>
        </w:rPr>
        <w:t xml:space="preserve">neighbourhood </w:t>
      </w:r>
      <w:r w:rsidRPr="00F813F3">
        <w:rPr>
          <w:rFonts w:asciiTheme="minorHAnsi" w:hAnsiTheme="minorHAnsi"/>
        </w:rPr>
        <w:t xml:space="preserve">deprivation, education, employment status and income. </w:t>
      </w:r>
    </w:p>
    <w:p w14:paraId="70D5F77E" w14:textId="77777777" w:rsidR="00567E11" w:rsidRPr="00F813F3" w:rsidRDefault="00567E11" w:rsidP="004F129A">
      <w:pPr>
        <w:pStyle w:val="ListParagraph"/>
        <w:numPr>
          <w:ilvl w:val="0"/>
          <w:numId w:val="78"/>
        </w:numPr>
        <w:rPr>
          <w:rFonts w:asciiTheme="minorHAnsi" w:hAnsiTheme="minorHAnsi"/>
        </w:rPr>
      </w:pPr>
      <w:r w:rsidRPr="00F813F3">
        <w:rPr>
          <w:rFonts w:asciiTheme="minorHAnsi" w:hAnsiTheme="minorHAnsi"/>
        </w:rPr>
        <w:t>Explore associations between gambling and problem gambling behaviours and potential risk/resiliency factors, including: socio-demographic factors; use of alcohol, tobacco and other drugs; level of functioning; and, long-term mental health conditions (depression, manic depression, anxiety)</w:t>
      </w:r>
      <w:r w:rsidR="00F813F3">
        <w:rPr>
          <w:rFonts w:asciiTheme="minorHAnsi" w:hAnsiTheme="minorHAnsi"/>
        </w:rPr>
        <w:t>.</w:t>
      </w:r>
    </w:p>
    <w:p w14:paraId="5B84A092" w14:textId="77777777" w:rsidR="00567E11" w:rsidRDefault="00567E11" w:rsidP="004F129A">
      <w:pPr>
        <w:pStyle w:val="ListParagraph"/>
        <w:numPr>
          <w:ilvl w:val="0"/>
          <w:numId w:val="78"/>
        </w:numPr>
        <w:rPr>
          <w:rFonts w:asciiTheme="minorHAnsi" w:hAnsiTheme="minorHAnsi"/>
        </w:rPr>
      </w:pPr>
      <w:r w:rsidRPr="00F813F3">
        <w:rPr>
          <w:rFonts w:asciiTheme="minorHAnsi" w:hAnsiTheme="minorHAnsi"/>
        </w:rPr>
        <w:t xml:space="preserve">Examine trends over time for gambling and problem gambling data where permissible (i.e. time series analysis of NZHS </w:t>
      </w:r>
      <w:r w:rsidR="00992602">
        <w:rPr>
          <w:rFonts w:asciiTheme="minorHAnsi" w:hAnsiTheme="minorHAnsi"/>
        </w:rPr>
        <w:t xml:space="preserve">gambling and problem gambling </w:t>
      </w:r>
      <w:r w:rsidRPr="00F813F3">
        <w:rPr>
          <w:rFonts w:asciiTheme="minorHAnsi" w:hAnsiTheme="minorHAnsi"/>
        </w:rPr>
        <w:t xml:space="preserve">data from 2002/03, 2006/07 and 2011/12). </w:t>
      </w:r>
    </w:p>
    <w:p w14:paraId="0A10EE5D" w14:textId="09DA4F56" w:rsidR="00B87E4B" w:rsidRDefault="00B87E4B" w:rsidP="00B87E4B">
      <w:pPr>
        <w:rPr>
          <w:rFonts w:asciiTheme="minorHAnsi" w:hAnsiTheme="minorHAnsi"/>
        </w:rPr>
      </w:pPr>
      <w:r>
        <w:rPr>
          <w:rFonts w:asciiTheme="minorHAnsi" w:hAnsiTheme="minorHAnsi"/>
        </w:rPr>
        <w:t xml:space="preserve">This research also aimed to compare and contrast findings with those of the National Gambling Study </w:t>
      </w:r>
      <w:r>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2014a,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Technology&lt;/publisher&gt;&lt;urls&gt;&lt;/urls&gt;&lt;/record&gt;&lt;/Cite&gt;&lt;Cite&gt;&lt;Author&gt;Abbott&lt;/Author&gt;&lt;Year&gt;2014&lt;/Year&gt;&lt;RecNum&gt;921&lt;/RecNum&gt;&lt;record&gt;&lt;rec-number&gt;921&lt;/rec-number&gt;&lt;foreign-keys&gt;&lt;key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Pr>
          <w:rFonts w:asciiTheme="minorHAnsi" w:hAnsiTheme="minorHAnsi"/>
        </w:rPr>
        <w:fldChar w:fldCharType="separate"/>
      </w:r>
      <w:r>
        <w:rPr>
          <w:rFonts w:asciiTheme="minorHAnsi" w:hAnsiTheme="minorHAnsi"/>
          <w:noProof/>
        </w:rPr>
        <w:t>(</w:t>
      </w:r>
      <w:hyperlink w:anchor="_ENREF_1" w:tooltip="Abbott, 2014 #921" w:history="1">
        <w:r w:rsidR="00765F46">
          <w:rPr>
            <w:rFonts w:asciiTheme="minorHAnsi" w:hAnsiTheme="minorHAnsi"/>
            <w:noProof/>
          </w:rPr>
          <w:t>Abbott et al., 2014a</w:t>
        </w:r>
      </w:hyperlink>
      <w:r>
        <w:rPr>
          <w:rFonts w:asciiTheme="minorHAnsi" w:hAnsiTheme="minorHAnsi"/>
          <w:noProof/>
        </w:rPr>
        <w:t xml:space="preserve">, </w:t>
      </w:r>
      <w:hyperlink w:anchor="_ENREF_2" w:tooltip="Abbott, 2014 #917" w:history="1">
        <w:r w:rsidR="00765F46">
          <w:rPr>
            <w:rFonts w:asciiTheme="minorHAnsi" w:hAnsiTheme="minorHAnsi"/>
            <w:noProof/>
          </w:rPr>
          <w:t>2014b</w:t>
        </w:r>
      </w:hyperlink>
      <w:r>
        <w:rPr>
          <w:rFonts w:asciiTheme="minorHAnsi" w:hAnsiTheme="minorHAnsi"/>
          <w:noProof/>
        </w:rPr>
        <w:t>)</w:t>
      </w:r>
      <w:r>
        <w:rPr>
          <w:rFonts w:asciiTheme="minorHAnsi" w:hAnsiTheme="minorHAnsi"/>
        </w:rPr>
        <w:fldChar w:fldCharType="end"/>
      </w:r>
      <w:r>
        <w:rPr>
          <w:rFonts w:asciiTheme="minorHAnsi" w:hAnsiTheme="minorHAnsi"/>
        </w:rPr>
        <w:t xml:space="preserve"> and earlier waves of the New Zealand Health Survey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 2009)&lt;/DisplayText&gt;&lt;record&gt;&lt;rec-number&gt;31&lt;/rec-number&gt;&lt;foreign-keys&gt;&lt;key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Health&lt;/publisher&gt;&lt;urls&gt;&lt;/urls&gt;&lt;/record&gt;&lt;/Cite&gt;&lt;Cite&gt;&lt;Author&gt;Ministry of Health&lt;/Author&gt;&lt;Year&gt;2009&lt;/Year&gt;&lt;RecNum&gt;33&lt;/RecNum&gt;&lt;record&gt;&lt;rec-number&gt;33&lt;/rec-number&gt;&lt;foreign-keys&gt;&lt;key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34" w:tooltip="Ministry of Health, 2006 #31" w:history="1">
        <w:r w:rsidR="00765F46">
          <w:rPr>
            <w:rFonts w:asciiTheme="minorHAnsi" w:hAnsiTheme="minorHAnsi"/>
            <w:noProof/>
          </w:rPr>
          <w:t>Ministry of Health, 2006</w:t>
        </w:r>
      </w:hyperlink>
      <w:r>
        <w:rPr>
          <w:rFonts w:asciiTheme="minorHAnsi" w:hAnsiTheme="minorHAnsi"/>
          <w:noProof/>
        </w:rPr>
        <w:t xml:space="preserve">, </w:t>
      </w:r>
      <w:hyperlink w:anchor="_ENREF_36" w:tooltip="Ministry of Health, 2009 #33" w:history="1">
        <w:r w:rsidR="00765F46">
          <w:rPr>
            <w:rFonts w:asciiTheme="minorHAnsi" w:hAnsiTheme="minorHAnsi"/>
            <w:noProof/>
          </w:rPr>
          <w:t>2009</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p>
    <w:p w14:paraId="469519C9" w14:textId="77777777" w:rsidR="00704088" w:rsidRDefault="00F813F3" w:rsidP="00F813F3">
      <w:pPr>
        <w:rPr>
          <w:rFonts w:asciiTheme="minorHAnsi" w:hAnsiTheme="minorHAnsi"/>
        </w:rPr>
      </w:pPr>
      <w:r w:rsidRPr="00F813F3">
        <w:rPr>
          <w:rFonts w:asciiTheme="minorHAnsi" w:hAnsiTheme="minorHAnsi"/>
        </w:rPr>
        <w:lastRenderedPageBreak/>
        <w:t xml:space="preserve">The following section presents a discussion of the key findings in relation to: </w:t>
      </w:r>
      <w:r w:rsidR="00884FB9">
        <w:rPr>
          <w:rFonts w:asciiTheme="minorHAnsi" w:hAnsiTheme="minorHAnsi"/>
        </w:rPr>
        <w:t>P</w:t>
      </w:r>
      <w:r w:rsidRPr="00F813F3">
        <w:rPr>
          <w:rFonts w:asciiTheme="minorHAnsi" w:hAnsiTheme="minorHAnsi"/>
        </w:rPr>
        <w:t>ast-year gambling participation; Problematic gambling; Ecological factors and problematic gambling;</w:t>
      </w:r>
      <w:r w:rsidR="00E81DC2">
        <w:rPr>
          <w:rFonts w:asciiTheme="minorHAnsi" w:hAnsiTheme="minorHAnsi"/>
        </w:rPr>
        <w:t xml:space="preserve"> </w:t>
      </w:r>
      <w:r w:rsidRPr="00F813F3">
        <w:rPr>
          <w:rFonts w:asciiTheme="minorHAnsi" w:hAnsiTheme="minorHAnsi"/>
        </w:rPr>
        <w:t>People affected by other’s gambling</w:t>
      </w:r>
      <w:r w:rsidR="00E81DC2">
        <w:rPr>
          <w:rFonts w:asciiTheme="minorHAnsi" w:hAnsiTheme="minorHAnsi"/>
        </w:rPr>
        <w:t>; Strengths and limitations; and, Conclusions</w:t>
      </w:r>
      <w:r w:rsidRPr="00F813F3">
        <w:rPr>
          <w:rFonts w:asciiTheme="minorHAnsi" w:hAnsiTheme="minorHAnsi"/>
        </w:rPr>
        <w:t xml:space="preserve">. </w:t>
      </w:r>
      <w:r w:rsidR="00A23E04" w:rsidRPr="00F813F3">
        <w:rPr>
          <w:rFonts w:asciiTheme="minorHAnsi" w:hAnsiTheme="minorHAnsi"/>
        </w:rPr>
        <w:t>Throughout th</w:t>
      </w:r>
      <w:r w:rsidR="006B18F0" w:rsidRPr="00F813F3">
        <w:rPr>
          <w:rFonts w:asciiTheme="minorHAnsi" w:hAnsiTheme="minorHAnsi"/>
        </w:rPr>
        <w:t>is</w:t>
      </w:r>
      <w:r w:rsidR="00A23E04" w:rsidRPr="00F813F3">
        <w:rPr>
          <w:rFonts w:asciiTheme="minorHAnsi" w:hAnsiTheme="minorHAnsi"/>
        </w:rPr>
        <w:t xml:space="preserve"> section</w:t>
      </w:r>
      <w:r w:rsidR="006B18F0" w:rsidRPr="00F813F3">
        <w:rPr>
          <w:rFonts w:asciiTheme="minorHAnsi" w:hAnsiTheme="minorHAnsi"/>
        </w:rPr>
        <w:t xml:space="preserve"> of the report</w:t>
      </w:r>
      <w:r w:rsidR="00A23E04" w:rsidRPr="00F813F3">
        <w:rPr>
          <w:rFonts w:asciiTheme="minorHAnsi" w:hAnsiTheme="minorHAnsi"/>
        </w:rPr>
        <w:t xml:space="preserve">, results from the </w:t>
      </w:r>
      <w:r>
        <w:rPr>
          <w:rFonts w:asciiTheme="minorHAnsi" w:hAnsiTheme="minorHAnsi"/>
        </w:rPr>
        <w:t xml:space="preserve">2011/12 </w:t>
      </w:r>
      <w:r w:rsidRPr="00F813F3">
        <w:rPr>
          <w:rFonts w:asciiTheme="minorHAnsi" w:hAnsiTheme="minorHAnsi"/>
        </w:rPr>
        <w:t xml:space="preserve">New Zealand Health Survey </w:t>
      </w:r>
      <w:r w:rsidR="00A23E04" w:rsidRPr="00F813F3">
        <w:rPr>
          <w:rFonts w:asciiTheme="minorHAnsi" w:hAnsiTheme="minorHAnsi"/>
        </w:rPr>
        <w:t xml:space="preserve">will be compared and contrasted with </w:t>
      </w:r>
      <w:r w:rsidR="00A70BA7" w:rsidRPr="00F813F3">
        <w:rPr>
          <w:rFonts w:asciiTheme="minorHAnsi" w:hAnsiTheme="minorHAnsi"/>
        </w:rPr>
        <w:t xml:space="preserve">other research.  </w:t>
      </w:r>
      <w:r w:rsidR="00197F03">
        <w:rPr>
          <w:rFonts w:asciiTheme="minorHAnsi" w:hAnsiTheme="minorHAnsi"/>
        </w:rPr>
        <w:t>Table 18 provides an overview of national preval</w:t>
      </w:r>
      <w:r w:rsidR="00415BB4">
        <w:rPr>
          <w:rFonts w:asciiTheme="minorHAnsi" w:hAnsiTheme="minorHAnsi"/>
        </w:rPr>
        <w:t>ence studies with</w:t>
      </w:r>
      <w:r w:rsidR="00197F03">
        <w:rPr>
          <w:rFonts w:asciiTheme="minorHAnsi" w:hAnsiTheme="minorHAnsi"/>
        </w:rPr>
        <w:t xml:space="preserve"> gambling and problem gambling data</w:t>
      </w:r>
      <w:r w:rsidR="00415BB4" w:rsidRPr="00415BB4">
        <w:rPr>
          <w:rFonts w:asciiTheme="minorHAnsi" w:hAnsiTheme="minorHAnsi"/>
        </w:rPr>
        <w:t xml:space="preserve"> </w:t>
      </w:r>
      <w:r w:rsidR="00415BB4">
        <w:rPr>
          <w:rFonts w:asciiTheme="minorHAnsi" w:hAnsiTheme="minorHAnsi"/>
        </w:rPr>
        <w:t>and their methodological characteristics</w:t>
      </w:r>
      <w:r w:rsidR="00197F03">
        <w:rPr>
          <w:rFonts w:asciiTheme="minorHAnsi" w:hAnsiTheme="minorHAnsi"/>
        </w:rPr>
        <w:t>.</w:t>
      </w:r>
    </w:p>
    <w:p w14:paraId="610B101B" w14:textId="77777777" w:rsidR="00B200A8" w:rsidRDefault="00B200A8" w:rsidP="00F813F3">
      <w:pPr>
        <w:rPr>
          <w:rFonts w:asciiTheme="minorHAnsi" w:hAnsiTheme="minorHAnsi"/>
        </w:rPr>
        <w:sectPr w:rsidR="00B200A8" w:rsidSect="003A39BC">
          <w:headerReference w:type="even" r:id="rId51"/>
          <w:headerReference w:type="default" r:id="rId52"/>
          <w:footerReference w:type="default" r:id="rId53"/>
          <w:headerReference w:type="first" r:id="rId54"/>
          <w:pgSz w:w="12240" w:h="15840"/>
          <w:pgMar w:top="1440" w:right="993" w:bottom="1381" w:left="1276" w:header="720" w:footer="339" w:gutter="0"/>
          <w:cols w:space="720"/>
          <w:docGrid w:linePitch="360"/>
        </w:sectPr>
      </w:pPr>
    </w:p>
    <w:p w14:paraId="0075BEB8" w14:textId="77777777" w:rsidR="00ED2729" w:rsidRDefault="00ED2729" w:rsidP="00ED2729">
      <w:pPr>
        <w:pStyle w:val="Caption"/>
        <w:keepNext/>
        <w:spacing w:line="276" w:lineRule="auto"/>
        <w:ind w:left="993" w:hanging="993"/>
        <w:rPr>
          <w:rFonts w:asciiTheme="minorHAnsi" w:hAnsiTheme="minorHAnsi"/>
          <w:i/>
        </w:rPr>
      </w:pPr>
      <w:bookmarkStart w:id="189" w:name="_Ref403815230"/>
      <w:bookmarkStart w:id="190" w:name="_Toc425426885"/>
      <w:r w:rsidRPr="002451F0">
        <w:rPr>
          <w:rFonts w:asciiTheme="minorHAnsi" w:hAnsiTheme="minorHAnsi"/>
          <w:i/>
        </w:rPr>
        <w:lastRenderedPageBreak/>
        <w:t xml:space="preserve">Table </w:t>
      </w:r>
      <w:r w:rsidRPr="002451F0">
        <w:rPr>
          <w:rFonts w:asciiTheme="minorHAnsi" w:hAnsiTheme="minorHAnsi"/>
          <w:i/>
        </w:rPr>
        <w:fldChar w:fldCharType="begin"/>
      </w:r>
      <w:r w:rsidRPr="002451F0">
        <w:rPr>
          <w:rFonts w:asciiTheme="minorHAnsi" w:hAnsiTheme="minorHAnsi"/>
          <w:i/>
        </w:rPr>
        <w:instrText xml:space="preserve"> SEQ Table \* ARABIC </w:instrText>
      </w:r>
      <w:r w:rsidRPr="002451F0">
        <w:rPr>
          <w:rFonts w:asciiTheme="minorHAnsi" w:hAnsiTheme="minorHAnsi"/>
          <w:i/>
        </w:rPr>
        <w:fldChar w:fldCharType="separate"/>
      </w:r>
      <w:r w:rsidR="00D71107">
        <w:rPr>
          <w:rFonts w:asciiTheme="minorHAnsi" w:hAnsiTheme="minorHAnsi"/>
          <w:i/>
          <w:noProof/>
        </w:rPr>
        <w:t>18</w:t>
      </w:r>
      <w:r w:rsidRPr="002451F0">
        <w:rPr>
          <w:rFonts w:asciiTheme="minorHAnsi" w:hAnsiTheme="minorHAnsi"/>
          <w:i/>
        </w:rPr>
        <w:fldChar w:fldCharType="end"/>
      </w:r>
      <w:bookmarkEnd w:id="189"/>
      <w:r>
        <w:rPr>
          <w:rFonts w:asciiTheme="minorHAnsi" w:hAnsiTheme="minorHAnsi"/>
          <w:i/>
        </w:rPr>
        <w:t xml:space="preserve">: </w:t>
      </w:r>
      <w:r w:rsidR="00A95BA4">
        <w:rPr>
          <w:rFonts w:asciiTheme="minorHAnsi" w:hAnsiTheme="minorHAnsi"/>
          <w:i/>
        </w:rPr>
        <w:t>Overview of recent g</w:t>
      </w:r>
      <w:r>
        <w:rPr>
          <w:rFonts w:asciiTheme="minorHAnsi" w:hAnsiTheme="minorHAnsi"/>
          <w:i/>
        </w:rPr>
        <w:t xml:space="preserve">ambling and problem gambling prevalence research in New Zealand - </w:t>
      </w:r>
      <w:r w:rsidR="004B4850">
        <w:rPr>
          <w:rFonts w:asciiTheme="minorHAnsi" w:hAnsiTheme="minorHAnsi"/>
          <w:i/>
        </w:rPr>
        <w:t xml:space="preserve">design and methodological </w:t>
      </w:r>
      <w:r w:rsidR="00513A88">
        <w:rPr>
          <w:rFonts w:asciiTheme="minorHAnsi" w:hAnsiTheme="minorHAnsi"/>
          <w:i/>
        </w:rPr>
        <w:t>characteristics</w:t>
      </w:r>
      <w:bookmarkEnd w:id="190"/>
    </w:p>
    <w:tbl>
      <w:tblPr>
        <w:tblStyle w:val="TableGrid"/>
        <w:tblW w:w="14146" w:type="dxa"/>
        <w:jc w:val="center"/>
        <w:tblLayout w:type="fixed"/>
        <w:tblLook w:val="04A0" w:firstRow="1" w:lastRow="0" w:firstColumn="1" w:lastColumn="0" w:noHBand="0" w:noVBand="1"/>
      </w:tblPr>
      <w:tblGrid>
        <w:gridCol w:w="3094"/>
        <w:gridCol w:w="1578"/>
        <w:gridCol w:w="1579"/>
        <w:gridCol w:w="1579"/>
        <w:gridCol w:w="1579"/>
        <w:gridCol w:w="1579"/>
        <w:gridCol w:w="1579"/>
        <w:gridCol w:w="1579"/>
      </w:tblGrid>
      <w:tr w:rsidR="00583EA5" w:rsidRPr="008E0AFA" w14:paraId="5D476BD7" w14:textId="77777777" w:rsidTr="000F4A10">
        <w:trPr>
          <w:trHeight w:val="410"/>
          <w:jc w:val="center"/>
        </w:trPr>
        <w:tc>
          <w:tcPr>
            <w:tcW w:w="3094" w:type="dxa"/>
            <w:vMerge w:val="restart"/>
            <w:shd w:val="clear" w:color="auto" w:fill="92CDDC" w:themeFill="accent5" w:themeFillTint="99"/>
            <w:vAlign w:val="center"/>
          </w:tcPr>
          <w:p w14:paraId="40224354" w14:textId="77777777" w:rsidR="00583EA5" w:rsidRDefault="00583EA5" w:rsidP="00583EA5">
            <w:pPr>
              <w:spacing w:before="0" w:line="240" w:lineRule="auto"/>
              <w:jc w:val="left"/>
              <w:rPr>
                <w:rFonts w:asciiTheme="minorHAnsi" w:hAnsiTheme="minorHAnsi" w:cstheme="minorHAnsi"/>
                <w:b/>
                <w:szCs w:val="22"/>
              </w:rPr>
            </w:pPr>
            <w:r>
              <w:rPr>
                <w:rFonts w:asciiTheme="minorHAnsi" w:hAnsiTheme="minorHAnsi" w:cstheme="minorHAnsi"/>
                <w:b/>
                <w:szCs w:val="22"/>
              </w:rPr>
              <w:t>STUDY DETAILS / SPECIFICATIONS</w:t>
            </w:r>
          </w:p>
        </w:tc>
        <w:tc>
          <w:tcPr>
            <w:tcW w:w="11052" w:type="dxa"/>
            <w:gridSpan w:val="7"/>
            <w:shd w:val="clear" w:color="auto" w:fill="92CDDC" w:themeFill="accent5" w:themeFillTint="99"/>
            <w:vAlign w:val="center"/>
          </w:tcPr>
          <w:p w14:paraId="7D7DC6FA" w14:textId="77777777" w:rsidR="00583EA5" w:rsidRPr="00FD4E0A" w:rsidRDefault="00583EA5" w:rsidP="00583EA5">
            <w:pPr>
              <w:spacing w:before="0" w:line="240" w:lineRule="auto"/>
              <w:ind w:left="78"/>
              <w:jc w:val="center"/>
              <w:rPr>
                <w:rFonts w:asciiTheme="minorHAnsi" w:hAnsiTheme="minorHAnsi" w:cstheme="minorHAnsi"/>
                <w:b/>
                <w:szCs w:val="22"/>
              </w:rPr>
            </w:pPr>
            <w:r>
              <w:rPr>
                <w:rFonts w:asciiTheme="minorHAnsi" w:hAnsiTheme="minorHAnsi" w:cstheme="minorHAnsi"/>
                <w:b/>
                <w:szCs w:val="22"/>
              </w:rPr>
              <w:t>STUDY</w:t>
            </w:r>
          </w:p>
        </w:tc>
      </w:tr>
      <w:tr w:rsidR="00583EA5" w:rsidRPr="008E0AFA" w14:paraId="1E7C6D8F" w14:textId="77777777" w:rsidTr="000F4A10">
        <w:trPr>
          <w:trHeight w:val="410"/>
          <w:jc w:val="center"/>
        </w:trPr>
        <w:tc>
          <w:tcPr>
            <w:tcW w:w="3094" w:type="dxa"/>
            <w:vMerge/>
            <w:shd w:val="clear" w:color="auto" w:fill="92CDDC" w:themeFill="accent5" w:themeFillTint="99"/>
          </w:tcPr>
          <w:p w14:paraId="1800FD3C" w14:textId="77777777" w:rsidR="00583EA5" w:rsidRDefault="00583EA5" w:rsidP="004B4850">
            <w:pPr>
              <w:spacing w:before="0" w:line="240" w:lineRule="auto"/>
              <w:jc w:val="center"/>
              <w:rPr>
                <w:rFonts w:asciiTheme="minorHAnsi" w:hAnsiTheme="minorHAnsi" w:cstheme="minorHAnsi"/>
                <w:b/>
                <w:szCs w:val="22"/>
              </w:rPr>
            </w:pPr>
          </w:p>
        </w:tc>
        <w:tc>
          <w:tcPr>
            <w:tcW w:w="1578" w:type="dxa"/>
            <w:shd w:val="clear" w:color="auto" w:fill="92CDDC" w:themeFill="accent5" w:themeFillTint="99"/>
          </w:tcPr>
          <w:p w14:paraId="78FFB060" w14:textId="77777777" w:rsidR="00583EA5" w:rsidRDefault="00583EA5" w:rsidP="0025569E">
            <w:pPr>
              <w:spacing w:before="0" w:line="240" w:lineRule="auto"/>
              <w:ind w:left="78"/>
              <w:jc w:val="center"/>
              <w:rPr>
                <w:rFonts w:asciiTheme="minorHAnsi" w:hAnsiTheme="minorHAnsi" w:cstheme="minorHAnsi"/>
                <w:szCs w:val="22"/>
              </w:rPr>
            </w:pPr>
            <w:r w:rsidRPr="00FD4E0A">
              <w:rPr>
                <w:rFonts w:asciiTheme="minorHAnsi" w:hAnsiTheme="minorHAnsi" w:cstheme="minorHAnsi"/>
                <w:b/>
                <w:szCs w:val="22"/>
              </w:rPr>
              <w:t>National Gambling Study (NGS)</w:t>
            </w:r>
          </w:p>
          <w:p w14:paraId="041E3AF4" w14:textId="0A8D04F7" w:rsidR="00583EA5" w:rsidRDefault="00583EA5" w:rsidP="00765F46">
            <w:pPr>
              <w:spacing w:before="0" w:line="240" w:lineRule="auto"/>
              <w:jc w:val="center"/>
              <w:rPr>
                <w:rFonts w:asciiTheme="minorHAnsi" w:hAnsiTheme="minorHAnsi" w:cstheme="minorHAnsi"/>
                <w:b/>
                <w:szCs w:val="22"/>
              </w:rPr>
            </w:pP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2" w:tooltip="Abbott, 2014 #917" w:history="1">
              <w:r w:rsidR="00765F46" w:rsidRPr="00FD4E0A">
                <w:rPr>
                  <w:rFonts w:asciiTheme="minorHAnsi" w:hAnsiTheme="minorHAnsi"/>
                  <w:noProof/>
                </w:rPr>
                <w:t>Abbott et al., 2014b</w:t>
              </w:r>
            </w:hyperlink>
            <w:r w:rsidRPr="00FD4E0A">
              <w:rPr>
                <w:rFonts w:asciiTheme="minorHAnsi" w:hAnsiTheme="minorHAnsi"/>
                <w:noProof/>
              </w:rPr>
              <w:t>)</w:t>
            </w:r>
            <w:r w:rsidRPr="00FD4E0A">
              <w:rPr>
                <w:rFonts w:asciiTheme="minorHAnsi" w:hAnsiTheme="minorHAnsi"/>
              </w:rPr>
              <w:fldChar w:fldCharType="end"/>
            </w:r>
          </w:p>
        </w:tc>
        <w:tc>
          <w:tcPr>
            <w:tcW w:w="1579" w:type="dxa"/>
            <w:shd w:val="clear" w:color="auto" w:fill="92CDDC" w:themeFill="accent5" w:themeFillTint="99"/>
          </w:tcPr>
          <w:p w14:paraId="16C861A8" w14:textId="77777777" w:rsidR="00583EA5" w:rsidRDefault="00583EA5" w:rsidP="0025569E">
            <w:pPr>
              <w:spacing w:before="0" w:line="240" w:lineRule="auto"/>
              <w:ind w:left="78"/>
              <w:jc w:val="center"/>
              <w:rPr>
                <w:rFonts w:asciiTheme="minorHAnsi" w:hAnsiTheme="minorHAnsi" w:cstheme="minorHAnsi"/>
                <w:b/>
                <w:szCs w:val="22"/>
              </w:rPr>
            </w:pPr>
            <w:r>
              <w:rPr>
                <w:rFonts w:asciiTheme="minorHAnsi" w:hAnsiTheme="minorHAnsi" w:cstheme="minorHAnsi"/>
                <w:b/>
                <w:szCs w:val="22"/>
              </w:rPr>
              <w:t>2011</w:t>
            </w:r>
            <w:r w:rsidRPr="00890BEE">
              <w:rPr>
                <w:rFonts w:asciiTheme="minorHAnsi" w:hAnsiTheme="minorHAnsi" w:cstheme="minorHAnsi"/>
                <w:b/>
                <w:szCs w:val="22"/>
              </w:rPr>
              <w:t>/</w:t>
            </w:r>
            <w:r>
              <w:rPr>
                <w:rFonts w:asciiTheme="minorHAnsi" w:hAnsiTheme="minorHAnsi" w:cstheme="minorHAnsi"/>
                <w:b/>
                <w:szCs w:val="22"/>
              </w:rPr>
              <w:t>12</w:t>
            </w:r>
            <w:r w:rsidRPr="00890BEE">
              <w:rPr>
                <w:rFonts w:asciiTheme="minorHAnsi" w:hAnsiTheme="minorHAnsi" w:cstheme="minorHAnsi"/>
                <w:b/>
                <w:szCs w:val="22"/>
              </w:rPr>
              <w:t xml:space="preserve"> New Zealand Health Survey</w:t>
            </w:r>
          </w:p>
          <w:p w14:paraId="20573AA8" w14:textId="5559BCB7" w:rsidR="00583EA5" w:rsidRDefault="00583EA5" w:rsidP="00765F46">
            <w:pPr>
              <w:spacing w:before="0" w:line="240" w:lineRule="auto"/>
              <w:ind w:left="78"/>
              <w:jc w:val="center"/>
              <w:rPr>
                <w:rFonts w:asciiTheme="minorHAnsi" w:hAnsiTheme="minorHAnsi" w:cstheme="minorHAnsi"/>
                <w:b/>
                <w:szCs w:val="22"/>
              </w:rPr>
            </w:pPr>
            <w:r w:rsidRPr="00F813F3">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Health&lt;/Author&gt;&lt;Year&gt;2012&lt;/Year&gt;&lt;RecNum&gt;919&lt;/RecNum&gt;&lt;DisplayText&gt;(Ministry of Health, 2012a)&lt;/DisplayText&gt;&lt;record&gt;&lt;rec-number&gt;919&lt;/rec-number&gt;&lt;foreign-keys&gt;&lt;key app="EN" db-id="9pzse05rcvx956etremxfzdh9fzdxvd95rp2"&gt;919&lt;/key&gt;&lt;/foreign-keys&gt;&lt;ref-type name="Report"&gt;27&lt;/ref-type&gt;&lt;contributors&gt;&lt;authors&gt;&lt;author&gt;Ministry of Health,&lt;/author&gt;&lt;/authors&gt;&lt;/contributors&gt;&lt;titles&gt;&lt;title&gt;The Health of New Zealand Adults 2011/12: Key Findings of the New Zealand Health Survey&lt;/title&gt;&lt;/titles&gt;&lt;dates&gt;&lt;year&gt;2012&lt;/year&gt;&lt;/dates&gt;&lt;pub-location&gt;Wellington&lt;/pub-location&gt;&lt;publisher&gt;Ministry of Health&lt;/publisher&gt;&lt;urls&gt;&lt;/urls&gt;&lt;/record&gt;&lt;/Cite&gt;&lt;/EndNote&gt;</w:instrText>
            </w:r>
            <w:r w:rsidRPr="00F813F3">
              <w:rPr>
                <w:rFonts w:asciiTheme="minorHAnsi" w:hAnsiTheme="minorHAnsi"/>
              </w:rPr>
              <w:fldChar w:fldCharType="separate"/>
            </w:r>
            <w:r>
              <w:rPr>
                <w:rFonts w:asciiTheme="minorHAnsi" w:hAnsiTheme="minorHAnsi"/>
                <w:noProof/>
              </w:rPr>
              <w:t>(</w:t>
            </w:r>
            <w:hyperlink w:anchor="_ENREF_40" w:tooltip="Ministry of Health, 2012 #919" w:history="1">
              <w:r w:rsidR="00765F46">
                <w:rPr>
                  <w:rFonts w:asciiTheme="minorHAnsi" w:hAnsiTheme="minorHAnsi"/>
                  <w:noProof/>
                </w:rPr>
                <w:t>Ministry of Health, 2012a</w:t>
              </w:r>
            </w:hyperlink>
            <w:r>
              <w:rPr>
                <w:rFonts w:asciiTheme="minorHAnsi" w:hAnsiTheme="minorHAnsi"/>
                <w:noProof/>
              </w:rPr>
              <w:t>)</w:t>
            </w:r>
            <w:r w:rsidRPr="00F813F3">
              <w:rPr>
                <w:rFonts w:asciiTheme="minorHAnsi" w:hAnsiTheme="minorHAnsi"/>
              </w:rPr>
              <w:fldChar w:fldCharType="end"/>
            </w:r>
          </w:p>
        </w:tc>
        <w:tc>
          <w:tcPr>
            <w:tcW w:w="1579" w:type="dxa"/>
            <w:shd w:val="clear" w:color="auto" w:fill="92CDDC" w:themeFill="accent5" w:themeFillTint="99"/>
          </w:tcPr>
          <w:p w14:paraId="4D720397" w14:textId="77777777" w:rsidR="00583EA5" w:rsidRDefault="00583EA5" w:rsidP="0025569E">
            <w:pPr>
              <w:spacing w:before="0" w:line="240" w:lineRule="auto"/>
              <w:ind w:left="78"/>
              <w:jc w:val="center"/>
              <w:rPr>
                <w:rFonts w:asciiTheme="minorHAnsi" w:hAnsiTheme="minorHAnsi" w:cstheme="minorHAnsi"/>
                <w:b/>
                <w:szCs w:val="22"/>
              </w:rPr>
            </w:pPr>
            <w:r>
              <w:rPr>
                <w:rFonts w:asciiTheme="minorHAnsi" w:hAnsiTheme="minorHAnsi" w:cstheme="minorHAnsi"/>
                <w:b/>
                <w:szCs w:val="22"/>
              </w:rPr>
              <w:t>2012 Health &amp; Lifestyles Survey</w:t>
            </w:r>
          </w:p>
          <w:p w14:paraId="2A00996A" w14:textId="5DF6CAF0" w:rsidR="00583EA5" w:rsidRPr="00FD4E0A" w:rsidRDefault="00583EA5" w:rsidP="00765F46">
            <w:pPr>
              <w:spacing w:before="0" w:line="240" w:lineRule="auto"/>
              <w:ind w:left="78"/>
              <w:jc w:val="center"/>
              <w:rPr>
                <w:rFonts w:asciiTheme="minorHAnsi" w:hAnsiTheme="minorHAnsi" w:cstheme="minorHAnsi"/>
                <w:b/>
                <w:szCs w:val="22"/>
              </w:rPr>
            </w:pPr>
            <w:r w:rsidRPr="00F813F3">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Pr="00F813F3">
              <w:rPr>
                <w:rFonts w:asciiTheme="minorHAnsi" w:hAnsiTheme="minorHAnsi"/>
              </w:rPr>
              <w:fldChar w:fldCharType="separate"/>
            </w:r>
            <w:r w:rsidRPr="00F813F3">
              <w:rPr>
                <w:rFonts w:asciiTheme="minorHAnsi" w:hAnsiTheme="minorHAnsi"/>
                <w:noProof/>
              </w:rPr>
              <w:t>(</w:t>
            </w:r>
            <w:hyperlink w:anchor="_ENREF_60" w:tooltip="Tu, 2013 #916" w:history="1">
              <w:r w:rsidR="00765F46" w:rsidRPr="00F813F3">
                <w:rPr>
                  <w:rFonts w:asciiTheme="minorHAnsi" w:hAnsiTheme="minorHAnsi"/>
                  <w:noProof/>
                </w:rPr>
                <w:t>Tu, 2013</w:t>
              </w:r>
            </w:hyperlink>
            <w:r w:rsidRPr="00F813F3">
              <w:rPr>
                <w:rFonts w:asciiTheme="minorHAnsi" w:hAnsiTheme="minorHAnsi"/>
                <w:noProof/>
              </w:rPr>
              <w:t>)</w:t>
            </w:r>
            <w:r w:rsidRPr="00F813F3">
              <w:rPr>
                <w:rFonts w:asciiTheme="minorHAnsi" w:hAnsiTheme="minorHAnsi"/>
              </w:rPr>
              <w:fldChar w:fldCharType="end"/>
            </w:r>
          </w:p>
        </w:tc>
        <w:tc>
          <w:tcPr>
            <w:tcW w:w="1579" w:type="dxa"/>
            <w:shd w:val="clear" w:color="auto" w:fill="92CDDC" w:themeFill="accent5" w:themeFillTint="99"/>
          </w:tcPr>
          <w:p w14:paraId="740A3E03" w14:textId="77777777" w:rsidR="00583EA5" w:rsidRPr="00890BEE" w:rsidRDefault="00583EA5" w:rsidP="0025569E">
            <w:pPr>
              <w:spacing w:before="0" w:line="240" w:lineRule="auto"/>
              <w:ind w:left="78"/>
              <w:jc w:val="center"/>
              <w:rPr>
                <w:rFonts w:asciiTheme="minorHAnsi" w:hAnsiTheme="minorHAnsi" w:cstheme="minorHAnsi"/>
                <w:b/>
                <w:szCs w:val="22"/>
              </w:rPr>
            </w:pPr>
            <w:r w:rsidRPr="00890BEE">
              <w:rPr>
                <w:rFonts w:asciiTheme="minorHAnsi" w:hAnsiTheme="minorHAnsi" w:cstheme="minorHAnsi"/>
                <w:b/>
                <w:szCs w:val="22"/>
              </w:rPr>
              <w:t>2006/07 New Zealand Health Survey</w:t>
            </w:r>
          </w:p>
          <w:p w14:paraId="47F9F65F" w14:textId="17DE96B4" w:rsidR="00583EA5" w:rsidRDefault="00583EA5" w:rsidP="00765F46">
            <w:pPr>
              <w:spacing w:before="0" w:line="240" w:lineRule="auto"/>
              <w:jc w:val="center"/>
              <w:rPr>
                <w:rFonts w:asciiTheme="minorHAnsi" w:hAnsiTheme="minorHAnsi" w:cstheme="minorHAnsi"/>
                <w:b/>
                <w:szCs w:val="22"/>
              </w:rPr>
            </w:pPr>
            <w:r w:rsidRPr="00890BEE">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Pr="00890BEE">
              <w:rPr>
                <w:rFonts w:asciiTheme="minorHAnsi" w:hAnsiTheme="minorHAnsi"/>
              </w:rPr>
              <w:fldChar w:fldCharType="separate"/>
            </w:r>
            <w:r w:rsidRPr="00890BEE">
              <w:rPr>
                <w:rFonts w:asciiTheme="minorHAnsi" w:hAnsiTheme="minorHAnsi"/>
                <w:noProof/>
              </w:rPr>
              <w:t>(</w:t>
            </w:r>
            <w:hyperlink w:anchor="_ENREF_36" w:tooltip="Ministry of Health, 2009 #33" w:history="1">
              <w:r w:rsidR="00765F46" w:rsidRPr="00890BEE">
                <w:rPr>
                  <w:rFonts w:asciiTheme="minorHAnsi" w:hAnsiTheme="minorHAnsi"/>
                  <w:noProof/>
                </w:rPr>
                <w:t>Ministry of Health, 2009</w:t>
              </w:r>
            </w:hyperlink>
            <w:r w:rsidRPr="00890BEE">
              <w:rPr>
                <w:rFonts w:asciiTheme="minorHAnsi" w:hAnsiTheme="minorHAnsi"/>
                <w:noProof/>
              </w:rPr>
              <w:t>)</w:t>
            </w:r>
            <w:r w:rsidRPr="00890BEE">
              <w:rPr>
                <w:rFonts w:asciiTheme="minorHAnsi" w:hAnsiTheme="minorHAnsi"/>
              </w:rPr>
              <w:fldChar w:fldCharType="end"/>
            </w:r>
          </w:p>
        </w:tc>
        <w:tc>
          <w:tcPr>
            <w:tcW w:w="1579" w:type="dxa"/>
            <w:shd w:val="clear" w:color="auto" w:fill="92CDDC" w:themeFill="accent5" w:themeFillTint="99"/>
          </w:tcPr>
          <w:p w14:paraId="5B6D68F6" w14:textId="77777777" w:rsidR="00583EA5" w:rsidRPr="00890BEE" w:rsidRDefault="00583EA5" w:rsidP="0025569E">
            <w:pPr>
              <w:spacing w:before="0" w:line="240" w:lineRule="auto"/>
              <w:ind w:left="78"/>
              <w:jc w:val="center"/>
              <w:rPr>
                <w:rFonts w:asciiTheme="minorHAnsi" w:hAnsiTheme="minorHAnsi" w:cstheme="minorHAnsi"/>
                <w:b/>
                <w:szCs w:val="22"/>
              </w:rPr>
            </w:pPr>
            <w:r w:rsidRPr="00890BEE">
              <w:rPr>
                <w:rFonts w:asciiTheme="minorHAnsi" w:hAnsiTheme="minorHAnsi" w:cstheme="minorHAnsi"/>
                <w:b/>
                <w:szCs w:val="22"/>
              </w:rPr>
              <w:t>2002/03 New Zealand Health Survey</w:t>
            </w:r>
          </w:p>
          <w:p w14:paraId="0F608607" w14:textId="541CF521" w:rsidR="00583EA5" w:rsidRDefault="00583EA5" w:rsidP="00765F46">
            <w:pPr>
              <w:spacing w:before="0" w:line="240" w:lineRule="auto"/>
              <w:jc w:val="center"/>
              <w:rPr>
                <w:rFonts w:asciiTheme="minorHAnsi" w:hAnsiTheme="minorHAnsi" w:cstheme="minorHAnsi"/>
                <w:b/>
                <w:szCs w:val="22"/>
              </w:rPr>
            </w:pPr>
            <w:r w:rsidRPr="00890BEE">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Health&lt;/Author&gt;&lt;Year&gt;2006&lt;/Year&gt;&lt;RecNum&gt;31&lt;/RecNum&gt;&lt;DisplayText&gt;(Ministry of Health, 2006)&lt;/DisplayText&gt;&lt;record&gt;&lt;rec-number&gt;31&lt;/rec-number&gt;&lt;foreign-keys&gt;&lt;key app="EN" db-id="9pzse05rcvx956etremxfzdh9fzdxvd95rp2"&gt;31&lt;/key&gt;&lt;/foreign-keys&gt;&lt;ref-type name="Report"&gt;27&lt;/ref-type&gt;&lt;contributors&gt;&lt;authors&gt;&lt;author&gt;Ministry of Health,&lt;/author&gt;&lt;/authors&gt;&lt;/contributors&gt;&lt;titles&gt;&lt;title&gt;&lt;style face="italic" font="default" size="100%"&gt;Problem Gambling in New Zealand: Analysis of the 2002/03 New Zealand Health Survey&lt;/style&gt;&lt;/title&gt;&lt;/titles&gt;&lt;dates&gt;&lt;year&gt;2006&lt;/year&gt;&lt;/dates&gt;&lt;pub-location&gt;Wellington&lt;/pub-location&gt;&lt;publisher&gt;Ministry of Health&lt;/publisher&gt;&lt;urls&gt;&lt;/urls&gt;&lt;/record&gt;&lt;/Cite&gt;&lt;/EndNote&gt;</w:instrText>
            </w:r>
            <w:r w:rsidRPr="00890BEE">
              <w:rPr>
                <w:rFonts w:asciiTheme="minorHAnsi" w:hAnsiTheme="minorHAnsi"/>
              </w:rPr>
              <w:fldChar w:fldCharType="separate"/>
            </w:r>
            <w:r w:rsidRPr="00890BEE">
              <w:rPr>
                <w:rFonts w:asciiTheme="minorHAnsi" w:hAnsiTheme="minorHAnsi"/>
                <w:noProof/>
              </w:rPr>
              <w:t>(</w:t>
            </w:r>
            <w:hyperlink w:anchor="_ENREF_34" w:tooltip="Ministry of Health, 2006 #31" w:history="1">
              <w:r w:rsidR="00765F46" w:rsidRPr="00890BEE">
                <w:rPr>
                  <w:rFonts w:asciiTheme="minorHAnsi" w:hAnsiTheme="minorHAnsi"/>
                  <w:noProof/>
                </w:rPr>
                <w:t>Ministry of Health, 2006</w:t>
              </w:r>
            </w:hyperlink>
            <w:r w:rsidRPr="00890BEE">
              <w:rPr>
                <w:rFonts w:asciiTheme="minorHAnsi" w:hAnsiTheme="minorHAnsi"/>
                <w:noProof/>
              </w:rPr>
              <w:t>)</w:t>
            </w:r>
            <w:r w:rsidRPr="00890BEE">
              <w:rPr>
                <w:rFonts w:asciiTheme="minorHAnsi" w:hAnsiTheme="minorHAnsi"/>
              </w:rPr>
              <w:fldChar w:fldCharType="end"/>
            </w:r>
          </w:p>
        </w:tc>
        <w:tc>
          <w:tcPr>
            <w:tcW w:w="1579" w:type="dxa"/>
            <w:shd w:val="clear" w:color="auto" w:fill="92CDDC" w:themeFill="accent5" w:themeFillTint="99"/>
          </w:tcPr>
          <w:p w14:paraId="05027A29" w14:textId="77777777" w:rsidR="00583EA5" w:rsidRDefault="00583EA5" w:rsidP="0025569E">
            <w:pPr>
              <w:spacing w:before="0" w:line="240" w:lineRule="auto"/>
              <w:jc w:val="center"/>
              <w:rPr>
                <w:rFonts w:asciiTheme="minorHAnsi" w:hAnsiTheme="minorHAnsi" w:cstheme="minorHAnsi"/>
                <w:b/>
                <w:szCs w:val="22"/>
              </w:rPr>
            </w:pPr>
            <w:r w:rsidRPr="00FD4E0A">
              <w:rPr>
                <w:rFonts w:asciiTheme="minorHAnsi" w:hAnsiTheme="minorHAnsi" w:cstheme="minorHAnsi"/>
                <w:b/>
                <w:szCs w:val="22"/>
              </w:rPr>
              <w:t xml:space="preserve">Second National </w:t>
            </w:r>
            <w:r>
              <w:rPr>
                <w:rFonts w:asciiTheme="minorHAnsi" w:hAnsiTheme="minorHAnsi" w:cstheme="minorHAnsi"/>
                <w:b/>
                <w:szCs w:val="22"/>
              </w:rPr>
              <w:t xml:space="preserve">Gambling </w:t>
            </w:r>
            <w:r w:rsidRPr="00FD4E0A">
              <w:rPr>
                <w:rFonts w:asciiTheme="minorHAnsi" w:hAnsiTheme="minorHAnsi" w:cstheme="minorHAnsi"/>
                <w:b/>
                <w:szCs w:val="22"/>
              </w:rPr>
              <w:t>Prevalence Survey</w:t>
            </w:r>
          </w:p>
          <w:p w14:paraId="4B153289" w14:textId="0D24DB59" w:rsidR="00583EA5" w:rsidRDefault="00583EA5" w:rsidP="00765F46">
            <w:pPr>
              <w:spacing w:before="0" w:line="240" w:lineRule="auto"/>
              <w:jc w:val="center"/>
              <w:rPr>
                <w:rFonts w:asciiTheme="minorHAnsi" w:hAnsiTheme="minorHAnsi" w:cstheme="minorHAnsi"/>
                <w:b/>
                <w:szCs w:val="22"/>
              </w:rPr>
            </w:pP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&lt;EndNote&gt;&lt;Cite&gt;&lt;Author&gt;Abbott&lt;/Author&gt;&lt;Year&gt;2000&lt;/Year&gt;&lt;RecNum&gt;810&lt;/RecNum&gt;&lt;DisplayText&gt;(Abbott &amp;amp; Volberg, 2000a)&lt;/DisplayText&gt;&lt;record&gt;&lt;rec-number&gt;810&lt;/rec-number&gt;&lt;foreign-keys&gt;&lt;key app="EN" db-id="9pzse05rcvx956etremxfzdh9fzdxvd95rp2"&gt;810&lt;/key&gt;&lt;/foreign-keys&gt;&lt;ref-type name="Report"&gt;27&lt;/ref-type&gt;&lt;contributors&gt;&lt;authors&gt;&lt;author&gt;Abbott, M.&lt;/author&gt;&lt;author&gt;Volberg, R. A.&lt;/author&gt;&lt;/authors&gt;&lt;/contributors&gt;&lt;titles&gt;&lt;title&gt;Taking the pulse on gambling and problem gambling in New Zealand: A report on phase one of the 1999 national prevalence survey (Report number three of the New Zealand Gaming Survey)&lt;/title&gt;&lt;/titles&gt;&lt;dates&gt;&lt;year&gt;2000&lt;/year&gt;&lt;/dates&gt;&lt;pub-location&gt;Wellington&lt;/pub-location&gt;&lt;publisher&gt;The Department of Internal Affairs&lt;/publisher&gt;&lt;urls&gt;&lt;/urls&gt;&lt;/record&gt;&lt;/Cite&gt;&lt;/EndNote&gt;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7" w:tooltip="Abbott, 2000 #810" w:history="1">
              <w:r w:rsidR="00765F46" w:rsidRPr="00FD4E0A">
                <w:rPr>
                  <w:rFonts w:asciiTheme="minorHAnsi" w:hAnsiTheme="minorHAnsi"/>
                  <w:noProof/>
                </w:rPr>
                <w:t>Abbott &amp; Volberg, 2000a</w:t>
              </w:r>
            </w:hyperlink>
            <w:r w:rsidRPr="00FD4E0A">
              <w:rPr>
                <w:rFonts w:asciiTheme="minorHAnsi" w:hAnsiTheme="minorHAnsi"/>
                <w:noProof/>
              </w:rPr>
              <w:t>)</w:t>
            </w:r>
            <w:r w:rsidRPr="00FD4E0A">
              <w:rPr>
                <w:rFonts w:asciiTheme="minorHAnsi" w:hAnsiTheme="minorHAnsi"/>
              </w:rPr>
              <w:fldChar w:fldCharType="end"/>
            </w:r>
          </w:p>
        </w:tc>
        <w:tc>
          <w:tcPr>
            <w:tcW w:w="1579" w:type="dxa"/>
            <w:shd w:val="clear" w:color="auto" w:fill="92CDDC" w:themeFill="accent5" w:themeFillTint="99"/>
          </w:tcPr>
          <w:p w14:paraId="0740A217" w14:textId="77777777" w:rsidR="00583EA5" w:rsidRDefault="00583EA5" w:rsidP="0025569E">
            <w:pPr>
              <w:spacing w:before="0" w:line="240" w:lineRule="auto"/>
              <w:ind w:left="78"/>
              <w:jc w:val="center"/>
              <w:rPr>
                <w:rFonts w:asciiTheme="minorHAnsi" w:hAnsiTheme="minorHAnsi" w:cstheme="minorHAnsi"/>
                <w:b/>
                <w:szCs w:val="22"/>
              </w:rPr>
            </w:pPr>
            <w:r w:rsidRPr="00FD4E0A">
              <w:rPr>
                <w:rFonts w:asciiTheme="minorHAnsi" w:hAnsiTheme="minorHAnsi" w:cstheme="minorHAnsi"/>
                <w:b/>
                <w:szCs w:val="22"/>
              </w:rPr>
              <w:t>First National</w:t>
            </w:r>
            <w:r>
              <w:rPr>
                <w:rFonts w:asciiTheme="minorHAnsi" w:hAnsiTheme="minorHAnsi" w:cstheme="minorHAnsi"/>
                <w:b/>
                <w:szCs w:val="22"/>
              </w:rPr>
              <w:t xml:space="preserve"> Gambling</w:t>
            </w:r>
            <w:r w:rsidRPr="00FD4E0A">
              <w:rPr>
                <w:rFonts w:asciiTheme="minorHAnsi" w:hAnsiTheme="minorHAnsi" w:cstheme="minorHAnsi"/>
                <w:b/>
                <w:szCs w:val="22"/>
              </w:rPr>
              <w:t xml:space="preserve"> Prevalence Survey</w:t>
            </w:r>
          </w:p>
          <w:p w14:paraId="55970A8C" w14:textId="0DCE1A66" w:rsidR="00583EA5" w:rsidRDefault="00583EA5" w:rsidP="00765F46">
            <w:pPr>
              <w:spacing w:before="0" w:line="240" w:lineRule="auto"/>
              <w:jc w:val="center"/>
              <w:rPr>
                <w:rFonts w:asciiTheme="minorHAnsi" w:hAnsiTheme="minorHAnsi" w:cstheme="minorHAnsi"/>
                <w:b/>
                <w:szCs w:val="22"/>
              </w:rPr>
            </w:pPr>
            <w:r w:rsidRPr="00FD4E0A">
              <w:rPr>
                <w:rFonts w:asciiTheme="minorHAnsi" w:hAnsiTheme="minorHAnsi"/>
              </w:rPr>
              <w:fldChar w:fldCharType="begin"/>
            </w:r>
            <w:r w:rsidR="00A34C5E">
              <w:rPr>
                <w:rFonts w:asciiTheme="minorHAnsi" w:hAnsiTheme="minorHAnsi"/>
              </w:rPr>
              <w:instrText xml:space="preserve"> ADDIN EN.CITE &lt;EndNote&gt;&lt;Cite&gt;&lt;Author&gt;Abbott&lt;/Author&gt;&lt;Year&gt;1991&lt;/Year&gt;&lt;RecNum&gt;937&lt;/RecNum&gt;&lt;DisplayText&gt;(Abbott &amp;amp; Volberg, 1991)&lt;/DisplayText&gt;&lt;record&gt;&lt;rec-number&gt;937&lt;/rec-number&gt;&lt;foreign-keys&gt;&lt;key app="EN" db-id="9pzse05rcvx956etremxfzdh9fzdxvd95rp2"&gt;937&lt;/key&gt;&lt;/foreign-keys&gt;&lt;ref-type name="Report"&gt;27&lt;/ref-type&gt;&lt;contributors&gt;&lt;authors&gt;&lt;author&gt;Abbott, M.&lt;/author&gt;&lt;author&gt;Volberg, R. A.&lt;/author&gt;&lt;/authors&gt;&lt;/contributors&gt;&lt;titles&gt;&lt;title&gt;Gambling and problem gambling in New Zealand. Research Series No.12&lt;/title&gt;&lt;/titles&gt;&lt;dates&gt;&lt;year&gt;1991&lt;/year&gt;&lt;/dates&gt;&lt;pub-location&gt;Wellington&lt;/pub-location&gt;&lt;publisher&gt;Department of Internal Affairs&lt;/publisher&gt;&lt;urls&gt;&lt;/urls&gt;&lt;/record&gt;&lt;/Cite&gt;&lt;/EndNote&gt;</w:instrText>
            </w:r>
            <w:r w:rsidRPr="00FD4E0A">
              <w:rPr>
                <w:rFonts w:asciiTheme="minorHAnsi" w:hAnsiTheme="minorHAnsi"/>
              </w:rPr>
              <w:fldChar w:fldCharType="separate"/>
            </w:r>
            <w:r w:rsidRPr="00FD4E0A">
              <w:rPr>
                <w:rFonts w:asciiTheme="minorHAnsi" w:hAnsiTheme="minorHAnsi"/>
                <w:noProof/>
              </w:rPr>
              <w:t>(</w:t>
            </w:r>
            <w:hyperlink w:anchor="_ENREF_5" w:tooltip="Abbott, 1991 #937" w:history="1">
              <w:r w:rsidR="00765F46" w:rsidRPr="00FD4E0A">
                <w:rPr>
                  <w:rFonts w:asciiTheme="minorHAnsi" w:hAnsiTheme="minorHAnsi"/>
                  <w:noProof/>
                </w:rPr>
                <w:t>Abbott &amp; Volberg, 1991</w:t>
              </w:r>
            </w:hyperlink>
            <w:r w:rsidRPr="00FD4E0A">
              <w:rPr>
                <w:rFonts w:asciiTheme="minorHAnsi" w:hAnsiTheme="minorHAnsi"/>
                <w:noProof/>
              </w:rPr>
              <w:t>)</w:t>
            </w:r>
            <w:r w:rsidRPr="00FD4E0A">
              <w:rPr>
                <w:rFonts w:asciiTheme="minorHAnsi" w:hAnsiTheme="minorHAnsi"/>
              </w:rPr>
              <w:fldChar w:fldCharType="end"/>
            </w:r>
          </w:p>
        </w:tc>
      </w:tr>
      <w:tr w:rsidR="000046E3" w:rsidRPr="008E0AFA" w14:paraId="5B95DFD2" w14:textId="77777777" w:rsidTr="000F4A10">
        <w:trPr>
          <w:trHeight w:hRule="exact" w:val="510"/>
          <w:jc w:val="center"/>
        </w:trPr>
        <w:tc>
          <w:tcPr>
            <w:tcW w:w="3094" w:type="dxa"/>
            <w:tcBorders>
              <w:bottom w:val="single" w:sz="4" w:space="0" w:color="auto"/>
            </w:tcBorders>
            <w:shd w:val="clear" w:color="auto" w:fill="DAEEF3" w:themeFill="accent5" w:themeFillTint="33"/>
            <w:vAlign w:val="center"/>
          </w:tcPr>
          <w:p w14:paraId="2683D27B" w14:textId="77777777" w:rsidR="000046E3" w:rsidRPr="00FD4E0A" w:rsidRDefault="00583EA5" w:rsidP="004B4850">
            <w:pPr>
              <w:spacing w:before="0" w:line="240" w:lineRule="auto"/>
              <w:jc w:val="left"/>
              <w:rPr>
                <w:rFonts w:asciiTheme="minorHAnsi" w:hAnsiTheme="minorHAnsi" w:cstheme="minorHAnsi"/>
                <w:b/>
                <w:szCs w:val="22"/>
              </w:rPr>
            </w:pPr>
            <w:r>
              <w:rPr>
                <w:rFonts w:asciiTheme="minorHAnsi" w:hAnsiTheme="minorHAnsi" w:cstheme="minorHAnsi"/>
                <w:b/>
                <w:szCs w:val="22"/>
              </w:rPr>
              <w:t>Population</w:t>
            </w:r>
            <w:r w:rsidR="00BE15E5">
              <w:rPr>
                <w:rFonts w:asciiTheme="minorHAnsi" w:hAnsiTheme="minorHAnsi" w:cstheme="minorHAnsi"/>
                <w:b/>
                <w:szCs w:val="22"/>
              </w:rPr>
              <w:t xml:space="preserve"> (age range of sample)</w:t>
            </w:r>
          </w:p>
        </w:tc>
        <w:tc>
          <w:tcPr>
            <w:tcW w:w="1578" w:type="dxa"/>
            <w:tcBorders>
              <w:bottom w:val="single" w:sz="4" w:space="0" w:color="auto"/>
            </w:tcBorders>
            <w:shd w:val="clear" w:color="auto" w:fill="DAEEF3" w:themeFill="accent5" w:themeFillTint="33"/>
            <w:vAlign w:val="center"/>
          </w:tcPr>
          <w:p w14:paraId="2A2E6FC2" w14:textId="77777777" w:rsidR="000046E3" w:rsidRPr="007E10B8" w:rsidRDefault="000046E3" w:rsidP="002D5F8D">
            <w:pPr>
              <w:spacing w:before="0" w:line="240" w:lineRule="auto"/>
              <w:jc w:val="center"/>
              <w:rPr>
                <w:rFonts w:asciiTheme="minorHAnsi" w:hAnsiTheme="minorHAnsi" w:cstheme="minorHAnsi"/>
              </w:rPr>
            </w:pPr>
            <w:r w:rsidRPr="008206FB">
              <w:rPr>
                <w:rFonts w:asciiTheme="minorHAnsi" w:hAnsiTheme="minorHAnsi" w:cstheme="minorHAnsi"/>
              </w:rPr>
              <w:t xml:space="preserve">Adults </w:t>
            </w:r>
            <w:r>
              <w:rPr>
                <w:rFonts w:asciiTheme="minorHAnsi" w:hAnsiTheme="minorHAnsi" w:cstheme="minorHAnsi"/>
              </w:rPr>
              <w:t>≥18</w:t>
            </w:r>
          </w:p>
        </w:tc>
        <w:tc>
          <w:tcPr>
            <w:tcW w:w="1579" w:type="dxa"/>
            <w:tcBorders>
              <w:bottom w:val="single" w:sz="4" w:space="0" w:color="auto"/>
            </w:tcBorders>
            <w:shd w:val="clear" w:color="auto" w:fill="DAEEF3" w:themeFill="accent5" w:themeFillTint="33"/>
            <w:vAlign w:val="center"/>
          </w:tcPr>
          <w:p w14:paraId="52822C5C" w14:textId="77777777" w:rsidR="000046E3" w:rsidRPr="008206FB" w:rsidRDefault="000046E3" w:rsidP="002D5F8D">
            <w:pPr>
              <w:spacing w:before="0" w:line="240" w:lineRule="auto"/>
              <w:ind w:left="78"/>
              <w:jc w:val="center"/>
              <w:rPr>
                <w:rFonts w:asciiTheme="minorHAnsi" w:hAnsiTheme="minorHAnsi" w:cstheme="minorHAnsi"/>
              </w:rPr>
            </w:pPr>
            <w:r w:rsidRPr="008206FB">
              <w:rPr>
                <w:rFonts w:asciiTheme="minorHAnsi" w:hAnsiTheme="minorHAnsi" w:cstheme="minorHAnsi"/>
              </w:rPr>
              <w:t xml:space="preserve">Adults </w:t>
            </w:r>
            <w:r>
              <w:rPr>
                <w:rFonts w:asciiTheme="minorHAnsi" w:hAnsiTheme="minorHAnsi" w:cstheme="minorHAnsi"/>
              </w:rPr>
              <w:t>≥15</w:t>
            </w:r>
          </w:p>
        </w:tc>
        <w:tc>
          <w:tcPr>
            <w:tcW w:w="1579" w:type="dxa"/>
            <w:tcBorders>
              <w:bottom w:val="single" w:sz="4" w:space="0" w:color="auto"/>
            </w:tcBorders>
            <w:shd w:val="clear" w:color="auto" w:fill="DAEEF3" w:themeFill="accent5" w:themeFillTint="33"/>
            <w:vAlign w:val="center"/>
          </w:tcPr>
          <w:p w14:paraId="66EC98D1" w14:textId="77777777" w:rsidR="000046E3" w:rsidRPr="008206FB" w:rsidRDefault="000046E3" w:rsidP="002D5F8D">
            <w:pPr>
              <w:spacing w:before="0" w:line="240" w:lineRule="auto"/>
              <w:ind w:left="78"/>
              <w:jc w:val="center"/>
              <w:rPr>
                <w:rFonts w:asciiTheme="minorHAnsi" w:hAnsiTheme="minorHAnsi" w:cstheme="minorHAnsi"/>
              </w:rPr>
            </w:pPr>
            <w:r w:rsidRPr="008206FB">
              <w:rPr>
                <w:rFonts w:asciiTheme="minorHAnsi" w:hAnsiTheme="minorHAnsi" w:cstheme="minorHAnsi"/>
              </w:rPr>
              <w:t xml:space="preserve">Adults </w:t>
            </w:r>
            <w:r>
              <w:rPr>
                <w:rFonts w:asciiTheme="minorHAnsi" w:hAnsiTheme="minorHAnsi" w:cstheme="minorHAnsi"/>
              </w:rPr>
              <w:t>≥15</w:t>
            </w:r>
          </w:p>
        </w:tc>
        <w:tc>
          <w:tcPr>
            <w:tcW w:w="1579" w:type="dxa"/>
            <w:tcBorders>
              <w:bottom w:val="single" w:sz="4" w:space="0" w:color="auto"/>
            </w:tcBorders>
            <w:shd w:val="clear" w:color="auto" w:fill="DAEEF3" w:themeFill="accent5" w:themeFillTint="33"/>
            <w:vAlign w:val="center"/>
          </w:tcPr>
          <w:p w14:paraId="1DAF6A23" w14:textId="77777777" w:rsidR="000046E3" w:rsidRDefault="000046E3" w:rsidP="002D5F8D">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≥15</w:t>
            </w:r>
          </w:p>
        </w:tc>
        <w:tc>
          <w:tcPr>
            <w:tcW w:w="1579" w:type="dxa"/>
            <w:tcBorders>
              <w:bottom w:val="single" w:sz="4" w:space="0" w:color="auto"/>
            </w:tcBorders>
            <w:shd w:val="clear" w:color="auto" w:fill="DAEEF3" w:themeFill="accent5" w:themeFillTint="33"/>
            <w:vAlign w:val="center"/>
          </w:tcPr>
          <w:p w14:paraId="6D877CE1" w14:textId="77777777" w:rsidR="000046E3" w:rsidRDefault="000046E3" w:rsidP="002D5F8D">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≥15</w:t>
            </w:r>
          </w:p>
        </w:tc>
        <w:tc>
          <w:tcPr>
            <w:tcW w:w="1579" w:type="dxa"/>
            <w:tcBorders>
              <w:bottom w:val="single" w:sz="4" w:space="0" w:color="auto"/>
            </w:tcBorders>
            <w:shd w:val="clear" w:color="auto" w:fill="DAEEF3" w:themeFill="accent5" w:themeFillTint="33"/>
            <w:vAlign w:val="center"/>
          </w:tcPr>
          <w:p w14:paraId="01CEBE7A"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rPr>
              <w:t>Adults ≥18</w:t>
            </w:r>
          </w:p>
        </w:tc>
        <w:tc>
          <w:tcPr>
            <w:tcW w:w="1579" w:type="dxa"/>
            <w:tcBorders>
              <w:bottom w:val="single" w:sz="4" w:space="0" w:color="auto"/>
            </w:tcBorders>
            <w:shd w:val="clear" w:color="auto" w:fill="DAEEF3" w:themeFill="accent5" w:themeFillTint="33"/>
            <w:vAlign w:val="center"/>
          </w:tcPr>
          <w:p w14:paraId="736DEFCF" w14:textId="77777777" w:rsidR="000046E3" w:rsidRDefault="000046E3" w:rsidP="002D5F8D">
            <w:pPr>
              <w:spacing w:before="0" w:line="240" w:lineRule="auto"/>
              <w:ind w:left="78"/>
              <w:jc w:val="center"/>
              <w:rPr>
                <w:rFonts w:asciiTheme="minorHAnsi" w:hAnsiTheme="minorHAnsi" w:cstheme="minorHAnsi"/>
                <w:szCs w:val="22"/>
              </w:rPr>
            </w:pPr>
            <w:r w:rsidRPr="008206FB">
              <w:rPr>
                <w:rFonts w:asciiTheme="minorHAnsi" w:hAnsiTheme="minorHAnsi" w:cstheme="minorHAnsi"/>
              </w:rPr>
              <w:t xml:space="preserve">Adults </w:t>
            </w:r>
            <w:r>
              <w:rPr>
                <w:rFonts w:asciiTheme="minorHAnsi" w:hAnsiTheme="minorHAnsi" w:cstheme="minorHAnsi"/>
              </w:rPr>
              <w:t>≥18</w:t>
            </w:r>
          </w:p>
        </w:tc>
      </w:tr>
      <w:tr w:rsidR="000046E3" w:rsidRPr="008E0AFA" w14:paraId="5D9E0249" w14:textId="77777777" w:rsidTr="000F4A10">
        <w:trPr>
          <w:trHeight w:hRule="exact" w:val="510"/>
          <w:jc w:val="center"/>
        </w:trPr>
        <w:tc>
          <w:tcPr>
            <w:tcW w:w="3094" w:type="dxa"/>
            <w:tcBorders>
              <w:bottom w:val="single" w:sz="4" w:space="0" w:color="auto"/>
            </w:tcBorders>
            <w:shd w:val="clear" w:color="auto" w:fill="DAEEF3" w:themeFill="accent5" w:themeFillTint="33"/>
            <w:vAlign w:val="center"/>
          </w:tcPr>
          <w:p w14:paraId="1FB8635E" w14:textId="77777777" w:rsidR="000046E3" w:rsidRDefault="00583EA5" w:rsidP="004B4850">
            <w:pPr>
              <w:spacing w:before="0" w:line="240" w:lineRule="auto"/>
              <w:jc w:val="left"/>
              <w:rPr>
                <w:rFonts w:asciiTheme="minorHAnsi" w:hAnsiTheme="minorHAnsi" w:cstheme="minorHAnsi"/>
                <w:b/>
                <w:szCs w:val="22"/>
              </w:rPr>
            </w:pPr>
            <w:r>
              <w:rPr>
                <w:rFonts w:asciiTheme="minorHAnsi" w:hAnsiTheme="minorHAnsi" w:cstheme="minorHAnsi"/>
                <w:b/>
                <w:szCs w:val="22"/>
              </w:rPr>
              <w:t>Sample size (n)</w:t>
            </w:r>
          </w:p>
        </w:tc>
        <w:tc>
          <w:tcPr>
            <w:tcW w:w="1578" w:type="dxa"/>
            <w:tcBorders>
              <w:bottom w:val="single" w:sz="4" w:space="0" w:color="auto"/>
            </w:tcBorders>
            <w:shd w:val="clear" w:color="auto" w:fill="DAEEF3" w:themeFill="accent5" w:themeFillTint="33"/>
            <w:vAlign w:val="center"/>
          </w:tcPr>
          <w:p w14:paraId="7FC8CC16" w14:textId="77777777" w:rsidR="000046E3" w:rsidRPr="00C94099" w:rsidRDefault="000046E3" w:rsidP="002D5F8D">
            <w:pPr>
              <w:spacing w:before="0" w:line="240" w:lineRule="auto"/>
              <w:ind w:left="78"/>
              <w:jc w:val="center"/>
              <w:rPr>
                <w:rFonts w:asciiTheme="minorHAnsi" w:hAnsiTheme="minorHAnsi" w:cstheme="minorHAnsi"/>
                <w:szCs w:val="22"/>
              </w:rPr>
            </w:pPr>
            <w:r w:rsidRPr="00C94099">
              <w:rPr>
                <w:rFonts w:asciiTheme="minorHAnsi" w:hAnsiTheme="minorHAnsi" w:cstheme="minorHAnsi"/>
                <w:szCs w:val="22"/>
              </w:rPr>
              <w:t>6,251</w:t>
            </w:r>
          </w:p>
        </w:tc>
        <w:tc>
          <w:tcPr>
            <w:tcW w:w="1579" w:type="dxa"/>
            <w:tcBorders>
              <w:bottom w:val="single" w:sz="4" w:space="0" w:color="auto"/>
            </w:tcBorders>
            <w:shd w:val="clear" w:color="auto" w:fill="DAEEF3" w:themeFill="accent5" w:themeFillTint="33"/>
            <w:vAlign w:val="center"/>
          </w:tcPr>
          <w:p w14:paraId="554A5802"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12,370</w:t>
            </w:r>
          </w:p>
        </w:tc>
        <w:tc>
          <w:tcPr>
            <w:tcW w:w="1579" w:type="dxa"/>
            <w:tcBorders>
              <w:bottom w:val="single" w:sz="4" w:space="0" w:color="auto"/>
            </w:tcBorders>
            <w:shd w:val="clear" w:color="auto" w:fill="DAEEF3" w:themeFill="accent5" w:themeFillTint="33"/>
            <w:vAlign w:val="center"/>
          </w:tcPr>
          <w:p w14:paraId="201F33D9"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2,672</w:t>
            </w:r>
          </w:p>
        </w:tc>
        <w:tc>
          <w:tcPr>
            <w:tcW w:w="1579" w:type="dxa"/>
            <w:tcBorders>
              <w:bottom w:val="single" w:sz="4" w:space="0" w:color="auto"/>
            </w:tcBorders>
            <w:shd w:val="clear" w:color="auto" w:fill="DAEEF3" w:themeFill="accent5" w:themeFillTint="33"/>
            <w:vAlign w:val="center"/>
          </w:tcPr>
          <w:p w14:paraId="6814CD9E"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12,488</w:t>
            </w:r>
          </w:p>
        </w:tc>
        <w:tc>
          <w:tcPr>
            <w:tcW w:w="1579" w:type="dxa"/>
            <w:tcBorders>
              <w:bottom w:val="single" w:sz="4" w:space="0" w:color="auto"/>
            </w:tcBorders>
            <w:shd w:val="clear" w:color="auto" w:fill="DAEEF3" w:themeFill="accent5" w:themeFillTint="33"/>
            <w:vAlign w:val="center"/>
          </w:tcPr>
          <w:p w14:paraId="012112AD"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12,929</w:t>
            </w:r>
          </w:p>
        </w:tc>
        <w:tc>
          <w:tcPr>
            <w:tcW w:w="1579" w:type="dxa"/>
            <w:tcBorders>
              <w:bottom w:val="single" w:sz="4" w:space="0" w:color="auto"/>
            </w:tcBorders>
            <w:shd w:val="clear" w:color="auto" w:fill="DAEEF3" w:themeFill="accent5" w:themeFillTint="33"/>
            <w:vAlign w:val="center"/>
          </w:tcPr>
          <w:p w14:paraId="6CD61604"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6,452</w:t>
            </w:r>
          </w:p>
        </w:tc>
        <w:tc>
          <w:tcPr>
            <w:tcW w:w="1579" w:type="dxa"/>
            <w:tcBorders>
              <w:bottom w:val="single" w:sz="4" w:space="0" w:color="auto"/>
            </w:tcBorders>
            <w:shd w:val="clear" w:color="auto" w:fill="DAEEF3" w:themeFill="accent5" w:themeFillTint="33"/>
            <w:vAlign w:val="center"/>
          </w:tcPr>
          <w:p w14:paraId="6C1786DF"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4,053</w:t>
            </w:r>
          </w:p>
        </w:tc>
      </w:tr>
      <w:tr w:rsidR="000046E3" w:rsidRPr="008E0AFA" w14:paraId="3C88C901" w14:textId="77777777" w:rsidTr="000F4A10">
        <w:trPr>
          <w:trHeight w:hRule="exact" w:val="510"/>
          <w:jc w:val="center"/>
        </w:trPr>
        <w:tc>
          <w:tcPr>
            <w:tcW w:w="3094" w:type="dxa"/>
            <w:shd w:val="clear" w:color="auto" w:fill="DAEEF3" w:themeFill="accent5" w:themeFillTint="33"/>
            <w:vAlign w:val="center"/>
          </w:tcPr>
          <w:p w14:paraId="11CA8C4E" w14:textId="77777777" w:rsidR="000046E3" w:rsidRDefault="00583EA5" w:rsidP="004B4850">
            <w:pPr>
              <w:spacing w:before="0" w:line="240" w:lineRule="auto"/>
              <w:jc w:val="left"/>
              <w:rPr>
                <w:rFonts w:asciiTheme="minorHAnsi" w:hAnsiTheme="minorHAnsi" w:cstheme="minorHAnsi"/>
                <w:b/>
                <w:szCs w:val="22"/>
              </w:rPr>
            </w:pPr>
            <w:r>
              <w:rPr>
                <w:rFonts w:asciiTheme="minorHAnsi" w:hAnsiTheme="minorHAnsi" w:cstheme="minorHAnsi"/>
                <w:b/>
                <w:szCs w:val="22"/>
              </w:rPr>
              <w:t>Response rate</w:t>
            </w:r>
          </w:p>
        </w:tc>
        <w:tc>
          <w:tcPr>
            <w:tcW w:w="1578" w:type="dxa"/>
            <w:tcBorders>
              <w:bottom w:val="single" w:sz="4" w:space="0" w:color="auto"/>
            </w:tcBorders>
            <w:shd w:val="clear" w:color="auto" w:fill="DAEEF3" w:themeFill="accent5" w:themeFillTint="33"/>
            <w:vAlign w:val="center"/>
          </w:tcPr>
          <w:p w14:paraId="22754163" w14:textId="77777777" w:rsidR="000046E3" w:rsidRPr="00F31AF2"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64%</w:t>
            </w:r>
          </w:p>
        </w:tc>
        <w:tc>
          <w:tcPr>
            <w:tcW w:w="1579" w:type="dxa"/>
            <w:tcBorders>
              <w:bottom w:val="single" w:sz="4" w:space="0" w:color="auto"/>
            </w:tcBorders>
            <w:shd w:val="clear" w:color="auto" w:fill="DAEEF3" w:themeFill="accent5" w:themeFillTint="33"/>
            <w:vAlign w:val="center"/>
          </w:tcPr>
          <w:p w14:paraId="075A3D86"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79%</w:t>
            </w:r>
          </w:p>
        </w:tc>
        <w:tc>
          <w:tcPr>
            <w:tcW w:w="1579" w:type="dxa"/>
            <w:tcBorders>
              <w:bottom w:val="single" w:sz="4" w:space="0" w:color="auto"/>
            </w:tcBorders>
            <w:shd w:val="clear" w:color="auto" w:fill="DAEEF3" w:themeFill="accent5" w:themeFillTint="33"/>
            <w:vAlign w:val="center"/>
          </w:tcPr>
          <w:p w14:paraId="2BF6E6E4"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86%</w:t>
            </w:r>
          </w:p>
        </w:tc>
        <w:tc>
          <w:tcPr>
            <w:tcW w:w="1579" w:type="dxa"/>
            <w:tcBorders>
              <w:bottom w:val="single" w:sz="4" w:space="0" w:color="auto"/>
            </w:tcBorders>
            <w:shd w:val="clear" w:color="auto" w:fill="DAEEF3" w:themeFill="accent5" w:themeFillTint="33"/>
            <w:vAlign w:val="center"/>
          </w:tcPr>
          <w:p w14:paraId="3A048EEC"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68%</w:t>
            </w:r>
          </w:p>
        </w:tc>
        <w:tc>
          <w:tcPr>
            <w:tcW w:w="1579" w:type="dxa"/>
            <w:tcBorders>
              <w:bottom w:val="single" w:sz="4" w:space="0" w:color="auto"/>
            </w:tcBorders>
            <w:shd w:val="clear" w:color="auto" w:fill="DAEEF3" w:themeFill="accent5" w:themeFillTint="33"/>
            <w:vAlign w:val="center"/>
          </w:tcPr>
          <w:p w14:paraId="5BEBC242"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72%</w:t>
            </w:r>
          </w:p>
        </w:tc>
        <w:tc>
          <w:tcPr>
            <w:tcW w:w="1579" w:type="dxa"/>
            <w:tcBorders>
              <w:bottom w:val="single" w:sz="4" w:space="0" w:color="auto"/>
            </w:tcBorders>
            <w:shd w:val="clear" w:color="auto" w:fill="DAEEF3" w:themeFill="accent5" w:themeFillTint="33"/>
            <w:vAlign w:val="center"/>
          </w:tcPr>
          <w:p w14:paraId="7E884599"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75%</w:t>
            </w:r>
          </w:p>
        </w:tc>
        <w:tc>
          <w:tcPr>
            <w:tcW w:w="1579" w:type="dxa"/>
            <w:tcBorders>
              <w:bottom w:val="single" w:sz="4" w:space="0" w:color="auto"/>
            </w:tcBorders>
            <w:shd w:val="clear" w:color="auto" w:fill="DAEEF3" w:themeFill="accent5" w:themeFillTint="33"/>
            <w:vAlign w:val="center"/>
          </w:tcPr>
          <w:p w14:paraId="4CE306CD"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66%</w:t>
            </w:r>
          </w:p>
        </w:tc>
      </w:tr>
      <w:tr w:rsidR="000046E3" w:rsidRPr="008E0AFA" w14:paraId="7E1C62F5" w14:textId="77777777" w:rsidTr="000F4A10">
        <w:trPr>
          <w:trHeight w:hRule="exact" w:val="510"/>
          <w:jc w:val="center"/>
        </w:trPr>
        <w:tc>
          <w:tcPr>
            <w:tcW w:w="3094" w:type="dxa"/>
            <w:shd w:val="clear" w:color="auto" w:fill="DAEEF3" w:themeFill="accent5" w:themeFillTint="33"/>
            <w:vAlign w:val="center"/>
          </w:tcPr>
          <w:p w14:paraId="6693FFBB" w14:textId="77777777" w:rsidR="000046E3" w:rsidRDefault="00583EA5" w:rsidP="00513A88">
            <w:pPr>
              <w:spacing w:before="0" w:line="240" w:lineRule="auto"/>
              <w:jc w:val="left"/>
              <w:rPr>
                <w:rFonts w:asciiTheme="minorHAnsi" w:hAnsiTheme="minorHAnsi" w:cstheme="minorHAnsi"/>
                <w:b/>
                <w:szCs w:val="22"/>
              </w:rPr>
            </w:pPr>
            <w:r>
              <w:rPr>
                <w:rFonts w:asciiTheme="minorHAnsi" w:hAnsiTheme="minorHAnsi" w:cstheme="minorHAnsi"/>
                <w:b/>
                <w:szCs w:val="22"/>
              </w:rPr>
              <w:t>Administration format</w:t>
            </w:r>
          </w:p>
        </w:tc>
        <w:tc>
          <w:tcPr>
            <w:tcW w:w="1578" w:type="dxa"/>
            <w:tcBorders>
              <w:bottom w:val="single" w:sz="4" w:space="0" w:color="auto"/>
            </w:tcBorders>
            <w:shd w:val="clear" w:color="auto" w:fill="DAEEF3" w:themeFill="accent5" w:themeFillTint="33"/>
            <w:vAlign w:val="center"/>
          </w:tcPr>
          <w:p w14:paraId="56C69701" w14:textId="77777777" w:rsidR="000046E3" w:rsidRPr="00F31AF2"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Face-to-face</w:t>
            </w:r>
          </w:p>
        </w:tc>
        <w:tc>
          <w:tcPr>
            <w:tcW w:w="1579" w:type="dxa"/>
            <w:tcBorders>
              <w:bottom w:val="single" w:sz="4" w:space="0" w:color="auto"/>
            </w:tcBorders>
            <w:shd w:val="clear" w:color="auto" w:fill="DAEEF3" w:themeFill="accent5" w:themeFillTint="33"/>
            <w:vAlign w:val="center"/>
          </w:tcPr>
          <w:p w14:paraId="1B9BD4B0" w14:textId="77777777" w:rsidR="000046E3" w:rsidRPr="002D5F8D" w:rsidRDefault="000046E3" w:rsidP="002D5F8D">
            <w:pPr>
              <w:spacing w:before="0" w:line="240" w:lineRule="auto"/>
              <w:ind w:left="78"/>
              <w:jc w:val="center"/>
              <w:rPr>
                <w:rFonts w:asciiTheme="minorHAnsi" w:hAnsiTheme="minorHAnsi" w:cstheme="minorHAnsi"/>
                <w:szCs w:val="22"/>
              </w:rPr>
            </w:pPr>
            <w:r w:rsidRPr="004B533D">
              <w:rPr>
                <w:rFonts w:asciiTheme="minorHAnsi" w:hAnsiTheme="minorHAnsi" w:cstheme="minorHAnsi"/>
                <w:szCs w:val="22"/>
              </w:rPr>
              <w:t>Face-to-face</w:t>
            </w:r>
          </w:p>
        </w:tc>
        <w:tc>
          <w:tcPr>
            <w:tcW w:w="1579" w:type="dxa"/>
            <w:tcBorders>
              <w:bottom w:val="single" w:sz="4" w:space="0" w:color="auto"/>
            </w:tcBorders>
            <w:shd w:val="clear" w:color="auto" w:fill="DAEEF3" w:themeFill="accent5" w:themeFillTint="33"/>
            <w:vAlign w:val="center"/>
          </w:tcPr>
          <w:p w14:paraId="443B16D0" w14:textId="77777777" w:rsidR="000046E3" w:rsidRPr="002D5F8D" w:rsidRDefault="000046E3" w:rsidP="002D5F8D">
            <w:pPr>
              <w:spacing w:before="0" w:line="240" w:lineRule="auto"/>
              <w:ind w:left="78"/>
              <w:jc w:val="center"/>
              <w:rPr>
                <w:rFonts w:asciiTheme="minorHAnsi" w:hAnsiTheme="minorHAnsi" w:cstheme="minorHAnsi"/>
                <w:szCs w:val="22"/>
              </w:rPr>
            </w:pPr>
            <w:r w:rsidRPr="004B533D">
              <w:rPr>
                <w:rFonts w:asciiTheme="minorHAnsi" w:hAnsiTheme="minorHAnsi" w:cstheme="minorHAnsi"/>
                <w:szCs w:val="22"/>
              </w:rPr>
              <w:t>Face-to-face</w:t>
            </w:r>
          </w:p>
        </w:tc>
        <w:tc>
          <w:tcPr>
            <w:tcW w:w="1579" w:type="dxa"/>
            <w:tcBorders>
              <w:bottom w:val="single" w:sz="4" w:space="0" w:color="auto"/>
            </w:tcBorders>
            <w:shd w:val="clear" w:color="auto" w:fill="DAEEF3" w:themeFill="accent5" w:themeFillTint="33"/>
            <w:vAlign w:val="center"/>
          </w:tcPr>
          <w:p w14:paraId="29E71037" w14:textId="77777777" w:rsidR="000046E3" w:rsidRPr="002D5F8D" w:rsidRDefault="000046E3" w:rsidP="002D5F8D">
            <w:pPr>
              <w:spacing w:before="0" w:line="240" w:lineRule="auto"/>
              <w:ind w:left="78"/>
              <w:jc w:val="center"/>
              <w:rPr>
                <w:rFonts w:asciiTheme="minorHAnsi" w:hAnsiTheme="minorHAnsi" w:cstheme="minorHAnsi"/>
                <w:szCs w:val="22"/>
              </w:rPr>
            </w:pPr>
            <w:r w:rsidRPr="004B533D">
              <w:rPr>
                <w:rFonts w:asciiTheme="minorHAnsi" w:hAnsiTheme="minorHAnsi" w:cstheme="minorHAnsi"/>
                <w:szCs w:val="22"/>
              </w:rPr>
              <w:t>Face-to-face</w:t>
            </w:r>
          </w:p>
        </w:tc>
        <w:tc>
          <w:tcPr>
            <w:tcW w:w="1579" w:type="dxa"/>
            <w:tcBorders>
              <w:bottom w:val="single" w:sz="4" w:space="0" w:color="auto"/>
            </w:tcBorders>
            <w:shd w:val="clear" w:color="auto" w:fill="DAEEF3" w:themeFill="accent5" w:themeFillTint="33"/>
            <w:vAlign w:val="center"/>
          </w:tcPr>
          <w:p w14:paraId="2065E1FA" w14:textId="77777777" w:rsidR="000046E3" w:rsidRPr="002D5F8D" w:rsidRDefault="000046E3" w:rsidP="002D5F8D">
            <w:pPr>
              <w:spacing w:before="0" w:line="240" w:lineRule="auto"/>
              <w:ind w:left="78"/>
              <w:jc w:val="center"/>
              <w:rPr>
                <w:rFonts w:asciiTheme="minorHAnsi" w:hAnsiTheme="minorHAnsi" w:cstheme="minorHAnsi"/>
                <w:szCs w:val="22"/>
              </w:rPr>
            </w:pPr>
            <w:r w:rsidRPr="004B533D">
              <w:rPr>
                <w:rFonts w:asciiTheme="minorHAnsi" w:hAnsiTheme="minorHAnsi" w:cstheme="minorHAnsi"/>
                <w:szCs w:val="22"/>
              </w:rPr>
              <w:t>Face-to-face</w:t>
            </w:r>
          </w:p>
        </w:tc>
        <w:tc>
          <w:tcPr>
            <w:tcW w:w="1579" w:type="dxa"/>
            <w:tcBorders>
              <w:bottom w:val="single" w:sz="4" w:space="0" w:color="auto"/>
            </w:tcBorders>
            <w:shd w:val="clear" w:color="auto" w:fill="DAEEF3" w:themeFill="accent5" w:themeFillTint="33"/>
            <w:vAlign w:val="center"/>
          </w:tcPr>
          <w:p w14:paraId="7F9AFF0B"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Telephone</w:t>
            </w:r>
          </w:p>
        </w:tc>
        <w:tc>
          <w:tcPr>
            <w:tcW w:w="1579" w:type="dxa"/>
            <w:tcBorders>
              <w:bottom w:val="single" w:sz="4" w:space="0" w:color="auto"/>
            </w:tcBorders>
            <w:shd w:val="clear" w:color="auto" w:fill="DAEEF3" w:themeFill="accent5" w:themeFillTint="33"/>
            <w:vAlign w:val="center"/>
          </w:tcPr>
          <w:p w14:paraId="78375748"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Telephone</w:t>
            </w:r>
          </w:p>
        </w:tc>
      </w:tr>
      <w:tr w:rsidR="000046E3" w:rsidRPr="008E0AFA" w14:paraId="72DDFBEA" w14:textId="77777777" w:rsidTr="000F4A10">
        <w:trPr>
          <w:trHeight w:hRule="exact" w:val="510"/>
          <w:jc w:val="center"/>
        </w:trPr>
        <w:tc>
          <w:tcPr>
            <w:tcW w:w="3094" w:type="dxa"/>
            <w:shd w:val="clear" w:color="auto" w:fill="DAEEF3" w:themeFill="accent5" w:themeFillTint="33"/>
            <w:vAlign w:val="center"/>
          </w:tcPr>
          <w:p w14:paraId="220D504F" w14:textId="77777777" w:rsidR="000046E3" w:rsidRDefault="00583EA5" w:rsidP="0025569E">
            <w:pPr>
              <w:spacing w:before="0" w:line="240" w:lineRule="auto"/>
              <w:jc w:val="left"/>
              <w:rPr>
                <w:rFonts w:asciiTheme="minorHAnsi" w:hAnsiTheme="minorHAnsi" w:cstheme="minorHAnsi"/>
                <w:b/>
                <w:szCs w:val="22"/>
              </w:rPr>
            </w:pPr>
            <w:r>
              <w:rPr>
                <w:rFonts w:asciiTheme="minorHAnsi" w:hAnsiTheme="minorHAnsi" w:cstheme="minorHAnsi"/>
                <w:b/>
                <w:szCs w:val="22"/>
              </w:rPr>
              <w:t>Primary focus of survey</w:t>
            </w:r>
          </w:p>
        </w:tc>
        <w:tc>
          <w:tcPr>
            <w:tcW w:w="1578" w:type="dxa"/>
            <w:tcBorders>
              <w:bottom w:val="single" w:sz="4" w:space="0" w:color="auto"/>
            </w:tcBorders>
            <w:shd w:val="clear" w:color="auto" w:fill="DAEEF3" w:themeFill="accent5" w:themeFillTint="33"/>
            <w:vAlign w:val="center"/>
          </w:tcPr>
          <w:p w14:paraId="73CEB18D" w14:textId="77777777" w:rsidR="000046E3" w:rsidRPr="00F31AF2"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Gambling</w:t>
            </w:r>
          </w:p>
        </w:tc>
        <w:tc>
          <w:tcPr>
            <w:tcW w:w="1579" w:type="dxa"/>
            <w:tcBorders>
              <w:bottom w:val="single" w:sz="4" w:space="0" w:color="auto"/>
            </w:tcBorders>
            <w:shd w:val="clear" w:color="auto" w:fill="DAEEF3" w:themeFill="accent5" w:themeFillTint="33"/>
            <w:vAlign w:val="center"/>
          </w:tcPr>
          <w:p w14:paraId="5B7E59AB"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Overall health</w:t>
            </w:r>
          </w:p>
        </w:tc>
        <w:tc>
          <w:tcPr>
            <w:tcW w:w="1579" w:type="dxa"/>
            <w:tcBorders>
              <w:bottom w:val="single" w:sz="4" w:space="0" w:color="auto"/>
            </w:tcBorders>
            <w:shd w:val="clear" w:color="auto" w:fill="DAEEF3" w:themeFill="accent5" w:themeFillTint="33"/>
            <w:vAlign w:val="center"/>
          </w:tcPr>
          <w:p w14:paraId="1942E13F"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Overall health</w:t>
            </w:r>
          </w:p>
        </w:tc>
        <w:tc>
          <w:tcPr>
            <w:tcW w:w="1579" w:type="dxa"/>
            <w:tcBorders>
              <w:bottom w:val="single" w:sz="4" w:space="0" w:color="auto"/>
            </w:tcBorders>
            <w:shd w:val="clear" w:color="auto" w:fill="DAEEF3" w:themeFill="accent5" w:themeFillTint="33"/>
            <w:vAlign w:val="center"/>
          </w:tcPr>
          <w:p w14:paraId="35C7E57C"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Overall health</w:t>
            </w:r>
          </w:p>
        </w:tc>
        <w:tc>
          <w:tcPr>
            <w:tcW w:w="1579" w:type="dxa"/>
            <w:tcBorders>
              <w:bottom w:val="single" w:sz="4" w:space="0" w:color="auto"/>
            </w:tcBorders>
            <w:shd w:val="clear" w:color="auto" w:fill="DAEEF3" w:themeFill="accent5" w:themeFillTint="33"/>
            <w:vAlign w:val="center"/>
          </w:tcPr>
          <w:p w14:paraId="50BB9758"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Overall health</w:t>
            </w:r>
          </w:p>
        </w:tc>
        <w:tc>
          <w:tcPr>
            <w:tcW w:w="1579" w:type="dxa"/>
            <w:tcBorders>
              <w:bottom w:val="single" w:sz="4" w:space="0" w:color="auto"/>
            </w:tcBorders>
            <w:shd w:val="clear" w:color="auto" w:fill="DAEEF3" w:themeFill="accent5" w:themeFillTint="33"/>
            <w:vAlign w:val="center"/>
          </w:tcPr>
          <w:p w14:paraId="47A9E7E1"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Gambling</w:t>
            </w:r>
          </w:p>
        </w:tc>
        <w:tc>
          <w:tcPr>
            <w:tcW w:w="1579" w:type="dxa"/>
            <w:tcBorders>
              <w:bottom w:val="single" w:sz="4" w:space="0" w:color="auto"/>
            </w:tcBorders>
            <w:shd w:val="clear" w:color="auto" w:fill="DAEEF3" w:themeFill="accent5" w:themeFillTint="33"/>
            <w:vAlign w:val="center"/>
          </w:tcPr>
          <w:p w14:paraId="5C318591"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Gambling</w:t>
            </w:r>
          </w:p>
        </w:tc>
      </w:tr>
      <w:tr w:rsidR="00745037" w:rsidRPr="008E0AFA" w14:paraId="1E38949D" w14:textId="77777777" w:rsidTr="000F4A10">
        <w:trPr>
          <w:trHeight w:hRule="exact" w:val="510"/>
          <w:jc w:val="center"/>
        </w:trPr>
        <w:tc>
          <w:tcPr>
            <w:tcW w:w="3094" w:type="dxa"/>
            <w:tcBorders>
              <w:bottom w:val="single" w:sz="4" w:space="0" w:color="auto"/>
            </w:tcBorders>
            <w:shd w:val="clear" w:color="auto" w:fill="DAEEF3" w:themeFill="accent5" w:themeFillTint="33"/>
            <w:vAlign w:val="center"/>
          </w:tcPr>
          <w:p w14:paraId="491643F5" w14:textId="77777777" w:rsidR="00745037" w:rsidRPr="00FD4E0A" w:rsidRDefault="00583EA5" w:rsidP="00A95BA4">
            <w:pPr>
              <w:spacing w:before="0" w:line="240" w:lineRule="auto"/>
              <w:jc w:val="left"/>
              <w:rPr>
                <w:rFonts w:asciiTheme="minorHAnsi" w:hAnsiTheme="minorHAnsi" w:cstheme="minorHAnsi"/>
                <w:b/>
                <w:szCs w:val="22"/>
              </w:rPr>
            </w:pPr>
            <w:r>
              <w:rPr>
                <w:rFonts w:asciiTheme="minorHAnsi" w:hAnsiTheme="minorHAnsi" w:cstheme="minorHAnsi"/>
                <w:b/>
                <w:szCs w:val="22"/>
              </w:rPr>
              <w:t>Problem gambling measure</w:t>
            </w:r>
          </w:p>
        </w:tc>
        <w:tc>
          <w:tcPr>
            <w:tcW w:w="1578" w:type="dxa"/>
            <w:tcBorders>
              <w:bottom w:val="single" w:sz="4" w:space="0" w:color="auto"/>
            </w:tcBorders>
            <w:shd w:val="clear" w:color="auto" w:fill="DAEEF3" w:themeFill="accent5" w:themeFillTint="33"/>
            <w:vAlign w:val="center"/>
          </w:tcPr>
          <w:p w14:paraId="7639E2E5" w14:textId="77777777" w:rsidR="000A1794" w:rsidRDefault="00745037" w:rsidP="00A95BA4">
            <w:pPr>
              <w:spacing w:before="0" w:line="240" w:lineRule="auto"/>
              <w:ind w:left="78"/>
              <w:jc w:val="center"/>
              <w:rPr>
                <w:rFonts w:asciiTheme="minorHAnsi" w:hAnsiTheme="minorHAnsi" w:cstheme="minorHAnsi"/>
                <w:szCs w:val="22"/>
              </w:rPr>
            </w:pPr>
            <w:r w:rsidRPr="00C94099">
              <w:rPr>
                <w:rFonts w:asciiTheme="minorHAnsi" w:hAnsiTheme="minorHAnsi" w:cstheme="minorHAnsi"/>
                <w:szCs w:val="22"/>
              </w:rPr>
              <w:t>PGSI</w:t>
            </w:r>
            <w:r w:rsidR="00193689">
              <w:rPr>
                <w:rFonts w:asciiTheme="minorHAnsi" w:hAnsiTheme="minorHAnsi" w:cstheme="minorHAnsi"/>
                <w:szCs w:val="22"/>
              </w:rPr>
              <w:t xml:space="preserve"> and </w:t>
            </w:r>
          </w:p>
          <w:p w14:paraId="25C263AE" w14:textId="77777777" w:rsidR="00745037" w:rsidRPr="00C94099" w:rsidRDefault="00193689"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SOGS-R</w:t>
            </w:r>
          </w:p>
        </w:tc>
        <w:tc>
          <w:tcPr>
            <w:tcW w:w="1579" w:type="dxa"/>
            <w:tcBorders>
              <w:bottom w:val="single" w:sz="4" w:space="0" w:color="auto"/>
            </w:tcBorders>
            <w:shd w:val="clear" w:color="auto" w:fill="DAEEF3" w:themeFill="accent5" w:themeFillTint="33"/>
            <w:vAlign w:val="center"/>
          </w:tcPr>
          <w:p w14:paraId="2D76C0AF" w14:textId="77777777" w:rsidR="00745037" w:rsidRDefault="00745037" w:rsidP="00A95BA4">
            <w:pPr>
              <w:spacing w:before="0" w:line="240" w:lineRule="auto"/>
              <w:ind w:left="78"/>
              <w:jc w:val="center"/>
              <w:rPr>
                <w:rFonts w:asciiTheme="minorHAnsi" w:hAnsiTheme="minorHAnsi" w:cstheme="minorHAnsi"/>
                <w:szCs w:val="22"/>
              </w:rPr>
            </w:pPr>
            <w:r w:rsidRPr="00C94099">
              <w:rPr>
                <w:rFonts w:asciiTheme="minorHAnsi" w:hAnsiTheme="minorHAnsi" w:cstheme="minorHAnsi"/>
                <w:szCs w:val="22"/>
              </w:rPr>
              <w:t>PGSI</w:t>
            </w:r>
          </w:p>
        </w:tc>
        <w:tc>
          <w:tcPr>
            <w:tcW w:w="1579" w:type="dxa"/>
            <w:tcBorders>
              <w:bottom w:val="single" w:sz="4" w:space="0" w:color="auto"/>
            </w:tcBorders>
            <w:shd w:val="clear" w:color="auto" w:fill="DAEEF3" w:themeFill="accent5" w:themeFillTint="33"/>
            <w:vAlign w:val="center"/>
          </w:tcPr>
          <w:p w14:paraId="3FCAD570" w14:textId="77777777" w:rsidR="00745037" w:rsidRDefault="00745037"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PGSI</w:t>
            </w:r>
          </w:p>
        </w:tc>
        <w:tc>
          <w:tcPr>
            <w:tcW w:w="1579" w:type="dxa"/>
            <w:tcBorders>
              <w:bottom w:val="single" w:sz="4" w:space="0" w:color="auto"/>
            </w:tcBorders>
            <w:shd w:val="clear" w:color="auto" w:fill="DAEEF3" w:themeFill="accent5" w:themeFillTint="33"/>
            <w:vAlign w:val="center"/>
          </w:tcPr>
          <w:p w14:paraId="636AF7B0" w14:textId="77777777" w:rsidR="00745037" w:rsidRDefault="00745037"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PGSI</w:t>
            </w:r>
          </w:p>
        </w:tc>
        <w:tc>
          <w:tcPr>
            <w:tcW w:w="1579" w:type="dxa"/>
            <w:tcBorders>
              <w:bottom w:val="single" w:sz="4" w:space="0" w:color="auto"/>
            </w:tcBorders>
            <w:shd w:val="clear" w:color="auto" w:fill="DAEEF3" w:themeFill="accent5" w:themeFillTint="33"/>
            <w:vAlign w:val="center"/>
          </w:tcPr>
          <w:p w14:paraId="19ACF827" w14:textId="77777777" w:rsidR="00745037" w:rsidRDefault="00745037"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 xml:space="preserve">Screen </w:t>
            </w:r>
            <w:r w:rsidR="00BE760E">
              <w:rPr>
                <w:rFonts w:asciiTheme="minorHAnsi" w:hAnsiTheme="minorHAnsi" w:cstheme="minorHAnsi"/>
                <w:szCs w:val="22"/>
                <w:vertAlign w:val="superscript"/>
              </w:rPr>
              <w:t>1</w:t>
            </w:r>
          </w:p>
        </w:tc>
        <w:tc>
          <w:tcPr>
            <w:tcW w:w="1579" w:type="dxa"/>
            <w:tcBorders>
              <w:bottom w:val="single" w:sz="4" w:space="0" w:color="auto"/>
            </w:tcBorders>
            <w:shd w:val="clear" w:color="auto" w:fill="DAEEF3" w:themeFill="accent5" w:themeFillTint="33"/>
            <w:vAlign w:val="center"/>
          </w:tcPr>
          <w:p w14:paraId="1BB8A226" w14:textId="77777777" w:rsidR="00745037" w:rsidRDefault="00745037"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SOGS-R</w:t>
            </w:r>
          </w:p>
        </w:tc>
        <w:tc>
          <w:tcPr>
            <w:tcW w:w="1579" w:type="dxa"/>
            <w:tcBorders>
              <w:bottom w:val="single" w:sz="4" w:space="0" w:color="auto"/>
            </w:tcBorders>
            <w:shd w:val="clear" w:color="auto" w:fill="DAEEF3" w:themeFill="accent5" w:themeFillTint="33"/>
            <w:vAlign w:val="center"/>
          </w:tcPr>
          <w:p w14:paraId="15314534" w14:textId="77777777" w:rsidR="00745037" w:rsidRDefault="00745037" w:rsidP="00A95BA4">
            <w:pPr>
              <w:spacing w:before="0" w:line="240" w:lineRule="auto"/>
              <w:ind w:left="78"/>
              <w:jc w:val="center"/>
              <w:rPr>
                <w:rFonts w:asciiTheme="minorHAnsi" w:hAnsiTheme="minorHAnsi" w:cstheme="minorHAnsi"/>
                <w:szCs w:val="22"/>
              </w:rPr>
            </w:pPr>
            <w:r>
              <w:rPr>
                <w:rFonts w:asciiTheme="minorHAnsi" w:hAnsiTheme="minorHAnsi" w:cstheme="minorHAnsi"/>
                <w:szCs w:val="22"/>
              </w:rPr>
              <w:t>SOGS-R</w:t>
            </w:r>
          </w:p>
        </w:tc>
      </w:tr>
      <w:tr w:rsidR="000046E3" w:rsidRPr="008E0AFA" w14:paraId="6B94CF01" w14:textId="77777777" w:rsidTr="00BE760E">
        <w:trPr>
          <w:jc w:val="center"/>
        </w:trPr>
        <w:tc>
          <w:tcPr>
            <w:tcW w:w="3094" w:type="dxa"/>
            <w:shd w:val="clear" w:color="auto" w:fill="DAEEF3" w:themeFill="accent5" w:themeFillTint="33"/>
            <w:vAlign w:val="center"/>
          </w:tcPr>
          <w:p w14:paraId="7BAA11C4" w14:textId="77777777" w:rsidR="000046E3" w:rsidRDefault="00583EA5" w:rsidP="00513A88">
            <w:pPr>
              <w:spacing w:before="0" w:line="240" w:lineRule="auto"/>
              <w:jc w:val="left"/>
              <w:rPr>
                <w:rFonts w:asciiTheme="minorHAnsi" w:hAnsiTheme="minorHAnsi" w:cstheme="minorHAnsi"/>
                <w:b/>
                <w:szCs w:val="22"/>
              </w:rPr>
            </w:pPr>
            <w:r>
              <w:rPr>
                <w:rFonts w:asciiTheme="minorHAnsi" w:hAnsiTheme="minorHAnsi" w:cstheme="minorHAnsi"/>
                <w:b/>
                <w:szCs w:val="22"/>
              </w:rPr>
              <w:t>Interviewing method</w:t>
            </w:r>
            <w:r w:rsidR="000046E3">
              <w:rPr>
                <w:rFonts w:asciiTheme="minorHAnsi" w:hAnsiTheme="minorHAnsi" w:cstheme="minorHAnsi"/>
                <w:b/>
                <w:szCs w:val="22"/>
              </w:rPr>
              <w:t xml:space="preserve"> </w:t>
            </w:r>
            <w:r w:rsidR="000046E3" w:rsidRPr="0025569E">
              <w:rPr>
                <w:rFonts w:asciiTheme="minorHAnsi" w:hAnsiTheme="minorHAnsi" w:cstheme="minorHAnsi"/>
                <w:b/>
                <w:szCs w:val="22"/>
                <w:vertAlign w:val="superscript"/>
              </w:rPr>
              <w:t>2</w:t>
            </w:r>
          </w:p>
        </w:tc>
        <w:tc>
          <w:tcPr>
            <w:tcW w:w="1578" w:type="dxa"/>
            <w:tcBorders>
              <w:bottom w:val="single" w:sz="4" w:space="0" w:color="auto"/>
            </w:tcBorders>
            <w:shd w:val="clear" w:color="auto" w:fill="DAEEF3" w:themeFill="accent5" w:themeFillTint="33"/>
            <w:vAlign w:val="center"/>
          </w:tcPr>
          <w:p w14:paraId="46787806" w14:textId="77777777" w:rsidR="000046E3" w:rsidRPr="00F31AF2"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CAPI</w:t>
            </w:r>
          </w:p>
        </w:tc>
        <w:tc>
          <w:tcPr>
            <w:tcW w:w="1579" w:type="dxa"/>
            <w:tcBorders>
              <w:bottom w:val="single" w:sz="4" w:space="0" w:color="auto"/>
            </w:tcBorders>
            <w:shd w:val="clear" w:color="auto" w:fill="DAEEF3" w:themeFill="accent5" w:themeFillTint="33"/>
            <w:vAlign w:val="center"/>
          </w:tcPr>
          <w:p w14:paraId="16A166B5"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CAPI</w:t>
            </w:r>
          </w:p>
        </w:tc>
        <w:tc>
          <w:tcPr>
            <w:tcW w:w="1579" w:type="dxa"/>
            <w:tcBorders>
              <w:bottom w:val="single" w:sz="4" w:space="0" w:color="auto"/>
            </w:tcBorders>
            <w:shd w:val="clear" w:color="auto" w:fill="DAEEF3" w:themeFill="accent5" w:themeFillTint="33"/>
            <w:vAlign w:val="center"/>
          </w:tcPr>
          <w:p w14:paraId="48EDF024"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CAPI</w:t>
            </w:r>
          </w:p>
        </w:tc>
        <w:tc>
          <w:tcPr>
            <w:tcW w:w="1579" w:type="dxa"/>
            <w:tcBorders>
              <w:bottom w:val="single" w:sz="4" w:space="0" w:color="auto"/>
            </w:tcBorders>
            <w:shd w:val="clear" w:color="auto" w:fill="DAEEF3" w:themeFill="accent5" w:themeFillTint="33"/>
            <w:vAlign w:val="center"/>
          </w:tcPr>
          <w:p w14:paraId="6B226C5E" w14:textId="77777777" w:rsidR="000046E3" w:rsidRDefault="000046E3" w:rsidP="002D5F8D">
            <w:pPr>
              <w:spacing w:before="0" w:line="240" w:lineRule="auto"/>
              <w:ind w:left="78"/>
              <w:jc w:val="center"/>
              <w:rPr>
                <w:rFonts w:asciiTheme="minorHAnsi" w:hAnsiTheme="minorHAnsi" w:cstheme="minorHAnsi"/>
                <w:szCs w:val="22"/>
              </w:rPr>
            </w:pPr>
            <w:r>
              <w:rPr>
                <w:rFonts w:asciiTheme="minorHAnsi" w:hAnsiTheme="minorHAnsi" w:cstheme="minorHAnsi"/>
                <w:szCs w:val="22"/>
              </w:rPr>
              <w:t>CAPI</w:t>
            </w:r>
          </w:p>
        </w:tc>
        <w:tc>
          <w:tcPr>
            <w:tcW w:w="1579" w:type="dxa"/>
            <w:tcBorders>
              <w:bottom w:val="single" w:sz="4" w:space="0" w:color="auto"/>
            </w:tcBorders>
            <w:shd w:val="clear" w:color="auto" w:fill="DAEEF3" w:themeFill="accent5" w:themeFillTint="33"/>
            <w:vAlign w:val="center"/>
          </w:tcPr>
          <w:p w14:paraId="22A44371" w14:textId="77777777" w:rsidR="000046E3" w:rsidRDefault="00583EA5" w:rsidP="000F4A10">
            <w:pPr>
              <w:spacing w:before="0" w:line="240" w:lineRule="auto"/>
              <w:ind w:left="78"/>
              <w:jc w:val="center"/>
              <w:rPr>
                <w:rFonts w:asciiTheme="minorHAnsi" w:hAnsiTheme="minorHAnsi" w:cstheme="minorHAnsi"/>
                <w:szCs w:val="22"/>
              </w:rPr>
            </w:pPr>
            <w:r>
              <w:rPr>
                <w:rFonts w:asciiTheme="minorHAnsi" w:hAnsiTheme="minorHAnsi" w:cstheme="minorHAnsi"/>
                <w:szCs w:val="22"/>
              </w:rPr>
              <w:t>Struc</w:t>
            </w:r>
            <w:r w:rsidR="000F4A10">
              <w:rPr>
                <w:rFonts w:asciiTheme="minorHAnsi" w:hAnsiTheme="minorHAnsi" w:cstheme="minorHAnsi"/>
                <w:szCs w:val="22"/>
              </w:rPr>
              <w:t>tured interview</w:t>
            </w:r>
          </w:p>
        </w:tc>
        <w:tc>
          <w:tcPr>
            <w:tcW w:w="1579" w:type="dxa"/>
            <w:tcBorders>
              <w:bottom w:val="single" w:sz="4" w:space="0" w:color="auto"/>
            </w:tcBorders>
            <w:shd w:val="clear" w:color="auto" w:fill="DAEEF3" w:themeFill="accent5" w:themeFillTint="33"/>
            <w:vAlign w:val="center"/>
          </w:tcPr>
          <w:p w14:paraId="12BC121B" w14:textId="77777777" w:rsidR="000046E3" w:rsidRDefault="000046E3" w:rsidP="00AC7E62">
            <w:pPr>
              <w:spacing w:before="0" w:line="240" w:lineRule="auto"/>
              <w:ind w:left="78"/>
              <w:jc w:val="center"/>
              <w:rPr>
                <w:rFonts w:asciiTheme="minorHAnsi" w:hAnsiTheme="minorHAnsi" w:cstheme="minorHAnsi"/>
                <w:szCs w:val="22"/>
              </w:rPr>
            </w:pPr>
            <w:r>
              <w:rPr>
                <w:rFonts w:asciiTheme="minorHAnsi" w:hAnsiTheme="minorHAnsi" w:cstheme="minorHAnsi"/>
                <w:szCs w:val="22"/>
              </w:rPr>
              <w:t>Structured</w:t>
            </w:r>
            <w:r w:rsidR="00583EA5">
              <w:rPr>
                <w:rFonts w:asciiTheme="minorHAnsi" w:hAnsiTheme="minorHAnsi" w:cstheme="minorHAnsi"/>
                <w:szCs w:val="22"/>
              </w:rPr>
              <w:t xml:space="preserve"> i</w:t>
            </w:r>
            <w:r w:rsidR="000F4A10">
              <w:rPr>
                <w:rFonts w:asciiTheme="minorHAnsi" w:hAnsiTheme="minorHAnsi" w:cstheme="minorHAnsi"/>
                <w:szCs w:val="22"/>
              </w:rPr>
              <w:t>nterview</w:t>
            </w:r>
            <w:r w:rsidR="00193689">
              <w:rPr>
                <w:rFonts w:asciiTheme="minorHAnsi" w:hAnsiTheme="minorHAnsi" w:cstheme="minorHAnsi"/>
                <w:szCs w:val="22"/>
              </w:rPr>
              <w:t xml:space="preserve"> </w:t>
            </w:r>
          </w:p>
        </w:tc>
        <w:tc>
          <w:tcPr>
            <w:tcW w:w="1579" w:type="dxa"/>
            <w:tcBorders>
              <w:bottom w:val="single" w:sz="4" w:space="0" w:color="auto"/>
            </w:tcBorders>
            <w:shd w:val="clear" w:color="auto" w:fill="DAEEF3" w:themeFill="accent5" w:themeFillTint="33"/>
            <w:vAlign w:val="center"/>
          </w:tcPr>
          <w:p w14:paraId="540F574C" w14:textId="77777777" w:rsidR="000046E3" w:rsidRDefault="000F4A10" w:rsidP="00AC7E62">
            <w:pPr>
              <w:spacing w:before="0" w:line="240" w:lineRule="auto"/>
              <w:ind w:left="78"/>
              <w:jc w:val="center"/>
              <w:rPr>
                <w:rFonts w:asciiTheme="minorHAnsi" w:hAnsiTheme="minorHAnsi" w:cstheme="minorHAnsi"/>
                <w:szCs w:val="22"/>
              </w:rPr>
            </w:pPr>
            <w:r>
              <w:rPr>
                <w:rFonts w:asciiTheme="minorHAnsi" w:hAnsiTheme="minorHAnsi" w:cstheme="minorHAnsi"/>
                <w:szCs w:val="22"/>
              </w:rPr>
              <w:t>Structured interview</w:t>
            </w:r>
            <w:r w:rsidR="00193689">
              <w:rPr>
                <w:rFonts w:asciiTheme="minorHAnsi" w:hAnsiTheme="minorHAnsi" w:cstheme="minorHAnsi"/>
                <w:szCs w:val="22"/>
              </w:rPr>
              <w:t xml:space="preserve"> </w:t>
            </w:r>
          </w:p>
        </w:tc>
      </w:tr>
      <w:tr w:rsidR="000046E3" w:rsidRPr="008E0AFA" w14:paraId="1C9912D2" w14:textId="77777777" w:rsidTr="000F4A10">
        <w:trPr>
          <w:trHeight w:hRule="exact" w:val="510"/>
          <w:jc w:val="center"/>
        </w:trPr>
        <w:tc>
          <w:tcPr>
            <w:tcW w:w="3094" w:type="dxa"/>
            <w:shd w:val="clear" w:color="auto" w:fill="DAEEF3" w:themeFill="accent5" w:themeFillTint="33"/>
            <w:vAlign w:val="center"/>
          </w:tcPr>
          <w:p w14:paraId="46D655BF" w14:textId="77777777" w:rsidR="000046E3" w:rsidRDefault="00583EA5" w:rsidP="00583EA5">
            <w:pPr>
              <w:spacing w:before="0" w:line="240" w:lineRule="auto"/>
              <w:jc w:val="left"/>
              <w:rPr>
                <w:rFonts w:asciiTheme="minorHAnsi" w:hAnsiTheme="minorHAnsi" w:cstheme="minorHAnsi"/>
                <w:b/>
                <w:szCs w:val="22"/>
              </w:rPr>
            </w:pPr>
            <w:r>
              <w:rPr>
                <w:rFonts w:asciiTheme="minorHAnsi" w:hAnsiTheme="minorHAnsi" w:cstheme="minorHAnsi"/>
                <w:b/>
                <w:szCs w:val="22"/>
              </w:rPr>
              <w:t>Number of gambling activities</w:t>
            </w:r>
            <w:r w:rsidR="006F7F10">
              <w:rPr>
                <w:rFonts w:asciiTheme="minorHAnsi" w:hAnsiTheme="minorHAnsi" w:cstheme="minorHAnsi"/>
                <w:b/>
                <w:szCs w:val="22"/>
              </w:rPr>
              <w:t xml:space="preserve"> specified</w:t>
            </w:r>
            <w:r>
              <w:rPr>
                <w:rFonts w:asciiTheme="minorHAnsi" w:hAnsiTheme="minorHAnsi" w:cstheme="minorHAnsi"/>
                <w:b/>
                <w:szCs w:val="22"/>
              </w:rPr>
              <w:t xml:space="preserve"> in questionnaire</w:t>
            </w:r>
          </w:p>
        </w:tc>
        <w:tc>
          <w:tcPr>
            <w:tcW w:w="1578" w:type="dxa"/>
            <w:shd w:val="clear" w:color="auto" w:fill="DAEEF3" w:themeFill="accent5" w:themeFillTint="33"/>
            <w:vAlign w:val="center"/>
          </w:tcPr>
          <w:p w14:paraId="27A447F2" w14:textId="77777777" w:rsidR="000046E3" w:rsidRPr="00F31AF2"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29</w:t>
            </w:r>
          </w:p>
        </w:tc>
        <w:tc>
          <w:tcPr>
            <w:tcW w:w="1579" w:type="dxa"/>
            <w:shd w:val="clear" w:color="auto" w:fill="DAEEF3" w:themeFill="accent5" w:themeFillTint="33"/>
            <w:vAlign w:val="center"/>
          </w:tcPr>
          <w:p w14:paraId="6468D44C" w14:textId="77777777" w:rsidR="000046E3"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12</w:t>
            </w:r>
          </w:p>
        </w:tc>
        <w:tc>
          <w:tcPr>
            <w:tcW w:w="1579" w:type="dxa"/>
            <w:shd w:val="clear" w:color="auto" w:fill="DAEEF3" w:themeFill="accent5" w:themeFillTint="33"/>
            <w:vAlign w:val="center"/>
          </w:tcPr>
          <w:p w14:paraId="24A54918" w14:textId="77777777" w:rsidR="000046E3"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10</w:t>
            </w:r>
          </w:p>
        </w:tc>
        <w:tc>
          <w:tcPr>
            <w:tcW w:w="1579" w:type="dxa"/>
            <w:shd w:val="clear" w:color="auto" w:fill="DAEEF3" w:themeFill="accent5" w:themeFillTint="33"/>
            <w:vAlign w:val="center"/>
          </w:tcPr>
          <w:p w14:paraId="73F1DD41" w14:textId="77777777" w:rsidR="000046E3"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10</w:t>
            </w:r>
          </w:p>
        </w:tc>
        <w:tc>
          <w:tcPr>
            <w:tcW w:w="1579" w:type="dxa"/>
            <w:shd w:val="clear" w:color="auto" w:fill="DAEEF3" w:themeFill="accent5" w:themeFillTint="33"/>
            <w:vAlign w:val="center"/>
          </w:tcPr>
          <w:p w14:paraId="20C20804" w14:textId="77777777" w:rsidR="000046E3"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9</w:t>
            </w:r>
          </w:p>
        </w:tc>
        <w:tc>
          <w:tcPr>
            <w:tcW w:w="1579" w:type="dxa"/>
            <w:shd w:val="clear" w:color="auto" w:fill="DAEEF3" w:themeFill="accent5" w:themeFillTint="33"/>
            <w:vAlign w:val="center"/>
          </w:tcPr>
          <w:p w14:paraId="4EBA4F9A" w14:textId="77777777" w:rsidR="000046E3" w:rsidRDefault="0026049E"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16</w:t>
            </w:r>
          </w:p>
        </w:tc>
        <w:tc>
          <w:tcPr>
            <w:tcW w:w="1579" w:type="dxa"/>
            <w:shd w:val="clear" w:color="auto" w:fill="DAEEF3" w:themeFill="accent5" w:themeFillTint="33"/>
            <w:vAlign w:val="center"/>
          </w:tcPr>
          <w:p w14:paraId="5C8CB217" w14:textId="77777777" w:rsidR="000046E3" w:rsidRDefault="00AC7E62" w:rsidP="00583EA5">
            <w:pPr>
              <w:spacing w:before="0" w:line="240" w:lineRule="auto"/>
              <w:ind w:left="78"/>
              <w:jc w:val="center"/>
              <w:rPr>
                <w:rFonts w:asciiTheme="minorHAnsi" w:hAnsiTheme="minorHAnsi" w:cstheme="minorHAnsi"/>
                <w:szCs w:val="22"/>
              </w:rPr>
            </w:pPr>
            <w:r>
              <w:rPr>
                <w:rFonts w:asciiTheme="minorHAnsi" w:hAnsiTheme="minorHAnsi" w:cstheme="minorHAnsi"/>
                <w:szCs w:val="22"/>
              </w:rPr>
              <w:t>14</w:t>
            </w:r>
          </w:p>
        </w:tc>
      </w:tr>
      <w:tr w:rsidR="00A95BA4" w:rsidRPr="008E0AFA" w14:paraId="6C027EEA" w14:textId="77777777" w:rsidTr="000F4A10">
        <w:trPr>
          <w:trHeight w:hRule="exact" w:val="510"/>
          <w:jc w:val="center"/>
        </w:trPr>
        <w:tc>
          <w:tcPr>
            <w:tcW w:w="3094" w:type="dxa"/>
            <w:tcBorders>
              <w:bottom w:val="single" w:sz="4" w:space="0" w:color="auto"/>
            </w:tcBorders>
            <w:shd w:val="clear" w:color="auto" w:fill="DAEEF3" w:themeFill="accent5" w:themeFillTint="33"/>
            <w:vAlign w:val="center"/>
          </w:tcPr>
          <w:p w14:paraId="3773BC6F" w14:textId="77777777" w:rsidR="00A95BA4" w:rsidRDefault="00A95BA4" w:rsidP="00A95BA4">
            <w:pPr>
              <w:spacing w:before="0" w:line="240" w:lineRule="auto"/>
              <w:jc w:val="left"/>
              <w:rPr>
                <w:rFonts w:asciiTheme="minorHAnsi" w:hAnsiTheme="minorHAnsi" w:cstheme="minorHAnsi"/>
                <w:b/>
                <w:szCs w:val="22"/>
              </w:rPr>
            </w:pPr>
            <w:r>
              <w:rPr>
                <w:rFonts w:asciiTheme="minorHAnsi" w:hAnsiTheme="minorHAnsi" w:cstheme="minorHAnsi"/>
                <w:b/>
                <w:szCs w:val="22"/>
              </w:rPr>
              <w:t>Timeframe for data collection</w:t>
            </w:r>
          </w:p>
        </w:tc>
        <w:tc>
          <w:tcPr>
            <w:tcW w:w="1578" w:type="dxa"/>
            <w:tcBorders>
              <w:bottom w:val="single" w:sz="4" w:space="0" w:color="auto"/>
            </w:tcBorders>
            <w:shd w:val="clear" w:color="auto" w:fill="DAEEF3" w:themeFill="accent5" w:themeFillTint="33"/>
            <w:vAlign w:val="center"/>
          </w:tcPr>
          <w:p w14:paraId="6E10C65D" w14:textId="77777777" w:rsidR="00A95BA4" w:rsidRDefault="00A95BA4" w:rsidP="000F4A10">
            <w:pPr>
              <w:spacing w:before="0" w:line="240" w:lineRule="auto"/>
              <w:ind w:left="78"/>
              <w:jc w:val="center"/>
              <w:rPr>
                <w:rFonts w:asciiTheme="minorHAnsi" w:hAnsiTheme="minorHAnsi" w:cstheme="minorHAnsi"/>
                <w:szCs w:val="22"/>
              </w:rPr>
            </w:pPr>
            <w:r>
              <w:rPr>
                <w:rFonts w:asciiTheme="minorHAnsi" w:hAnsiTheme="minorHAnsi" w:cstheme="minorHAnsi"/>
                <w:szCs w:val="22"/>
              </w:rPr>
              <w:t>17</w:t>
            </w:r>
            <w:r w:rsidRPr="00A95BA4">
              <w:rPr>
                <w:rFonts w:asciiTheme="minorHAnsi" w:hAnsiTheme="minorHAnsi" w:cstheme="minorHAnsi"/>
                <w:szCs w:val="22"/>
                <w:vertAlign w:val="superscript"/>
              </w:rPr>
              <w:t>th</w:t>
            </w:r>
            <w:r>
              <w:rPr>
                <w:rFonts w:asciiTheme="minorHAnsi" w:hAnsiTheme="minorHAnsi" w:cstheme="minorHAnsi"/>
                <w:szCs w:val="22"/>
              </w:rPr>
              <w:t xml:space="preserve"> March – 8</w:t>
            </w:r>
            <w:r w:rsidRPr="00A95BA4">
              <w:rPr>
                <w:rFonts w:asciiTheme="minorHAnsi" w:hAnsiTheme="minorHAnsi" w:cstheme="minorHAnsi"/>
                <w:szCs w:val="22"/>
                <w:vertAlign w:val="superscript"/>
              </w:rPr>
              <w:t>th</w:t>
            </w:r>
            <w:r>
              <w:rPr>
                <w:rFonts w:asciiTheme="minorHAnsi" w:hAnsiTheme="minorHAnsi" w:cstheme="minorHAnsi"/>
                <w:szCs w:val="22"/>
              </w:rPr>
              <w:t xml:space="preserve"> Oct, 2012</w:t>
            </w:r>
          </w:p>
        </w:tc>
        <w:tc>
          <w:tcPr>
            <w:tcW w:w="1579" w:type="dxa"/>
            <w:tcBorders>
              <w:bottom w:val="single" w:sz="4" w:space="0" w:color="auto"/>
            </w:tcBorders>
            <w:shd w:val="clear" w:color="auto" w:fill="DAEEF3" w:themeFill="accent5" w:themeFillTint="33"/>
            <w:vAlign w:val="center"/>
          </w:tcPr>
          <w:p w14:paraId="1496C809" w14:textId="77777777" w:rsidR="00A95BA4" w:rsidRPr="005F7D5F" w:rsidRDefault="005F7D5F" w:rsidP="000F4A10">
            <w:pPr>
              <w:spacing w:before="0" w:line="240" w:lineRule="auto"/>
              <w:ind w:left="78"/>
              <w:jc w:val="center"/>
              <w:rPr>
                <w:rFonts w:asciiTheme="minorHAnsi" w:hAnsiTheme="minorHAnsi" w:cstheme="minorHAnsi"/>
                <w:szCs w:val="22"/>
              </w:rPr>
            </w:pPr>
            <w:r w:rsidRPr="005F7D5F">
              <w:rPr>
                <w:rFonts w:asciiTheme="minorHAnsi" w:hAnsiTheme="minorHAnsi"/>
              </w:rPr>
              <w:t>1</w:t>
            </w:r>
            <w:r w:rsidRPr="005F7D5F">
              <w:rPr>
                <w:rFonts w:asciiTheme="minorHAnsi" w:hAnsiTheme="minorHAnsi"/>
                <w:vertAlign w:val="superscript"/>
              </w:rPr>
              <w:t>st</w:t>
            </w:r>
            <w:r w:rsidRPr="005F7D5F">
              <w:rPr>
                <w:rFonts w:asciiTheme="minorHAnsi" w:hAnsiTheme="minorHAnsi"/>
              </w:rPr>
              <w:t xml:space="preserve"> July 2011 – 30</w:t>
            </w:r>
            <w:r w:rsidRPr="005F7D5F">
              <w:rPr>
                <w:rFonts w:asciiTheme="minorHAnsi" w:hAnsiTheme="minorHAnsi"/>
                <w:vertAlign w:val="superscript"/>
              </w:rPr>
              <w:t>th</w:t>
            </w:r>
            <w:r>
              <w:rPr>
                <w:rFonts w:asciiTheme="minorHAnsi" w:hAnsiTheme="minorHAnsi"/>
              </w:rPr>
              <w:t xml:space="preserve"> </w:t>
            </w:r>
            <w:r w:rsidRPr="005F7D5F">
              <w:rPr>
                <w:rFonts w:asciiTheme="minorHAnsi" w:hAnsiTheme="minorHAnsi"/>
              </w:rPr>
              <w:t>June</w:t>
            </w:r>
            <w:r>
              <w:rPr>
                <w:rFonts w:asciiTheme="minorHAnsi" w:hAnsiTheme="minorHAnsi"/>
              </w:rPr>
              <w:t>,</w:t>
            </w:r>
            <w:r w:rsidRPr="005F7D5F">
              <w:rPr>
                <w:rFonts w:asciiTheme="minorHAnsi" w:hAnsiTheme="minorHAnsi"/>
              </w:rPr>
              <w:t xml:space="preserve"> 2012</w:t>
            </w:r>
          </w:p>
        </w:tc>
        <w:tc>
          <w:tcPr>
            <w:tcW w:w="1579" w:type="dxa"/>
            <w:tcBorders>
              <w:bottom w:val="single" w:sz="4" w:space="0" w:color="auto"/>
            </w:tcBorders>
            <w:shd w:val="clear" w:color="auto" w:fill="DAEEF3" w:themeFill="accent5" w:themeFillTint="33"/>
            <w:vAlign w:val="center"/>
          </w:tcPr>
          <w:p w14:paraId="7784CA9F" w14:textId="77777777" w:rsidR="00A95BA4" w:rsidRDefault="00A95BA4" w:rsidP="000F4A10">
            <w:pPr>
              <w:spacing w:before="0" w:line="240" w:lineRule="auto"/>
              <w:ind w:left="78"/>
              <w:jc w:val="center"/>
              <w:rPr>
                <w:rFonts w:asciiTheme="minorHAnsi" w:hAnsiTheme="minorHAnsi" w:cstheme="minorHAnsi"/>
                <w:szCs w:val="22"/>
              </w:rPr>
            </w:pPr>
            <w:r>
              <w:rPr>
                <w:rFonts w:asciiTheme="minorHAnsi" w:hAnsiTheme="minorHAnsi" w:cstheme="minorHAnsi"/>
                <w:szCs w:val="22"/>
              </w:rPr>
              <w:t>1</w:t>
            </w:r>
            <w:r w:rsidRPr="00A95BA4">
              <w:rPr>
                <w:rFonts w:asciiTheme="minorHAnsi" w:hAnsiTheme="minorHAnsi" w:cstheme="minorHAnsi"/>
                <w:szCs w:val="22"/>
                <w:vertAlign w:val="superscript"/>
              </w:rPr>
              <w:t>st</w:t>
            </w:r>
            <w:r>
              <w:rPr>
                <w:rFonts w:asciiTheme="minorHAnsi" w:hAnsiTheme="minorHAnsi" w:cstheme="minorHAnsi"/>
                <w:szCs w:val="22"/>
              </w:rPr>
              <w:t xml:space="preserve"> May – 20</w:t>
            </w:r>
            <w:r w:rsidRPr="00A95BA4">
              <w:rPr>
                <w:rFonts w:asciiTheme="minorHAnsi" w:hAnsiTheme="minorHAnsi" w:cstheme="minorHAnsi"/>
                <w:szCs w:val="22"/>
                <w:vertAlign w:val="superscript"/>
              </w:rPr>
              <w:t>th</w:t>
            </w:r>
            <w:r>
              <w:rPr>
                <w:rFonts w:asciiTheme="minorHAnsi" w:hAnsiTheme="minorHAnsi" w:cstheme="minorHAnsi"/>
                <w:szCs w:val="22"/>
              </w:rPr>
              <w:t xml:space="preserve"> August, 2012</w:t>
            </w:r>
          </w:p>
        </w:tc>
        <w:tc>
          <w:tcPr>
            <w:tcW w:w="1579" w:type="dxa"/>
            <w:tcBorders>
              <w:bottom w:val="single" w:sz="4" w:space="0" w:color="auto"/>
            </w:tcBorders>
            <w:shd w:val="clear" w:color="auto" w:fill="DAEEF3" w:themeFill="accent5" w:themeFillTint="33"/>
            <w:vAlign w:val="center"/>
          </w:tcPr>
          <w:p w14:paraId="3C5E2F4C" w14:textId="77777777" w:rsidR="00A95BA4" w:rsidRDefault="00A95BA4" w:rsidP="000F4A10">
            <w:pPr>
              <w:spacing w:before="0" w:line="240" w:lineRule="auto"/>
              <w:ind w:left="78"/>
              <w:jc w:val="center"/>
              <w:rPr>
                <w:rFonts w:asciiTheme="minorHAnsi" w:hAnsiTheme="minorHAnsi" w:cstheme="minorHAnsi"/>
                <w:szCs w:val="22"/>
              </w:rPr>
            </w:pPr>
            <w:r>
              <w:rPr>
                <w:rFonts w:asciiTheme="minorHAnsi" w:hAnsiTheme="minorHAnsi" w:cstheme="minorHAnsi"/>
                <w:szCs w:val="22"/>
              </w:rPr>
              <w:t>Sep 2006 – Nov 2007</w:t>
            </w:r>
          </w:p>
        </w:tc>
        <w:tc>
          <w:tcPr>
            <w:tcW w:w="1579" w:type="dxa"/>
            <w:tcBorders>
              <w:bottom w:val="single" w:sz="4" w:space="0" w:color="auto"/>
            </w:tcBorders>
            <w:shd w:val="clear" w:color="auto" w:fill="DAEEF3" w:themeFill="accent5" w:themeFillTint="33"/>
            <w:vAlign w:val="center"/>
          </w:tcPr>
          <w:p w14:paraId="04494211" w14:textId="77777777" w:rsidR="00A95BA4" w:rsidRDefault="00D5642B" w:rsidP="000F4A10">
            <w:pPr>
              <w:spacing w:before="0" w:line="240" w:lineRule="auto"/>
              <w:ind w:left="78"/>
              <w:jc w:val="center"/>
              <w:rPr>
                <w:rFonts w:asciiTheme="minorHAnsi" w:hAnsiTheme="minorHAnsi" w:cstheme="minorHAnsi"/>
                <w:szCs w:val="22"/>
              </w:rPr>
            </w:pPr>
            <w:r>
              <w:rPr>
                <w:rFonts w:asciiTheme="minorHAnsi" w:hAnsiTheme="minorHAnsi" w:cstheme="minorHAnsi"/>
                <w:szCs w:val="22"/>
              </w:rPr>
              <w:t>Sep 2002 – Jan 2004</w:t>
            </w:r>
          </w:p>
        </w:tc>
        <w:tc>
          <w:tcPr>
            <w:tcW w:w="1579" w:type="dxa"/>
            <w:tcBorders>
              <w:bottom w:val="single" w:sz="4" w:space="0" w:color="auto"/>
            </w:tcBorders>
            <w:shd w:val="clear" w:color="auto" w:fill="DAEEF3" w:themeFill="accent5" w:themeFillTint="33"/>
            <w:vAlign w:val="center"/>
          </w:tcPr>
          <w:p w14:paraId="09783649" w14:textId="77777777" w:rsidR="00A95BA4" w:rsidRDefault="00412915" w:rsidP="000F4A10">
            <w:pPr>
              <w:spacing w:before="0" w:line="240" w:lineRule="auto"/>
              <w:ind w:left="78"/>
              <w:jc w:val="center"/>
              <w:rPr>
                <w:rFonts w:asciiTheme="minorHAnsi" w:hAnsiTheme="minorHAnsi" w:cstheme="minorHAnsi"/>
                <w:szCs w:val="22"/>
              </w:rPr>
            </w:pPr>
            <w:r w:rsidRPr="00412915">
              <w:rPr>
                <w:rFonts w:asciiTheme="minorHAnsi" w:hAnsiTheme="minorHAnsi" w:cstheme="minorHAnsi"/>
                <w:szCs w:val="22"/>
              </w:rPr>
              <w:t>23</w:t>
            </w:r>
            <w:r w:rsidR="00AC7E62" w:rsidRPr="00BE760E">
              <w:rPr>
                <w:rFonts w:asciiTheme="minorHAnsi" w:hAnsiTheme="minorHAnsi" w:cstheme="minorHAnsi"/>
                <w:szCs w:val="22"/>
                <w:vertAlign w:val="superscript"/>
              </w:rPr>
              <w:t>rd</w:t>
            </w:r>
            <w:r w:rsidR="00AC7E62">
              <w:rPr>
                <w:rFonts w:asciiTheme="minorHAnsi" w:hAnsiTheme="minorHAnsi" w:cstheme="minorHAnsi"/>
                <w:szCs w:val="22"/>
              </w:rPr>
              <w:t xml:space="preserve"> </w:t>
            </w:r>
            <w:r w:rsidRPr="00412915">
              <w:rPr>
                <w:rFonts w:asciiTheme="minorHAnsi" w:hAnsiTheme="minorHAnsi" w:cstheme="minorHAnsi"/>
                <w:szCs w:val="22"/>
              </w:rPr>
              <w:t xml:space="preserve"> Jan </w:t>
            </w:r>
            <w:r w:rsidR="00AC7E62">
              <w:rPr>
                <w:rFonts w:asciiTheme="minorHAnsi" w:hAnsiTheme="minorHAnsi" w:cstheme="minorHAnsi"/>
                <w:szCs w:val="22"/>
              </w:rPr>
              <w:t>–</w:t>
            </w:r>
            <w:r w:rsidRPr="00412915">
              <w:rPr>
                <w:rFonts w:asciiTheme="minorHAnsi" w:hAnsiTheme="minorHAnsi" w:cstheme="minorHAnsi"/>
                <w:szCs w:val="22"/>
              </w:rPr>
              <w:t xml:space="preserve"> 21</w:t>
            </w:r>
            <w:r w:rsidR="00AC7E62" w:rsidRPr="00BE760E">
              <w:rPr>
                <w:rFonts w:asciiTheme="minorHAnsi" w:hAnsiTheme="minorHAnsi" w:cstheme="minorHAnsi"/>
                <w:szCs w:val="22"/>
                <w:vertAlign w:val="superscript"/>
              </w:rPr>
              <w:t>st</w:t>
            </w:r>
            <w:r w:rsidR="00AC7E62">
              <w:rPr>
                <w:rFonts w:asciiTheme="minorHAnsi" w:hAnsiTheme="minorHAnsi" w:cstheme="minorHAnsi"/>
                <w:szCs w:val="22"/>
              </w:rPr>
              <w:t xml:space="preserve"> </w:t>
            </w:r>
            <w:r w:rsidRPr="00412915">
              <w:rPr>
                <w:rFonts w:asciiTheme="minorHAnsi" w:hAnsiTheme="minorHAnsi" w:cstheme="minorHAnsi"/>
                <w:szCs w:val="22"/>
              </w:rPr>
              <w:t xml:space="preserve"> March 1999</w:t>
            </w:r>
          </w:p>
        </w:tc>
        <w:tc>
          <w:tcPr>
            <w:tcW w:w="1579" w:type="dxa"/>
            <w:tcBorders>
              <w:bottom w:val="single" w:sz="4" w:space="0" w:color="auto"/>
            </w:tcBorders>
            <w:shd w:val="clear" w:color="auto" w:fill="DAEEF3" w:themeFill="accent5" w:themeFillTint="33"/>
          </w:tcPr>
          <w:p w14:paraId="63C73328" w14:textId="77777777" w:rsidR="00A95BA4" w:rsidRDefault="00A95BA4" w:rsidP="00412915">
            <w:pPr>
              <w:spacing w:before="0" w:line="240" w:lineRule="auto"/>
              <w:ind w:left="78"/>
              <w:jc w:val="center"/>
              <w:rPr>
                <w:rFonts w:asciiTheme="minorHAnsi" w:hAnsiTheme="minorHAnsi" w:cstheme="minorHAnsi"/>
                <w:szCs w:val="22"/>
              </w:rPr>
            </w:pPr>
          </w:p>
        </w:tc>
      </w:tr>
    </w:tbl>
    <w:p w14:paraId="36CBBABD" w14:textId="77777777" w:rsidR="00ED2729" w:rsidRPr="00AF3A24" w:rsidRDefault="00ED2729" w:rsidP="00ED2729">
      <w:pPr>
        <w:spacing w:before="0" w:line="240" w:lineRule="auto"/>
        <w:ind w:left="1134" w:hanging="283"/>
        <w:rPr>
          <w:rFonts w:asciiTheme="minorHAnsi" w:hAnsiTheme="minorHAnsi" w:cstheme="minorHAnsi"/>
          <w:sz w:val="16"/>
        </w:rPr>
      </w:pPr>
      <w:r w:rsidRPr="00AF3A24">
        <w:rPr>
          <w:rFonts w:asciiTheme="minorHAnsi" w:hAnsiTheme="minorHAnsi" w:cstheme="minorHAnsi"/>
          <w:sz w:val="16"/>
        </w:rPr>
        <w:t>Notes:</w:t>
      </w:r>
    </w:p>
    <w:p w14:paraId="40C7B582" w14:textId="77777777" w:rsidR="00ED2729" w:rsidRDefault="00ED2729" w:rsidP="004F129A">
      <w:pPr>
        <w:pStyle w:val="ListParagraph"/>
        <w:numPr>
          <w:ilvl w:val="0"/>
          <w:numId w:val="103"/>
        </w:numPr>
        <w:spacing w:line="240" w:lineRule="auto"/>
        <w:rPr>
          <w:rFonts w:asciiTheme="minorHAnsi" w:hAnsiTheme="minorHAnsi" w:cstheme="minorHAnsi"/>
          <w:sz w:val="16"/>
        </w:rPr>
      </w:pPr>
      <w:r>
        <w:rPr>
          <w:rFonts w:asciiTheme="minorHAnsi" w:hAnsiTheme="minorHAnsi" w:cstheme="minorHAnsi"/>
          <w:sz w:val="16"/>
        </w:rPr>
        <w:t>The 2002/03 NZHS used an u</w:t>
      </w:r>
      <w:r w:rsidRPr="00F612D9">
        <w:rPr>
          <w:rFonts w:asciiTheme="minorHAnsi" w:hAnsiTheme="minorHAnsi" w:cstheme="minorHAnsi"/>
          <w:sz w:val="16"/>
        </w:rPr>
        <w:t>n</w:t>
      </w:r>
      <w:r>
        <w:rPr>
          <w:rFonts w:asciiTheme="minorHAnsi" w:hAnsiTheme="minorHAnsi" w:cstheme="minorHAnsi"/>
          <w:sz w:val="16"/>
        </w:rPr>
        <w:t>-</w:t>
      </w:r>
      <w:r w:rsidRPr="00F612D9">
        <w:rPr>
          <w:rFonts w:asciiTheme="minorHAnsi" w:hAnsiTheme="minorHAnsi" w:cstheme="minorHAnsi"/>
          <w:sz w:val="16"/>
        </w:rPr>
        <w:t xml:space="preserve">validated screen </w:t>
      </w:r>
      <w:r>
        <w:rPr>
          <w:rFonts w:asciiTheme="minorHAnsi" w:hAnsiTheme="minorHAnsi" w:cstheme="minorHAnsi"/>
          <w:sz w:val="16"/>
        </w:rPr>
        <w:t>based on the SOGS, the Lie/Bet screen and DSM-IV criteria for problem gambling.</w:t>
      </w:r>
    </w:p>
    <w:p w14:paraId="488B15B1" w14:textId="77777777" w:rsidR="0025569E" w:rsidRDefault="0025569E" w:rsidP="004F129A">
      <w:pPr>
        <w:pStyle w:val="ListParagraph"/>
        <w:numPr>
          <w:ilvl w:val="0"/>
          <w:numId w:val="103"/>
        </w:numPr>
        <w:spacing w:line="240" w:lineRule="auto"/>
        <w:rPr>
          <w:rFonts w:asciiTheme="minorHAnsi" w:hAnsiTheme="minorHAnsi" w:cstheme="minorHAnsi"/>
          <w:sz w:val="16"/>
        </w:rPr>
      </w:pPr>
      <w:r>
        <w:rPr>
          <w:rFonts w:asciiTheme="minorHAnsi" w:hAnsiTheme="minorHAnsi" w:cstheme="minorHAnsi"/>
          <w:sz w:val="16"/>
        </w:rPr>
        <w:t>CAPI: Computer Assisted Personal Interviewing Software.</w:t>
      </w:r>
    </w:p>
    <w:p w14:paraId="1ACBFC7F" w14:textId="77777777" w:rsidR="00ED2729" w:rsidRDefault="00ED2729" w:rsidP="00ED2729">
      <w:pPr>
        <w:pStyle w:val="BodyText"/>
        <w:spacing w:line="480" w:lineRule="auto"/>
      </w:pPr>
    </w:p>
    <w:p w14:paraId="1EA25BC5" w14:textId="77777777" w:rsidR="00ED2729" w:rsidRDefault="00ED2729" w:rsidP="00F813F3">
      <w:pPr>
        <w:rPr>
          <w:rFonts w:asciiTheme="minorHAnsi" w:hAnsiTheme="minorHAnsi"/>
        </w:rPr>
      </w:pPr>
    </w:p>
    <w:p w14:paraId="55A760EB" w14:textId="77777777" w:rsidR="00513A88" w:rsidRDefault="00513A88" w:rsidP="00F813F3">
      <w:pPr>
        <w:rPr>
          <w:rFonts w:asciiTheme="minorHAnsi" w:hAnsiTheme="minorHAnsi"/>
        </w:rPr>
        <w:sectPr w:rsidR="00513A88" w:rsidSect="00513A88">
          <w:pgSz w:w="15840" w:h="12240" w:orient="landscape"/>
          <w:pgMar w:top="1276" w:right="1440" w:bottom="993" w:left="1381" w:header="720" w:footer="339" w:gutter="0"/>
          <w:cols w:space="720"/>
          <w:docGrid w:linePitch="360"/>
        </w:sectPr>
      </w:pPr>
    </w:p>
    <w:p w14:paraId="113DF4BC" w14:textId="678CC4AF" w:rsidR="00197F03" w:rsidRDefault="00197F03" w:rsidP="00197F03">
      <w:pPr>
        <w:rPr>
          <w:rFonts w:asciiTheme="minorHAnsi" w:hAnsiTheme="minorHAnsi"/>
        </w:rPr>
      </w:pPr>
      <w:bookmarkStart w:id="191" w:name="_Toc403833203"/>
      <w:r w:rsidRPr="00F813F3">
        <w:rPr>
          <w:rFonts w:asciiTheme="minorHAnsi" w:hAnsiTheme="minorHAnsi"/>
        </w:rPr>
        <w:lastRenderedPageBreak/>
        <w:t xml:space="preserve">Two recent studies that are particularly important with regard to the monitoring of gambling behaviour in New Zealand are the National Gambling Study </w:t>
      </w:r>
      <w:r w:rsidRPr="00F813F3">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Pr="00F813F3">
        <w:rPr>
          <w:rFonts w:asciiTheme="minorHAnsi" w:hAnsiTheme="minorHAnsi"/>
        </w:rPr>
        <w:fldChar w:fldCharType="separate"/>
      </w:r>
      <w:r>
        <w:rPr>
          <w:rFonts w:asciiTheme="minorHAnsi" w:hAnsiTheme="minorHAnsi"/>
          <w:noProof/>
        </w:rPr>
        <w:t>(</w:t>
      </w:r>
      <w:hyperlink w:anchor="_ENREF_2" w:tooltip="Abbott, 2014 #917" w:history="1">
        <w:r w:rsidR="00765F46">
          <w:rPr>
            <w:rFonts w:asciiTheme="minorHAnsi" w:hAnsiTheme="minorHAnsi"/>
            <w:noProof/>
          </w:rPr>
          <w:t>Abbott et al., 2014b</w:t>
        </w:r>
      </w:hyperlink>
      <w:r>
        <w:rPr>
          <w:rFonts w:asciiTheme="minorHAnsi" w:hAnsiTheme="minorHAnsi"/>
          <w:noProof/>
        </w:rPr>
        <w:t>)</w:t>
      </w:r>
      <w:r w:rsidRPr="00F813F3">
        <w:rPr>
          <w:rFonts w:asciiTheme="minorHAnsi" w:hAnsiTheme="minorHAnsi"/>
        </w:rPr>
        <w:fldChar w:fldCharType="end"/>
      </w:r>
      <w:r w:rsidR="00F62ED7">
        <w:rPr>
          <w:rFonts w:asciiTheme="minorHAnsi" w:hAnsiTheme="minorHAnsi"/>
        </w:rPr>
        <w:t xml:space="preserve"> and the</w:t>
      </w:r>
      <w:r w:rsidR="00F62ED7" w:rsidRPr="00F62ED7">
        <w:rPr>
          <w:rFonts w:asciiTheme="minorHAnsi" w:hAnsiTheme="minorHAnsi"/>
        </w:rPr>
        <w:t xml:space="preserve"> </w:t>
      </w:r>
      <w:r w:rsidR="00F62ED7" w:rsidRPr="00F813F3">
        <w:rPr>
          <w:rFonts w:asciiTheme="minorHAnsi" w:hAnsiTheme="minorHAnsi"/>
        </w:rPr>
        <w:t xml:space="preserve">2012 Health and Lifestyles Survey </w:t>
      </w:r>
      <w:r w:rsidR="00F62ED7" w:rsidRPr="00F813F3">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F62ED7" w:rsidRPr="00F813F3">
        <w:rPr>
          <w:rFonts w:asciiTheme="minorHAnsi" w:hAnsiTheme="minorHAnsi"/>
        </w:rPr>
        <w:fldChar w:fldCharType="separate"/>
      </w:r>
      <w:r w:rsidR="00F62ED7" w:rsidRPr="00F813F3">
        <w:rPr>
          <w:rFonts w:asciiTheme="minorHAnsi" w:hAnsiTheme="minorHAnsi"/>
          <w:noProof/>
        </w:rPr>
        <w:t>(</w:t>
      </w:r>
      <w:hyperlink w:anchor="_ENREF_60" w:tooltip="Tu, 2013 #916" w:history="1">
        <w:r w:rsidR="00765F46" w:rsidRPr="00F813F3">
          <w:rPr>
            <w:rFonts w:asciiTheme="minorHAnsi" w:hAnsiTheme="minorHAnsi"/>
            <w:noProof/>
          </w:rPr>
          <w:t>Tu, 2013</w:t>
        </w:r>
      </w:hyperlink>
      <w:r w:rsidR="00F62ED7" w:rsidRPr="00F813F3">
        <w:rPr>
          <w:rFonts w:asciiTheme="minorHAnsi" w:hAnsiTheme="minorHAnsi"/>
          <w:noProof/>
        </w:rPr>
        <w:t>)</w:t>
      </w:r>
      <w:r w:rsidR="00F62ED7" w:rsidRPr="00F813F3">
        <w:rPr>
          <w:rFonts w:asciiTheme="minorHAnsi" w:hAnsiTheme="minorHAnsi"/>
        </w:rPr>
        <w:fldChar w:fldCharType="end"/>
      </w:r>
      <w:r w:rsidR="00F62ED7">
        <w:rPr>
          <w:rFonts w:asciiTheme="minorHAnsi" w:hAnsiTheme="minorHAnsi"/>
        </w:rPr>
        <w:t>.</w:t>
      </w:r>
      <w:r w:rsidRPr="00F813F3">
        <w:rPr>
          <w:rFonts w:asciiTheme="minorHAnsi" w:hAnsiTheme="minorHAnsi"/>
        </w:rPr>
        <w:t xml:space="preserve">  As a number of disparities between prevalence rates</w:t>
      </w:r>
      <w:r>
        <w:rPr>
          <w:rFonts w:asciiTheme="minorHAnsi" w:hAnsiTheme="minorHAnsi"/>
        </w:rPr>
        <w:t xml:space="preserve"> for gambling behaviour</w:t>
      </w:r>
      <w:r w:rsidRPr="00F813F3">
        <w:rPr>
          <w:rFonts w:asciiTheme="minorHAnsi" w:hAnsiTheme="minorHAnsi"/>
        </w:rPr>
        <w:t xml:space="preserve"> from these studies </w:t>
      </w:r>
      <w:r>
        <w:rPr>
          <w:rFonts w:asciiTheme="minorHAnsi" w:hAnsiTheme="minorHAnsi"/>
        </w:rPr>
        <w:t xml:space="preserve">and those obtained through the 2011/12 NZHS </w:t>
      </w:r>
      <w:r w:rsidRPr="00F813F3">
        <w:rPr>
          <w:rFonts w:asciiTheme="minorHAnsi" w:hAnsiTheme="minorHAnsi"/>
        </w:rPr>
        <w:t xml:space="preserve">will become apparent, it is important to briefly examine the methodologies employed by each of them.  The research methods appear to be broadly similar in their sampling frames (nation-wide randomised samples), data collection methods (face-to-face interviews that used Computer Assisted Personal Interviewing (CAPI) software), and analytical techniques (e.g. sample weighting to ensure that the results represent the New Zealand adult population).  However, small differences in methodologies can result in large disparities and there are a number of issues which may have contributed to the observed differences of prevalence data.  Firstly, the response rates for the surveys varied: 64% for the National Gambling Study </w:t>
      </w:r>
      <w:r w:rsidRPr="00F813F3">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Pr="00F813F3">
        <w:rPr>
          <w:rFonts w:asciiTheme="minorHAnsi" w:hAnsiTheme="minorHAnsi"/>
        </w:rPr>
        <w:fldChar w:fldCharType="separate"/>
      </w:r>
      <w:r w:rsidRPr="00F813F3">
        <w:rPr>
          <w:rFonts w:asciiTheme="minorHAnsi" w:hAnsiTheme="minorHAnsi"/>
          <w:noProof/>
        </w:rPr>
        <w:t>(</w:t>
      </w:r>
      <w:hyperlink w:anchor="_ENREF_2" w:tooltip="Abbott, 2014 #917" w:history="1">
        <w:r w:rsidR="00765F46" w:rsidRPr="00F813F3">
          <w:rPr>
            <w:rFonts w:asciiTheme="minorHAnsi" w:hAnsiTheme="minorHAnsi"/>
            <w:noProof/>
          </w:rPr>
          <w:t>Abbott et al., 2014b</w:t>
        </w:r>
      </w:hyperlink>
      <w:r w:rsidRPr="00F813F3">
        <w:rPr>
          <w:rFonts w:asciiTheme="minorHAnsi" w:hAnsiTheme="minorHAnsi"/>
          <w:noProof/>
        </w:rPr>
        <w:t>)</w:t>
      </w:r>
      <w:r w:rsidRPr="00F813F3">
        <w:rPr>
          <w:rFonts w:asciiTheme="minorHAnsi" w:hAnsiTheme="minorHAnsi"/>
        </w:rPr>
        <w:fldChar w:fldCharType="end"/>
      </w:r>
      <w:r w:rsidRPr="00F813F3">
        <w:rPr>
          <w:rFonts w:asciiTheme="minorHAnsi" w:hAnsiTheme="minorHAnsi"/>
        </w:rPr>
        <w:t xml:space="preserve">; 83% for the 2012 Health and Lifestyles Survey </w:t>
      </w:r>
      <w:r w:rsidRPr="00F813F3">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Pr="00F813F3">
        <w:rPr>
          <w:rFonts w:asciiTheme="minorHAnsi" w:hAnsiTheme="minorHAnsi"/>
        </w:rPr>
        <w:fldChar w:fldCharType="separate"/>
      </w:r>
      <w:r w:rsidRPr="00F813F3">
        <w:rPr>
          <w:rFonts w:asciiTheme="minorHAnsi" w:hAnsiTheme="minorHAnsi"/>
          <w:noProof/>
        </w:rPr>
        <w:t>(</w:t>
      </w:r>
      <w:hyperlink w:anchor="_ENREF_60" w:tooltip="Tu, 2013 #916" w:history="1">
        <w:r w:rsidR="00765F46" w:rsidRPr="00F813F3">
          <w:rPr>
            <w:rFonts w:asciiTheme="minorHAnsi" w:hAnsiTheme="minorHAnsi"/>
            <w:noProof/>
          </w:rPr>
          <w:t>Tu, 2013</w:t>
        </w:r>
      </w:hyperlink>
      <w:r w:rsidRPr="00F813F3">
        <w:rPr>
          <w:rFonts w:asciiTheme="minorHAnsi" w:hAnsiTheme="minorHAnsi"/>
          <w:noProof/>
        </w:rPr>
        <w:t>)</w:t>
      </w:r>
      <w:r w:rsidRPr="00F813F3">
        <w:rPr>
          <w:rFonts w:asciiTheme="minorHAnsi" w:hAnsiTheme="minorHAnsi"/>
        </w:rPr>
        <w:fldChar w:fldCharType="end"/>
      </w:r>
      <w:r w:rsidRPr="00F813F3">
        <w:rPr>
          <w:rFonts w:asciiTheme="minorHAnsi" w:hAnsiTheme="minorHAnsi"/>
        </w:rPr>
        <w:t xml:space="preserve">; and, 79% for the 2011/12 NZHS </w:t>
      </w:r>
      <w:r w:rsidRPr="00F813F3">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Health&lt;/Author&gt;&lt;Year&gt;2012&lt;/Year&gt;&lt;RecNum&gt;919&lt;/RecNum&gt;&lt;DisplayText&gt;(Ministry of Health, 2012a)&lt;/DisplayText&gt;&lt;record&gt;&lt;rec-number&gt;919&lt;/rec-number&gt;&lt;foreign-keys&gt;&lt;key app="EN" db-id="9pzse05rcvx956etremxfzdh9fzdxvd95rp2"&gt;919&lt;/key&gt;&lt;/foreign-keys&gt;&lt;ref-type name="Report"&gt;27&lt;/ref-type&gt;&lt;contributors&gt;&lt;authors&gt;&lt;author&gt;Ministry of Health,&lt;/author&gt;&lt;/authors&gt;&lt;/contributors&gt;&lt;titles&gt;&lt;title&gt;The Health of New Zealand Adults 2011/12: Key Findings of the New Zealand Health Survey&lt;/title&gt;&lt;/titles&gt;&lt;dates&gt;&lt;year&gt;2012&lt;/year&gt;&lt;/dates&gt;&lt;pub-location&gt;Wellington&lt;/pub-location&gt;&lt;publisher&gt;Ministry of Health&lt;/publisher&gt;&lt;urls&gt;&lt;/urls&gt;&lt;/record&gt;&lt;/Cite&gt;&lt;/EndNote&gt;</w:instrText>
      </w:r>
      <w:r w:rsidRPr="00F813F3">
        <w:rPr>
          <w:rFonts w:asciiTheme="minorHAnsi" w:hAnsiTheme="minorHAnsi"/>
        </w:rPr>
        <w:fldChar w:fldCharType="separate"/>
      </w:r>
      <w:r>
        <w:rPr>
          <w:rFonts w:asciiTheme="minorHAnsi" w:hAnsiTheme="minorHAnsi"/>
          <w:noProof/>
        </w:rPr>
        <w:t>(</w:t>
      </w:r>
      <w:hyperlink w:anchor="_ENREF_40" w:tooltip="Ministry of Health, 2012 #919" w:history="1">
        <w:r w:rsidR="00765F46">
          <w:rPr>
            <w:rFonts w:asciiTheme="minorHAnsi" w:hAnsiTheme="minorHAnsi"/>
            <w:noProof/>
          </w:rPr>
          <w:t>Ministry of Health, 2012a</w:t>
        </w:r>
      </w:hyperlink>
      <w:r>
        <w:rPr>
          <w:rFonts w:asciiTheme="minorHAnsi" w:hAnsiTheme="minorHAnsi"/>
          <w:noProof/>
        </w:rPr>
        <w:t>)</w:t>
      </w:r>
      <w:r w:rsidRPr="00F813F3">
        <w:rPr>
          <w:rFonts w:asciiTheme="minorHAnsi" w:hAnsiTheme="minorHAnsi"/>
        </w:rPr>
        <w:fldChar w:fldCharType="end"/>
      </w:r>
      <w:r w:rsidRPr="00F813F3">
        <w:rPr>
          <w:rFonts w:asciiTheme="minorHAnsi" w:hAnsiTheme="minorHAnsi"/>
        </w:rPr>
        <w:t xml:space="preserve">.  Given these response rates, it could be expected that results from the NZHS and the HLS would be more comparable.  Secondly, the age-range of the survey population differed between the National Gambling Study (18 years or older) and the other two surveys, both of which surveyed those aged 15 years and older.  </w:t>
      </w:r>
      <w:r>
        <w:rPr>
          <w:rFonts w:asciiTheme="minorHAnsi" w:hAnsiTheme="minorHAnsi"/>
        </w:rPr>
        <w:t>It is also relevant to note that, c</w:t>
      </w:r>
      <w:r w:rsidRPr="00F813F3">
        <w:rPr>
          <w:rFonts w:asciiTheme="minorHAnsi" w:hAnsiTheme="minorHAnsi"/>
        </w:rPr>
        <w:t xml:space="preserve">ompared to the NZHS and the Health and Lifestyles Survey, the range of gambling activities investigated through the National Gambling Study was more diverse and comprehensive.  In particular, the NZHS did not enquire about a number of </w:t>
      </w:r>
      <w:r>
        <w:rPr>
          <w:rFonts w:asciiTheme="minorHAnsi" w:hAnsiTheme="minorHAnsi"/>
        </w:rPr>
        <w:t xml:space="preserve">‘casual’ </w:t>
      </w:r>
      <w:r w:rsidR="00F62ED7">
        <w:rPr>
          <w:rFonts w:asciiTheme="minorHAnsi" w:hAnsiTheme="minorHAnsi"/>
        </w:rPr>
        <w:t xml:space="preserve">modes of </w:t>
      </w:r>
      <w:r w:rsidRPr="00F813F3">
        <w:rPr>
          <w:rFonts w:asciiTheme="minorHAnsi" w:hAnsiTheme="minorHAnsi"/>
        </w:rPr>
        <w:t>gambling</w:t>
      </w:r>
      <w:r w:rsidR="00F62ED7">
        <w:rPr>
          <w:rFonts w:asciiTheme="minorHAnsi" w:hAnsiTheme="minorHAnsi"/>
        </w:rPr>
        <w:t xml:space="preserve"> that are known to be c</w:t>
      </w:r>
      <w:r w:rsidR="00F62ED7" w:rsidRPr="00F813F3">
        <w:rPr>
          <w:rFonts w:asciiTheme="minorHAnsi" w:hAnsiTheme="minorHAnsi"/>
        </w:rPr>
        <w:t>ommon and popular</w:t>
      </w:r>
      <w:r w:rsidR="00F62ED7">
        <w:rPr>
          <w:rFonts w:asciiTheme="minorHAnsi" w:hAnsiTheme="minorHAnsi"/>
        </w:rPr>
        <w:t xml:space="preserve"> activities</w:t>
      </w:r>
      <w:r w:rsidRPr="00F813F3">
        <w:rPr>
          <w:rFonts w:asciiTheme="minorHAnsi" w:hAnsiTheme="minorHAnsi"/>
        </w:rPr>
        <w:t xml:space="preserve">, such as ‘bets with friends’ and ‘card games for money’. </w:t>
      </w:r>
      <w:r>
        <w:rPr>
          <w:rFonts w:asciiTheme="minorHAnsi" w:hAnsiTheme="minorHAnsi"/>
        </w:rPr>
        <w:t xml:space="preserve"> Importantly, t</w:t>
      </w:r>
      <w:r w:rsidRPr="00F813F3">
        <w:rPr>
          <w:rFonts w:asciiTheme="minorHAnsi" w:hAnsiTheme="minorHAnsi"/>
        </w:rPr>
        <w:t xml:space="preserve">he National Gambling Study also maintained a </w:t>
      </w:r>
      <w:r>
        <w:rPr>
          <w:rFonts w:asciiTheme="minorHAnsi" w:hAnsiTheme="minorHAnsi"/>
        </w:rPr>
        <w:t>primary</w:t>
      </w:r>
      <w:r w:rsidRPr="00F813F3">
        <w:rPr>
          <w:rFonts w:asciiTheme="minorHAnsi" w:hAnsiTheme="minorHAnsi"/>
        </w:rPr>
        <w:t xml:space="preserve"> focus on gambling (and was introduced to participants in this way), as opposed to the inclusion of a gambling module within a broader survey of health and wellbeing issues</w:t>
      </w:r>
      <w:r>
        <w:rPr>
          <w:rFonts w:asciiTheme="minorHAnsi" w:hAnsiTheme="minorHAnsi"/>
        </w:rPr>
        <w:t xml:space="preserve"> (as employed by the NZHS and the Health and Lifestyles Survey)</w:t>
      </w:r>
      <w:r w:rsidRPr="00884FB9">
        <w:rPr>
          <w:rFonts w:asciiTheme="minorHAnsi" w:hAnsiTheme="minorHAnsi"/>
        </w:rPr>
        <w:t xml:space="preserve"> </w:t>
      </w:r>
      <w:r w:rsidRPr="00F813F3">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 Ministry of Health, 2013; Tu, 2013)&lt;/DisplayText&gt;&lt;record&gt;&lt;rec-number&gt;917&lt;/rec-number&gt;&lt;foreign-keys&gt;&lt;key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Technology&lt;/publisher&gt;&lt;urls&gt;&lt;/urls&gt;&lt;/record&gt;&lt;/Cite&gt;&lt;Cite&gt;&lt;Author&gt;Tu&lt;/Author&gt;&lt;Year&gt;2013&lt;/Year&gt;&lt;RecNum&gt;916&lt;/RecNum&gt;&lt;record&gt;&lt;rec-number&gt;916&lt;/rec-number&gt;&lt;foreign-keys&gt;&lt;key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Agency&lt;/publisher&gt;&lt;urls&gt;&lt;/urls&gt;&lt;/record&gt;&lt;/Cite&gt;&lt;Cite&gt;&lt;Author&gt;Ministry of Health&lt;/Author&gt;&lt;Year&gt;2013&lt;/Year&gt;&lt;RecNum&gt;944&lt;/RecNum&gt;&lt;record&gt;&lt;rec-number&gt;944&lt;/rec-number&gt;&lt;foreign-keys&gt;&lt;key app="EN" db-id="9pzse05rcvx956etremxfzdh9fzdxvd95rp2"&gt;944&lt;/key&gt;&lt;/foreign-keys&gt;&lt;ref-type name="Report"&gt;27&lt;/ref-type&gt;&lt;contributors&gt;&lt;authors&gt;&lt;author&gt;Ministry of Health,&lt;/author&gt;&lt;/authors&gt;&lt;/contributors&gt;&lt;titles&gt;&lt;title&gt;New Zealand Health Survey: Content Guide 2012-2013&lt;/title&gt;&lt;/titles&gt;&lt;dates&gt;&lt;year&gt;2013&lt;/year&gt;&lt;/dates&gt;&lt;pub-location&gt;Wellington&lt;/pub-location&gt;&lt;publisher&gt;Ministry of Health&lt;/publisher&gt;&lt;urls&gt;&lt;/urls&gt;&lt;/record&gt;&lt;/Cite&gt;&lt;/EndNote&gt;</w:instrText>
      </w:r>
      <w:r w:rsidRPr="00F813F3">
        <w:rPr>
          <w:rFonts w:asciiTheme="minorHAnsi" w:hAnsiTheme="minorHAnsi"/>
        </w:rPr>
        <w:fldChar w:fldCharType="separate"/>
      </w:r>
      <w:r>
        <w:rPr>
          <w:rFonts w:asciiTheme="minorHAnsi" w:hAnsiTheme="minorHAnsi"/>
          <w:noProof/>
        </w:rPr>
        <w:t>(</w:t>
      </w:r>
      <w:hyperlink w:anchor="_ENREF_2" w:tooltip="Abbott, 2014 #917" w:history="1">
        <w:r w:rsidR="00765F46">
          <w:rPr>
            <w:rFonts w:asciiTheme="minorHAnsi" w:hAnsiTheme="minorHAnsi"/>
            <w:noProof/>
          </w:rPr>
          <w:t>Abbott et al., 2014b</w:t>
        </w:r>
      </w:hyperlink>
      <w:r>
        <w:rPr>
          <w:rFonts w:asciiTheme="minorHAnsi" w:hAnsiTheme="minorHAnsi"/>
          <w:noProof/>
        </w:rPr>
        <w:t xml:space="preserve">; </w:t>
      </w:r>
      <w:hyperlink w:anchor="_ENREF_43" w:tooltip="Ministry of Health, 2013 #944" w:history="1">
        <w:r w:rsidR="00765F46">
          <w:rPr>
            <w:rFonts w:asciiTheme="minorHAnsi" w:hAnsiTheme="minorHAnsi"/>
            <w:noProof/>
          </w:rPr>
          <w:t>Ministry of Health, 2013</w:t>
        </w:r>
      </w:hyperlink>
      <w:r>
        <w:rPr>
          <w:rFonts w:asciiTheme="minorHAnsi" w:hAnsiTheme="minorHAnsi"/>
          <w:noProof/>
        </w:rPr>
        <w:t xml:space="preserve">; </w:t>
      </w:r>
      <w:hyperlink w:anchor="_ENREF_60" w:tooltip="Tu, 2013 #916" w:history="1">
        <w:r w:rsidR="00765F46">
          <w:rPr>
            <w:rFonts w:asciiTheme="minorHAnsi" w:hAnsiTheme="minorHAnsi"/>
            <w:noProof/>
          </w:rPr>
          <w:t>Tu, 2013</w:t>
        </w:r>
      </w:hyperlink>
      <w:r>
        <w:rPr>
          <w:rFonts w:asciiTheme="minorHAnsi" w:hAnsiTheme="minorHAnsi"/>
          <w:noProof/>
        </w:rPr>
        <w:t>)</w:t>
      </w:r>
      <w:r w:rsidRPr="00F813F3">
        <w:rPr>
          <w:rFonts w:asciiTheme="minorHAnsi" w:hAnsiTheme="minorHAnsi"/>
        </w:rPr>
        <w:fldChar w:fldCharType="end"/>
      </w:r>
      <w:r w:rsidRPr="00F813F3">
        <w:rPr>
          <w:rFonts w:asciiTheme="minorHAnsi" w:hAnsiTheme="minorHAnsi"/>
        </w:rPr>
        <w:t xml:space="preserve">.  This may have resulted in more interest in the </w:t>
      </w:r>
      <w:r>
        <w:rPr>
          <w:rFonts w:asciiTheme="minorHAnsi" w:hAnsiTheme="minorHAnsi"/>
        </w:rPr>
        <w:t>National Gambling Study</w:t>
      </w:r>
      <w:r w:rsidRPr="00F813F3">
        <w:rPr>
          <w:rFonts w:asciiTheme="minorHAnsi" w:hAnsiTheme="minorHAnsi"/>
        </w:rPr>
        <w:t xml:space="preserve"> by people who are involved in gambling and therefore a higher rate of participation amongst this target population. </w:t>
      </w:r>
      <w:r w:rsidR="00F62ED7">
        <w:rPr>
          <w:rFonts w:asciiTheme="minorHAnsi" w:hAnsiTheme="minorHAnsi"/>
        </w:rPr>
        <w:t xml:space="preserve"> </w:t>
      </w:r>
    </w:p>
    <w:p w14:paraId="10E29037" w14:textId="77777777" w:rsidR="00EB5023" w:rsidRDefault="00EB5023" w:rsidP="004F129A">
      <w:pPr>
        <w:pStyle w:val="Heading2"/>
        <w:numPr>
          <w:ilvl w:val="1"/>
          <w:numId w:val="63"/>
        </w:numPr>
      </w:pPr>
      <w:r>
        <w:lastRenderedPageBreak/>
        <w:t xml:space="preserve">Past-year </w:t>
      </w:r>
      <w:r w:rsidRPr="00AF3A24">
        <w:t>gambling</w:t>
      </w:r>
      <w:r>
        <w:t xml:space="preserve"> participation</w:t>
      </w:r>
      <w:bookmarkEnd w:id="191"/>
    </w:p>
    <w:p w14:paraId="1C7A6E0D" w14:textId="4FF15F87" w:rsidR="009945BF" w:rsidRDefault="00263888" w:rsidP="001924DC">
      <w:pPr>
        <w:rPr>
          <w:rFonts w:asciiTheme="minorHAnsi" w:hAnsiTheme="minorHAnsi"/>
        </w:rPr>
      </w:pPr>
      <w:r w:rsidRPr="0055492B">
        <w:rPr>
          <w:rFonts w:asciiTheme="minorHAnsi" w:hAnsiTheme="minorHAnsi"/>
        </w:rPr>
        <w:t>Th</w:t>
      </w:r>
      <w:r w:rsidR="003A3399" w:rsidRPr="0055492B">
        <w:rPr>
          <w:rFonts w:asciiTheme="minorHAnsi" w:hAnsiTheme="minorHAnsi"/>
        </w:rPr>
        <w:t>e 2011/12</w:t>
      </w:r>
      <w:r w:rsidRPr="0055492B">
        <w:rPr>
          <w:rFonts w:asciiTheme="minorHAnsi" w:hAnsiTheme="minorHAnsi"/>
        </w:rPr>
        <w:t xml:space="preserve"> wave of the NZHS found that approximately one-half of adults had participated in some form of gambling in the last 12 months.  </w:t>
      </w:r>
      <w:r w:rsidR="00076233" w:rsidRPr="0055492B">
        <w:rPr>
          <w:rFonts w:asciiTheme="minorHAnsi" w:hAnsiTheme="minorHAnsi"/>
        </w:rPr>
        <w:t>T</w:t>
      </w:r>
      <w:r w:rsidR="003267AD" w:rsidRPr="0055492B">
        <w:rPr>
          <w:rFonts w:asciiTheme="minorHAnsi" w:hAnsiTheme="minorHAnsi"/>
        </w:rPr>
        <w:t xml:space="preserve">his estimate differs substantially from those obtained through other recent research in New Zealand.  </w:t>
      </w:r>
      <w:r w:rsidR="003438DB" w:rsidRPr="0055492B">
        <w:rPr>
          <w:rFonts w:asciiTheme="minorHAnsi" w:hAnsiTheme="minorHAnsi"/>
        </w:rPr>
        <w:t>For instance, t</w:t>
      </w:r>
      <w:r w:rsidR="003267AD" w:rsidRPr="0055492B">
        <w:rPr>
          <w:rFonts w:asciiTheme="minorHAnsi" w:hAnsiTheme="minorHAnsi"/>
        </w:rPr>
        <w:t xml:space="preserve">he 2012 Health and Lifestyles Survey </w:t>
      </w:r>
      <w:r w:rsidR="003438DB" w:rsidRPr="0055492B">
        <w:rPr>
          <w:rFonts w:asciiTheme="minorHAnsi" w:hAnsiTheme="minorHAnsi"/>
        </w:rPr>
        <w:t>found</w:t>
      </w:r>
      <w:r w:rsidR="003267AD" w:rsidRPr="0055492B">
        <w:rPr>
          <w:rFonts w:asciiTheme="minorHAnsi" w:hAnsiTheme="minorHAnsi"/>
        </w:rPr>
        <w:t xml:space="preserve"> that 70% of New Zealand adults (aged 15 years and older) had gambled in the previous 12 months </w:t>
      </w:r>
      <w:r w:rsidR="003267AD" w:rsidRPr="0055492B">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3267AD" w:rsidRPr="0055492B">
        <w:rPr>
          <w:rFonts w:asciiTheme="minorHAnsi" w:hAnsiTheme="minorHAnsi"/>
        </w:rPr>
        <w:fldChar w:fldCharType="separate"/>
      </w:r>
      <w:r w:rsidR="003267AD" w:rsidRPr="0055492B">
        <w:rPr>
          <w:rFonts w:asciiTheme="minorHAnsi" w:hAnsiTheme="minorHAnsi"/>
          <w:noProof/>
        </w:rPr>
        <w:t>(</w:t>
      </w:r>
      <w:hyperlink w:anchor="_ENREF_60" w:tooltip="Tu, 2013 #916" w:history="1">
        <w:r w:rsidR="00765F46" w:rsidRPr="0055492B">
          <w:rPr>
            <w:rFonts w:asciiTheme="minorHAnsi" w:hAnsiTheme="minorHAnsi"/>
            <w:noProof/>
          </w:rPr>
          <w:t>Tu, 2013</w:t>
        </w:r>
      </w:hyperlink>
      <w:r w:rsidR="003267AD" w:rsidRPr="0055492B">
        <w:rPr>
          <w:rFonts w:asciiTheme="minorHAnsi" w:hAnsiTheme="minorHAnsi"/>
          <w:noProof/>
        </w:rPr>
        <w:t>)</w:t>
      </w:r>
      <w:r w:rsidR="003267AD" w:rsidRPr="0055492B">
        <w:rPr>
          <w:rFonts w:asciiTheme="minorHAnsi" w:hAnsiTheme="minorHAnsi"/>
        </w:rPr>
        <w:fldChar w:fldCharType="end"/>
      </w:r>
      <w:r w:rsidR="003267AD" w:rsidRPr="0055492B">
        <w:rPr>
          <w:rFonts w:asciiTheme="minorHAnsi" w:hAnsiTheme="minorHAnsi"/>
        </w:rPr>
        <w:t xml:space="preserve">. </w:t>
      </w:r>
      <w:r w:rsidR="006E5E53" w:rsidRPr="0055492B">
        <w:rPr>
          <w:rFonts w:asciiTheme="minorHAnsi" w:hAnsiTheme="minorHAnsi"/>
        </w:rPr>
        <w:t xml:space="preserve"> </w:t>
      </w:r>
      <w:r w:rsidR="003438DB" w:rsidRPr="0055492B">
        <w:rPr>
          <w:rFonts w:asciiTheme="minorHAnsi" w:hAnsiTheme="minorHAnsi"/>
        </w:rPr>
        <w:t xml:space="preserve">Similarly, the 2012 National Gambling Study reported a past 12-month gambling participation rate of 80% </w:t>
      </w:r>
      <w:r w:rsidR="003438DB" w:rsidRPr="0055492B">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3438DB" w:rsidRPr="0055492B">
        <w:rPr>
          <w:rFonts w:asciiTheme="minorHAnsi" w:hAnsiTheme="minorHAnsi"/>
        </w:rPr>
        <w:fldChar w:fldCharType="separate"/>
      </w:r>
      <w:r w:rsidR="0020358E" w:rsidRPr="0055492B">
        <w:rPr>
          <w:rFonts w:asciiTheme="minorHAnsi" w:hAnsiTheme="minorHAnsi"/>
          <w:noProof/>
        </w:rPr>
        <w:t>(</w:t>
      </w:r>
      <w:hyperlink w:anchor="_ENREF_2" w:tooltip="Abbott, 2014 #917" w:history="1">
        <w:r w:rsidR="00765F46" w:rsidRPr="0055492B">
          <w:rPr>
            <w:rFonts w:asciiTheme="minorHAnsi" w:hAnsiTheme="minorHAnsi"/>
            <w:noProof/>
          </w:rPr>
          <w:t>Abbott et al., 2014b</w:t>
        </w:r>
      </w:hyperlink>
      <w:r w:rsidR="0020358E" w:rsidRPr="0055492B">
        <w:rPr>
          <w:rFonts w:asciiTheme="minorHAnsi" w:hAnsiTheme="minorHAnsi"/>
          <w:noProof/>
        </w:rPr>
        <w:t>)</w:t>
      </w:r>
      <w:r w:rsidR="003438DB" w:rsidRPr="0055492B">
        <w:rPr>
          <w:rFonts w:asciiTheme="minorHAnsi" w:hAnsiTheme="minorHAnsi"/>
        </w:rPr>
        <w:fldChar w:fldCharType="end"/>
      </w:r>
      <w:r w:rsidR="003438DB" w:rsidRPr="0055492B">
        <w:rPr>
          <w:rFonts w:asciiTheme="minorHAnsi" w:hAnsiTheme="minorHAnsi"/>
        </w:rPr>
        <w:t>.</w:t>
      </w:r>
      <w:r w:rsidR="003438DB">
        <w:rPr>
          <w:rFonts w:asciiTheme="minorHAnsi" w:hAnsiTheme="minorHAnsi"/>
        </w:rPr>
        <w:t xml:space="preserve"> </w:t>
      </w:r>
      <w:r w:rsidR="00A721E3">
        <w:rPr>
          <w:rFonts w:asciiTheme="minorHAnsi" w:hAnsiTheme="minorHAnsi"/>
        </w:rPr>
        <w:t xml:space="preserve"> </w:t>
      </w:r>
      <w:r w:rsidR="008C5113">
        <w:rPr>
          <w:rFonts w:asciiTheme="minorHAnsi" w:hAnsiTheme="minorHAnsi"/>
        </w:rPr>
        <w:t xml:space="preserve"> </w:t>
      </w:r>
    </w:p>
    <w:p w14:paraId="5EC33F22" w14:textId="43CB89A0" w:rsidR="009F152A" w:rsidRDefault="006A17E7" w:rsidP="001924DC">
      <w:pPr>
        <w:rPr>
          <w:rFonts w:asciiTheme="minorHAnsi" w:hAnsiTheme="minorHAnsi"/>
        </w:rPr>
      </w:pPr>
      <w:r>
        <w:rPr>
          <w:rFonts w:asciiTheme="minorHAnsi" w:hAnsiTheme="minorHAnsi"/>
        </w:rPr>
        <w:t>A</w:t>
      </w:r>
      <w:r w:rsidR="001924DC" w:rsidRPr="00A752EF">
        <w:rPr>
          <w:rFonts w:asciiTheme="minorHAnsi" w:hAnsiTheme="minorHAnsi"/>
        </w:rPr>
        <w:t xml:space="preserve"> significant and steady </w:t>
      </w:r>
      <w:r w:rsidR="001924DC">
        <w:rPr>
          <w:rFonts w:asciiTheme="minorHAnsi" w:hAnsiTheme="minorHAnsi"/>
        </w:rPr>
        <w:t>decline</w:t>
      </w:r>
      <w:r>
        <w:rPr>
          <w:rFonts w:asciiTheme="minorHAnsi" w:hAnsiTheme="minorHAnsi"/>
        </w:rPr>
        <w:t xml:space="preserve"> was observed</w:t>
      </w:r>
      <w:r w:rsidR="001924DC" w:rsidRPr="00A752EF">
        <w:rPr>
          <w:rFonts w:asciiTheme="minorHAnsi" w:hAnsiTheme="minorHAnsi"/>
        </w:rPr>
        <w:t xml:space="preserve"> in </w:t>
      </w:r>
      <w:r w:rsidR="001924DC">
        <w:rPr>
          <w:rFonts w:asciiTheme="minorHAnsi" w:hAnsiTheme="minorHAnsi"/>
        </w:rPr>
        <w:t xml:space="preserve">the rates of </w:t>
      </w:r>
      <w:r w:rsidR="001924DC" w:rsidRPr="00A752EF">
        <w:rPr>
          <w:rFonts w:asciiTheme="minorHAnsi" w:hAnsiTheme="minorHAnsi"/>
        </w:rPr>
        <w:t>past-year gambling</w:t>
      </w:r>
      <w:r>
        <w:rPr>
          <w:rFonts w:asciiTheme="minorHAnsi" w:hAnsiTheme="minorHAnsi"/>
        </w:rPr>
        <w:t xml:space="preserve"> </w:t>
      </w:r>
      <w:r w:rsidR="009F152A">
        <w:rPr>
          <w:rFonts w:asciiTheme="minorHAnsi" w:hAnsiTheme="minorHAnsi"/>
        </w:rPr>
        <w:t>across the NZHS waves</w:t>
      </w:r>
      <w:r w:rsidR="001924DC" w:rsidRPr="00A752EF">
        <w:rPr>
          <w:rFonts w:asciiTheme="minorHAnsi" w:hAnsiTheme="minorHAnsi"/>
        </w:rPr>
        <w:t>: 66% in 2002/03, 60% in 2006/07 and 50% in 2011/12.</w:t>
      </w:r>
      <w:r w:rsidR="001924DC">
        <w:rPr>
          <w:rFonts w:asciiTheme="minorHAnsi" w:hAnsiTheme="minorHAnsi"/>
        </w:rPr>
        <w:t xml:space="preserve">   This trend is consistent with those observed for the National Gambling Study (and the previous national surveys commissioned by the DIA) and the Health and Lifestyles Survey series </w:t>
      </w:r>
      <w:r w:rsidR="001924DC">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 Tu, 2013)&lt;/DisplayText&gt;&lt;record&gt;&lt;rec-number&gt;917&lt;/rec-number&gt;&lt;foreign-keys&gt;&lt;key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Technology&lt;/publisher&gt;&lt;urls&gt;&lt;/urls&gt;&lt;/record&gt;&lt;/Cite&gt;&lt;Cite&gt;&lt;Author&gt;Tu&lt;/Author&gt;&lt;Year&gt;2013&lt;/Year&gt;&lt;RecNum&gt;916&lt;/RecNum&gt;&lt;record&gt;&lt;rec-number&gt;916&lt;/rec-number&gt;&lt;foreign-keys&gt;&lt;key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1924DC">
        <w:rPr>
          <w:rFonts w:asciiTheme="minorHAnsi" w:hAnsiTheme="minorHAnsi"/>
        </w:rPr>
        <w:fldChar w:fldCharType="separate"/>
      </w:r>
      <w:r w:rsidR="001924DC">
        <w:rPr>
          <w:rFonts w:asciiTheme="minorHAnsi" w:hAnsiTheme="minorHAnsi"/>
          <w:noProof/>
        </w:rPr>
        <w:t>(</w:t>
      </w:r>
      <w:hyperlink w:anchor="_ENREF_2" w:tooltip="Abbott, 2014 #917" w:history="1">
        <w:r w:rsidR="00765F46">
          <w:rPr>
            <w:rFonts w:asciiTheme="minorHAnsi" w:hAnsiTheme="minorHAnsi"/>
            <w:noProof/>
          </w:rPr>
          <w:t>Abbott et al., 2014b</w:t>
        </w:r>
      </w:hyperlink>
      <w:r w:rsidR="001924DC">
        <w:rPr>
          <w:rFonts w:asciiTheme="minorHAnsi" w:hAnsiTheme="minorHAnsi"/>
          <w:noProof/>
        </w:rPr>
        <w:t xml:space="preserve">; </w:t>
      </w:r>
      <w:hyperlink w:anchor="_ENREF_60" w:tooltip="Tu, 2013 #916" w:history="1">
        <w:r w:rsidR="00765F46">
          <w:rPr>
            <w:rFonts w:asciiTheme="minorHAnsi" w:hAnsiTheme="minorHAnsi"/>
            <w:noProof/>
          </w:rPr>
          <w:t>Tu, 2013</w:t>
        </w:r>
      </w:hyperlink>
      <w:r w:rsidR="001924DC">
        <w:rPr>
          <w:rFonts w:asciiTheme="minorHAnsi" w:hAnsiTheme="minorHAnsi"/>
          <w:noProof/>
        </w:rPr>
        <w:t>)</w:t>
      </w:r>
      <w:r w:rsidR="001924DC">
        <w:rPr>
          <w:rFonts w:asciiTheme="minorHAnsi" w:hAnsiTheme="minorHAnsi"/>
        </w:rPr>
        <w:fldChar w:fldCharType="end"/>
      </w:r>
      <w:r w:rsidR="001924DC">
        <w:rPr>
          <w:rFonts w:asciiTheme="minorHAnsi" w:hAnsiTheme="minorHAnsi"/>
        </w:rPr>
        <w:t xml:space="preserve">.  It also corresponds with the decreasing trend observed in adolescent gambling patterns in New Zealand: the Youth’12 Health and Wellbeing Survey observed significant decreases for adolescent involvement in gambling from 2007 to 2012 </w:t>
      </w:r>
      <w:r w:rsidR="001924DC">
        <w:rPr>
          <w:rFonts w:asciiTheme="minorHAnsi" w:hAnsiTheme="minorHAnsi"/>
        </w:rPr>
        <w:fldChar w:fldCharType="begin"/>
      </w:r>
      <w:r w:rsidR="00A34C5E">
        <w:rPr>
          <w:rFonts w:asciiTheme="minorHAnsi" w:hAnsiTheme="minorHAnsi"/>
        </w:rPr>
        <w:instrText xml:space="preserve"> ADDIN EN.CITE &lt;EndNote&gt;&lt;Cite&gt;&lt;Author&gt;Rossen&lt;/Author&gt;&lt;Year&gt;2013&lt;/Year&gt;&lt;RecNum&gt;920&lt;/RecNum&gt;&lt;DisplayText&gt;(Rossen et al., 2013)&lt;/DisplayText&gt;&lt;record&gt;&lt;rec-number&gt;920&lt;/rec-number&gt;&lt;foreign-keys&gt;&lt;key app="EN" db-id="9pzse05rcvx956etremxfzdh9fzdxvd95rp2"&gt;920&lt;/key&gt;&lt;/foreign-keys&gt;&lt;ref-type name="Report"&gt;27&lt;/ref-type&gt;&lt;contributors&gt;&lt;authors&gt;&lt;author&gt;Rossen, F.&lt;/author&gt;&lt;author&gt;Fleming, T.&lt;/author&gt;&lt;author&gt;Lucassen, M.&lt;/author&gt;&lt;author&gt;Denny, S.&lt;/author&gt;&lt;author&gt;Peiris-John, R.&lt;/author&gt;&lt;author&gt;Teevale, T.&lt;/author&gt;&lt;author&gt;Crengle, S.&lt;/author&gt;&lt;author&gt;Robinson, E.&lt;/author&gt;&lt;author&gt;Bullen, P.&lt;/author&gt;&lt;author&gt;Dyson, B.&lt;/author&gt;&lt;author&gt;Fortune, S.&lt;/author&gt;&lt;author&gt;Utter, J.&lt;/author&gt;&lt;author&gt;Sheridan, J.&lt;/author&gt;&lt;author&gt;Clark, T.C.&lt;/author&gt;&lt;author&gt;The Adolescent Health Research Group,&lt;/author&gt;&lt;/authors&gt;&lt;/contributors&gt;&lt;titles&gt;&lt;title&gt;The Health and Wellbeing of New Zealand Secondary School Students in 2012: Youth Gambling&lt;/title&gt;&lt;/titles&gt;&lt;dates&gt;&lt;year&gt;2013&lt;/year&gt;&lt;/dates&gt;&lt;pub-location&gt;Auckland, New Zealand&lt;/pub-location&gt;&lt;publisher&gt;The University of Auckland&lt;/publisher&gt;&lt;urls&gt;&lt;/urls&gt;&lt;/record&gt;&lt;/Cite&gt;&lt;/EndNote&gt;</w:instrText>
      </w:r>
      <w:r w:rsidR="001924DC">
        <w:rPr>
          <w:rFonts w:asciiTheme="minorHAnsi" w:hAnsiTheme="minorHAnsi"/>
        </w:rPr>
        <w:fldChar w:fldCharType="separate"/>
      </w:r>
      <w:r w:rsidR="001924DC">
        <w:rPr>
          <w:rFonts w:asciiTheme="minorHAnsi" w:hAnsiTheme="minorHAnsi"/>
          <w:noProof/>
        </w:rPr>
        <w:t>(</w:t>
      </w:r>
      <w:hyperlink w:anchor="_ENREF_52" w:tooltip="Rossen, 2013 #920" w:history="1">
        <w:r w:rsidR="00765F46">
          <w:rPr>
            <w:rFonts w:asciiTheme="minorHAnsi" w:hAnsiTheme="minorHAnsi"/>
            <w:noProof/>
          </w:rPr>
          <w:t>Rossen et al., 2013</w:t>
        </w:r>
      </w:hyperlink>
      <w:r w:rsidR="001924DC">
        <w:rPr>
          <w:rFonts w:asciiTheme="minorHAnsi" w:hAnsiTheme="minorHAnsi"/>
          <w:noProof/>
        </w:rPr>
        <w:t>)</w:t>
      </w:r>
      <w:r w:rsidR="001924DC">
        <w:rPr>
          <w:rFonts w:asciiTheme="minorHAnsi" w:hAnsiTheme="minorHAnsi"/>
        </w:rPr>
        <w:fldChar w:fldCharType="end"/>
      </w:r>
      <w:r w:rsidR="001924DC">
        <w:rPr>
          <w:rFonts w:asciiTheme="minorHAnsi" w:hAnsiTheme="minorHAnsi"/>
        </w:rPr>
        <w:t xml:space="preserve">.  </w:t>
      </w:r>
      <w:r w:rsidR="009F152A">
        <w:rPr>
          <w:rFonts w:asciiTheme="minorHAnsi" w:hAnsiTheme="minorHAnsi"/>
        </w:rPr>
        <w:t xml:space="preserve"> </w:t>
      </w:r>
    </w:p>
    <w:p w14:paraId="0359DB30" w14:textId="1B0BD089" w:rsidR="003267AD" w:rsidRDefault="009F152A" w:rsidP="00F06924">
      <w:pPr>
        <w:rPr>
          <w:rFonts w:asciiTheme="minorHAnsi" w:hAnsiTheme="minorHAnsi"/>
        </w:rPr>
      </w:pPr>
      <w:r>
        <w:rPr>
          <w:rFonts w:asciiTheme="minorHAnsi" w:hAnsiTheme="minorHAnsi"/>
        </w:rPr>
        <w:t>However, d</w:t>
      </w:r>
      <w:r w:rsidR="001924DC">
        <w:rPr>
          <w:rFonts w:asciiTheme="minorHAnsi" w:hAnsiTheme="minorHAnsi"/>
        </w:rPr>
        <w:t xml:space="preserve">espite </w:t>
      </w:r>
      <w:r w:rsidR="00F84686">
        <w:rPr>
          <w:rFonts w:asciiTheme="minorHAnsi" w:hAnsiTheme="minorHAnsi"/>
        </w:rPr>
        <w:t xml:space="preserve">decreasing trends being observed across the NZHS, the National Gambling Study and the Health and Lifestyles Surveys, the discrepancies between the </w:t>
      </w:r>
      <w:r>
        <w:rPr>
          <w:rFonts w:asciiTheme="minorHAnsi" w:hAnsiTheme="minorHAnsi"/>
        </w:rPr>
        <w:t xml:space="preserve">much lower </w:t>
      </w:r>
      <w:r w:rsidR="00F84686">
        <w:rPr>
          <w:rFonts w:asciiTheme="minorHAnsi" w:hAnsiTheme="minorHAnsi"/>
        </w:rPr>
        <w:t>gambling rates observed in the 2011/12 NZHS and those reported by the other studies are substanti</w:t>
      </w:r>
      <w:r w:rsidR="00F84686" w:rsidRPr="00F84686">
        <w:rPr>
          <w:rFonts w:asciiTheme="minorHAnsi" w:hAnsiTheme="minorHAnsi"/>
        </w:rPr>
        <w:t xml:space="preserve">al. </w:t>
      </w:r>
      <w:r w:rsidR="00F84686">
        <w:rPr>
          <w:rFonts w:asciiTheme="minorHAnsi" w:hAnsiTheme="minorHAnsi"/>
        </w:rPr>
        <w:t xml:space="preserve"> While these differences cannot be accounted for fully, the</w:t>
      </w:r>
      <w:r>
        <w:rPr>
          <w:rFonts w:asciiTheme="minorHAnsi" w:hAnsiTheme="minorHAnsi"/>
        </w:rPr>
        <w:t xml:space="preserve"> lower rates reported by the NZHS</w:t>
      </w:r>
      <w:r w:rsidR="00F84686">
        <w:rPr>
          <w:rFonts w:asciiTheme="minorHAnsi" w:hAnsiTheme="minorHAnsi"/>
        </w:rPr>
        <w:t xml:space="preserve"> </w:t>
      </w:r>
      <w:r w:rsidR="008C5113" w:rsidRPr="00F84686">
        <w:rPr>
          <w:rFonts w:asciiTheme="minorHAnsi" w:hAnsiTheme="minorHAnsi"/>
        </w:rPr>
        <w:t xml:space="preserve">may be </w:t>
      </w:r>
      <w:r w:rsidR="00BE760E" w:rsidRPr="00F84686">
        <w:rPr>
          <w:rFonts w:asciiTheme="minorHAnsi" w:hAnsiTheme="minorHAnsi"/>
        </w:rPr>
        <w:t xml:space="preserve">partially </w:t>
      </w:r>
      <w:r w:rsidR="008C5113" w:rsidRPr="00F84686">
        <w:rPr>
          <w:rFonts w:asciiTheme="minorHAnsi" w:hAnsiTheme="minorHAnsi"/>
        </w:rPr>
        <w:t>attributable to</w:t>
      </w:r>
      <w:r w:rsidR="006F7F10" w:rsidRPr="00F84686">
        <w:rPr>
          <w:rFonts w:asciiTheme="minorHAnsi" w:hAnsiTheme="minorHAnsi"/>
        </w:rPr>
        <w:t xml:space="preserve"> </w:t>
      </w:r>
      <w:r w:rsidR="00F84686" w:rsidRPr="00F84686">
        <w:rPr>
          <w:rFonts w:asciiTheme="minorHAnsi" w:hAnsiTheme="minorHAnsi"/>
        </w:rPr>
        <w:t xml:space="preserve">methodological </w:t>
      </w:r>
      <w:r w:rsidR="006F7F10" w:rsidRPr="00F84686">
        <w:rPr>
          <w:rFonts w:asciiTheme="minorHAnsi" w:hAnsiTheme="minorHAnsi"/>
        </w:rPr>
        <w:t xml:space="preserve">differences </w:t>
      </w:r>
      <w:r w:rsidR="00F84686" w:rsidRPr="00F84686">
        <w:rPr>
          <w:rFonts w:asciiTheme="minorHAnsi" w:hAnsiTheme="minorHAnsi"/>
        </w:rPr>
        <w:t xml:space="preserve">such as </w:t>
      </w:r>
      <w:r w:rsidR="006F7F10" w:rsidRPr="00F84686">
        <w:rPr>
          <w:rFonts w:asciiTheme="minorHAnsi" w:hAnsiTheme="minorHAnsi"/>
        </w:rPr>
        <w:t xml:space="preserve">the </w:t>
      </w:r>
      <w:r w:rsidR="008C5113" w:rsidRPr="00F84686">
        <w:rPr>
          <w:rFonts w:asciiTheme="minorHAnsi" w:hAnsiTheme="minorHAnsi"/>
        </w:rPr>
        <w:t>question structure</w:t>
      </w:r>
      <w:r w:rsidR="006F7F10" w:rsidRPr="00F84686">
        <w:rPr>
          <w:rFonts w:asciiTheme="minorHAnsi" w:hAnsiTheme="minorHAnsi"/>
        </w:rPr>
        <w:t xml:space="preserve"> for each survey</w:t>
      </w:r>
      <w:r w:rsidR="008C5113" w:rsidRPr="00F84686">
        <w:rPr>
          <w:rFonts w:asciiTheme="minorHAnsi" w:hAnsiTheme="minorHAnsi"/>
        </w:rPr>
        <w:t xml:space="preserve">.  </w:t>
      </w:r>
      <w:r w:rsidR="00F84686" w:rsidRPr="00F84686">
        <w:rPr>
          <w:rFonts w:asciiTheme="minorHAnsi" w:hAnsiTheme="minorHAnsi"/>
        </w:rPr>
        <w:t>For instance, t</w:t>
      </w:r>
      <w:r w:rsidR="008C5113" w:rsidRPr="00F84686">
        <w:rPr>
          <w:rFonts w:asciiTheme="minorHAnsi" w:hAnsiTheme="minorHAnsi"/>
        </w:rPr>
        <w:t xml:space="preserve">he </w:t>
      </w:r>
      <w:r w:rsidR="006F7F10" w:rsidRPr="00F84686">
        <w:rPr>
          <w:rFonts w:asciiTheme="minorHAnsi" w:hAnsiTheme="minorHAnsi"/>
        </w:rPr>
        <w:t xml:space="preserve">2011/12 </w:t>
      </w:r>
      <w:r w:rsidR="008C5113" w:rsidRPr="00F84686">
        <w:rPr>
          <w:rFonts w:asciiTheme="minorHAnsi" w:hAnsiTheme="minorHAnsi"/>
        </w:rPr>
        <w:t xml:space="preserve">NZHS asked participants to specify the activities they had gambled on </w:t>
      </w:r>
      <w:r w:rsidR="00C1063A" w:rsidRPr="00F84686">
        <w:rPr>
          <w:rFonts w:asciiTheme="minorHAnsi" w:hAnsiTheme="minorHAnsi"/>
        </w:rPr>
        <w:t xml:space="preserve">in the past year </w:t>
      </w:r>
      <w:r w:rsidR="008C5113" w:rsidRPr="00F84686">
        <w:rPr>
          <w:rFonts w:asciiTheme="minorHAnsi" w:hAnsiTheme="minorHAnsi"/>
        </w:rPr>
        <w:t xml:space="preserve">via one question.  In contrast, the National Gambling Study </w:t>
      </w:r>
      <w:r>
        <w:rPr>
          <w:rFonts w:asciiTheme="minorHAnsi" w:hAnsiTheme="minorHAnsi"/>
        </w:rPr>
        <w:t xml:space="preserve">was more comprehensive in its enquiries and </w:t>
      </w:r>
      <w:r w:rsidR="008C5113" w:rsidRPr="00F84686">
        <w:rPr>
          <w:rFonts w:asciiTheme="minorHAnsi" w:hAnsiTheme="minorHAnsi"/>
        </w:rPr>
        <w:t>asked about gambling activities via the following questions: an initial overall list of activities in which ‘betting or gambling’ was included; two questions about participation in specific gambling activities in the past 12 months; and detailed questions for each gambling activity</w:t>
      </w:r>
      <w:r w:rsidR="00C1063A" w:rsidRPr="00F84686">
        <w:rPr>
          <w:rFonts w:asciiTheme="minorHAnsi" w:hAnsiTheme="minorHAnsi"/>
        </w:rPr>
        <w:t xml:space="preserve"> that the participant had taken part in</w:t>
      </w:r>
      <w:r w:rsidR="008C5113" w:rsidRPr="00F84686">
        <w:rPr>
          <w:rFonts w:asciiTheme="minorHAnsi" w:hAnsiTheme="minorHAnsi"/>
        </w:rPr>
        <w:t xml:space="preserve"> (frequency, </w:t>
      </w:r>
      <w:r w:rsidR="00C1063A" w:rsidRPr="00F84686">
        <w:rPr>
          <w:rFonts w:asciiTheme="minorHAnsi" w:hAnsiTheme="minorHAnsi"/>
        </w:rPr>
        <w:t>monthly expenditure</w:t>
      </w:r>
      <w:r w:rsidR="008C5113" w:rsidRPr="00F84686">
        <w:rPr>
          <w:rFonts w:asciiTheme="minorHAnsi" w:hAnsiTheme="minorHAnsi"/>
        </w:rPr>
        <w:t>, reasons for gambling, estimation of whether they had won/lost/broken even, whether they had used a system/skills)</w:t>
      </w:r>
      <w:r w:rsidR="00C1063A" w:rsidRPr="00F84686">
        <w:rPr>
          <w:rFonts w:asciiTheme="minorHAnsi" w:hAnsiTheme="minorHAnsi"/>
        </w:rPr>
        <w:t xml:space="preserve">.  </w:t>
      </w:r>
      <w:r w:rsidR="006F7F10" w:rsidRPr="00F84686">
        <w:rPr>
          <w:rFonts w:asciiTheme="minorHAnsi" w:hAnsiTheme="minorHAnsi"/>
        </w:rPr>
        <w:t>Moreover, the National Gambling Study provided prompts for 29 gambling activities, compared with 12 in the 2011/12 NZHS</w:t>
      </w:r>
      <w:r w:rsidR="00987640" w:rsidRPr="00F84686">
        <w:rPr>
          <w:rFonts w:asciiTheme="minorHAnsi" w:hAnsiTheme="minorHAnsi"/>
        </w:rPr>
        <w:t xml:space="preserve"> </w:t>
      </w:r>
      <w:r w:rsidR="00987640" w:rsidRPr="00F84686">
        <w:rPr>
          <w:rFonts w:asciiTheme="minorHAnsi" w:hAnsiTheme="minorHAnsi"/>
        </w:rPr>
        <w:lastRenderedPageBreak/>
        <w:t>(see</w:t>
      </w:r>
      <w:r w:rsidR="00F66943" w:rsidRPr="00F84686">
        <w:rPr>
          <w:rFonts w:asciiTheme="minorHAnsi" w:hAnsiTheme="minorHAnsi"/>
        </w:rPr>
        <w:t xml:space="preserve"> Table 18</w:t>
      </w:r>
      <w:r w:rsidR="00987640" w:rsidRPr="00F84686">
        <w:rPr>
          <w:rFonts w:asciiTheme="minorHAnsi" w:hAnsiTheme="minorHAnsi"/>
        </w:rPr>
        <w:t>)</w:t>
      </w:r>
      <w:r w:rsidR="006F7F10" w:rsidRPr="00F84686">
        <w:rPr>
          <w:rFonts w:asciiTheme="minorHAnsi" w:hAnsiTheme="minorHAnsi"/>
        </w:rPr>
        <w:t xml:space="preserve">.  </w:t>
      </w:r>
      <w:r w:rsidR="00C1063A" w:rsidRPr="000A1794">
        <w:rPr>
          <w:rFonts w:asciiTheme="minorHAnsi" w:hAnsiTheme="minorHAnsi"/>
        </w:rPr>
        <w:t>The inclusion of these extra prompts/questions in the National Gambling Study may have resulted in a more in-depth account of each individual’s gambling behaviour.</w:t>
      </w:r>
      <w:r w:rsidR="00C1063A">
        <w:rPr>
          <w:rFonts w:asciiTheme="minorHAnsi" w:hAnsiTheme="minorHAnsi"/>
        </w:rPr>
        <w:t xml:space="preserve"> </w:t>
      </w:r>
    </w:p>
    <w:p w14:paraId="293A8021" w14:textId="28CC6D3D" w:rsidR="008F190E" w:rsidRDefault="008B51DB" w:rsidP="00F06924">
      <w:pPr>
        <w:rPr>
          <w:rFonts w:asciiTheme="minorHAnsi" w:hAnsiTheme="minorHAnsi"/>
        </w:rPr>
      </w:pPr>
      <w:r>
        <w:rPr>
          <w:rFonts w:asciiTheme="minorHAnsi" w:hAnsiTheme="minorHAnsi"/>
        </w:rPr>
        <w:t>Māori, European/Other</w:t>
      </w:r>
      <w:r w:rsidR="00F435F4" w:rsidRPr="00F435F4">
        <w:rPr>
          <w:rFonts w:asciiTheme="minorHAnsi" w:hAnsiTheme="minorHAnsi"/>
        </w:rPr>
        <w:t xml:space="preserve"> </w:t>
      </w:r>
      <w:r w:rsidR="00F435F4">
        <w:rPr>
          <w:rFonts w:asciiTheme="minorHAnsi" w:hAnsiTheme="minorHAnsi"/>
        </w:rPr>
        <w:t>and Pacific</w:t>
      </w:r>
      <w:r>
        <w:rPr>
          <w:rFonts w:asciiTheme="minorHAnsi" w:hAnsiTheme="minorHAnsi"/>
        </w:rPr>
        <w:t xml:space="preserve"> </w:t>
      </w:r>
      <w:r w:rsidR="00521854">
        <w:rPr>
          <w:rFonts w:asciiTheme="minorHAnsi" w:hAnsiTheme="minorHAnsi"/>
        </w:rPr>
        <w:t xml:space="preserve">people </w:t>
      </w:r>
      <w:r>
        <w:rPr>
          <w:rFonts w:asciiTheme="minorHAnsi" w:hAnsiTheme="minorHAnsi"/>
        </w:rPr>
        <w:t>all reported similar rates of past-year gambling</w:t>
      </w:r>
      <w:r w:rsidR="003A3399">
        <w:rPr>
          <w:rFonts w:asciiTheme="minorHAnsi" w:hAnsiTheme="minorHAnsi"/>
        </w:rPr>
        <w:t xml:space="preserve"> in the 2011/12 NZHS</w:t>
      </w:r>
      <w:r>
        <w:rPr>
          <w:rFonts w:asciiTheme="minorHAnsi" w:hAnsiTheme="minorHAnsi"/>
        </w:rPr>
        <w:t xml:space="preserve">; approximately one-in-two adults from these population groups had gambled in the past year.  This contrasted with </w:t>
      </w:r>
      <w:r w:rsidR="00F435F4">
        <w:rPr>
          <w:rFonts w:asciiTheme="minorHAnsi" w:hAnsiTheme="minorHAnsi"/>
        </w:rPr>
        <w:t xml:space="preserve">around </w:t>
      </w:r>
      <w:r>
        <w:rPr>
          <w:rFonts w:asciiTheme="minorHAnsi" w:hAnsiTheme="minorHAnsi"/>
        </w:rPr>
        <w:t xml:space="preserve">one-in-three for the Asian population. </w:t>
      </w:r>
      <w:r w:rsidR="00F435F4">
        <w:rPr>
          <w:rFonts w:asciiTheme="minorHAnsi" w:hAnsiTheme="minorHAnsi"/>
        </w:rPr>
        <w:t xml:space="preserve"> Overall, participation rates were highest for Māori, followed by European/Other, Pacific and then Asian.  </w:t>
      </w:r>
      <w:r w:rsidR="002F62D6">
        <w:rPr>
          <w:rFonts w:asciiTheme="minorHAnsi" w:hAnsiTheme="minorHAnsi"/>
        </w:rPr>
        <w:t>While the specific rates differ to those observed in other research, the order/pattern</w:t>
      </w:r>
      <w:r w:rsidR="00F435F4">
        <w:rPr>
          <w:rFonts w:asciiTheme="minorHAnsi" w:hAnsiTheme="minorHAnsi"/>
        </w:rPr>
        <w:t xml:space="preserve"> of past-year participation rates that were observed for ethnicity </w:t>
      </w:r>
      <w:r w:rsidR="002F62D6">
        <w:rPr>
          <w:rFonts w:asciiTheme="minorHAnsi" w:hAnsiTheme="minorHAnsi"/>
        </w:rPr>
        <w:t xml:space="preserve">are consistent with those from </w:t>
      </w:r>
      <w:r w:rsidR="000322D9">
        <w:rPr>
          <w:rFonts w:asciiTheme="minorHAnsi" w:hAnsiTheme="minorHAnsi"/>
        </w:rPr>
        <w:t>both</w:t>
      </w:r>
      <w:r w:rsidR="00F435F4">
        <w:rPr>
          <w:rFonts w:asciiTheme="minorHAnsi" w:hAnsiTheme="minorHAnsi"/>
        </w:rPr>
        <w:t xml:space="preserve"> the National Gambling Study </w:t>
      </w:r>
      <w:r w:rsidR="00F435F4">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F435F4">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w:t>
      </w:r>
      <w:r w:rsidR="00F435F4">
        <w:rPr>
          <w:rFonts w:asciiTheme="minorHAnsi" w:hAnsiTheme="minorHAnsi"/>
        </w:rPr>
        <w:fldChar w:fldCharType="end"/>
      </w:r>
      <w:r w:rsidR="000322D9">
        <w:rPr>
          <w:rFonts w:asciiTheme="minorHAnsi" w:hAnsiTheme="minorHAnsi"/>
        </w:rPr>
        <w:t xml:space="preserve"> and the Health and Lifestyles Survey </w:t>
      </w:r>
      <w:r w:rsidR="000322D9">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0322D9">
        <w:rPr>
          <w:rFonts w:asciiTheme="minorHAnsi" w:hAnsiTheme="minorHAnsi"/>
        </w:rPr>
        <w:fldChar w:fldCharType="separate"/>
      </w:r>
      <w:r w:rsidR="000322D9">
        <w:rPr>
          <w:rFonts w:asciiTheme="minorHAnsi" w:hAnsiTheme="minorHAnsi"/>
          <w:noProof/>
        </w:rPr>
        <w:t>(</w:t>
      </w:r>
      <w:hyperlink w:anchor="_ENREF_60" w:tooltip="Tu, 2013 #916" w:history="1">
        <w:r w:rsidR="00765F46">
          <w:rPr>
            <w:rFonts w:asciiTheme="minorHAnsi" w:hAnsiTheme="minorHAnsi"/>
            <w:noProof/>
          </w:rPr>
          <w:t>Tu, 2013</w:t>
        </w:r>
      </w:hyperlink>
      <w:r w:rsidR="000322D9">
        <w:rPr>
          <w:rFonts w:asciiTheme="minorHAnsi" w:hAnsiTheme="minorHAnsi"/>
          <w:noProof/>
        </w:rPr>
        <w:t>)</w:t>
      </w:r>
      <w:r w:rsidR="000322D9">
        <w:rPr>
          <w:rFonts w:asciiTheme="minorHAnsi" w:hAnsiTheme="minorHAnsi"/>
        </w:rPr>
        <w:fldChar w:fldCharType="end"/>
      </w:r>
      <w:r w:rsidR="00F435F4">
        <w:rPr>
          <w:rFonts w:asciiTheme="minorHAnsi" w:hAnsiTheme="minorHAnsi"/>
        </w:rPr>
        <w:t>.</w:t>
      </w:r>
      <w:r w:rsidR="00860262">
        <w:rPr>
          <w:rFonts w:asciiTheme="minorHAnsi" w:hAnsiTheme="minorHAnsi"/>
        </w:rPr>
        <w:t xml:space="preserve"> </w:t>
      </w:r>
      <w:r w:rsidR="0069714A">
        <w:rPr>
          <w:rFonts w:asciiTheme="minorHAnsi" w:hAnsiTheme="minorHAnsi"/>
        </w:rPr>
        <w:t xml:space="preserve"> </w:t>
      </w:r>
      <w:r w:rsidR="008F190E">
        <w:rPr>
          <w:rFonts w:asciiTheme="minorHAnsi" w:hAnsiTheme="minorHAnsi"/>
        </w:rPr>
        <w:t xml:space="preserve">Participation in gambling was </w:t>
      </w:r>
      <w:r w:rsidR="003B5753">
        <w:rPr>
          <w:rFonts w:asciiTheme="minorHAnsi" w:hAnsiTheme="minorHAnsi"/>
        </w:rPr>
        <w:t xml:space="preserve">significantly </w:t>
      </w:r>
      <w:r w:rsidR="008F190E">
        <w:rPr>
          <w:rFonts w:asciiTheme="minorHAnsi" w:hAnsiTheme="minorHAnsi"/>
        </w:rPr>
        <w:t>more common amongst mid to older age groups (25 years or older) with those aged 18-24 being less involved in gambling.  This reflects findings from other research with New Zealand adults, although it was less pronounced in the National Gambling Study</w:t>
      </w:r>
      <w:r w:rsidR="0054081C">
        <w:rPr>
          <w:rFonts w:asciiTheme="minorHAnsi" w:hAnsiTheme="minorHAnsi"/>
        </w:rPr>
        <w:t xml:space="preserve"> and the Health and Lifestyles Survey</w:t>
      </w:r>
      <w:r w:rsidR="008F190E">
        <w:rPr>
          <w:rFonts w:asciiTheme="minorHAnsi" w:hAnsiTheme="minorHAnsi"/>
        </w:rPr>
        <w:t xml:space="preserve"> </w:t>
      </w:r>
      <w:r w:rsidR="008F190E">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 Tu, 2013)&lt;/DisplayText&gt;&lt;record&gt;&lt;rec-number&gt;917&lt;/rec-number&gt;&lt;foreign-keys&gt;&lt;key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Technology&lt;/publisher&gt;&lt;urls&gt;&lt;/urls&gt;&lt;/record&gt;&lt;/Cite&gt;&lt;Cite&gt;&lt;Author&gt;Tu&lt;/Author&gt;&lt;Year&gt;2013&lt;/Year&gt;&lt;RecNum&gt;916&lt;/RecNum&gt;&lt;record&gt;&lt;rec-number&gt;916&lt;/rec-number&gt;&lt;foreign-keys&gt;&lt;key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8F190E">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 xml:space="preserve">; </w:t>
      </w:r>
      <w:hyperlink w:anchor="_ENREF_60" w:tooltip="Tu, 2013 #916" w:history="1">
        <w:r w:rsidR="00765F46">
          <w:rPr>
            <w:rFonts w:asciiTheme="minorHAnsi" w:hAnsiTheme="minorHAnsi"/>
            <w:noProof/>
          </w:rPr>
          <w:t>Tu, 2013</w:t>
        </w:r>
      </w:hyperlink>
      <w:r w:rsidR="0020358E">
        <w:rPr>
          <w:rFonts w:asciiTheme="minorHAnsi" w:hAnsiTheme="minorHAnsi"/>
          <w:noProof/>
        </w:rPr>
        <w:t>)</w:t>
      </w:r>
      <w:r w:rsidR="008F190E">
        <w:rPr>
          <w:rFonts w:asciiTheme="minorHAnsi" w:hAnsiTheme="minorHAnsi"/>
        </w:rPr>
        <w:fldChar w:fldCharType="end"/>
      </w:r>
      <w:r w:rsidR="0054081C">
        <w:rPr>
          <w:rFonts w:asciiTheme="minorHAnsi" w:hAnsiTheme="minorHAnsi"/>
        </w:rPr>
        <w:t>.</w:t>
      </w:r>
      <w:r w:rsidR="008F190E">
        <w:rPr>
          <w:rFonts w:asciiTheme="minorHAnsi" w:hAnsiTheme="minorHAnsi"/>
        </w:rPr>
        <w:t xml:space="preserve"> </w:t>
      </w:r>
    </w:p>
    <w:p w14:paraId="20B8BDC8" w14:textId="0DC23AE8" w:rsidR="00655981" w:rsidRPr="00655981" w:rsidRDefault="00833749" w:rsidP="00655981">
      <w:pPr>
        <w:rPr>
          <w:rFonts w:asciiTheme="minorHAnsi" w:hAnsiTheme="minorHAnsi"/>
        </w:rPr>
      </w:pPr>
      <w:r w:rsidRPr="00655981">
        <w:rPr>
          <w:rFonts w:asciiTheme="minorHAnsi" w:hAnsiTheme="minorHAnsi"/>
        </w:rPr>
        <w:t xml:space="preserve">Lottery products were the most popular </w:t>
      </w:r>
      <w:r w:rsidR="008F3FB0">
        <w:rPr>
          <w:rFonts w:asciiTheme="minorHAnsi" w:hAnsiTheme="minorHAnsi"/>
        </w:rPr>
        <w:t xml:space="preserve">and preferred </w:t>
      </w:r>
      <w:r w:rsidRPr="00655981">
        <w:rPr>
          <w:rFonts w:asciiTheme="minorHAnsi" w:hAnsiTheme="minorHAnsi"/>
        </w:rPr>
        <w:t>gambling activities</w:t>
      </w:r>
      <w:r w:rsidR="0054081C">
        <w:rPr>
          <w:rFonts w:asciiTheme="minorHAnsi" w:hAnsiTheme="minorHAnsi"/>
        </w:rPr>
        <w:t>,</w:t>
      </w:r>
      <w:r w:rsidRPr="00655981">
        <w:rPr>
          <w:rFonts w:asciiTheme="minorHAnsi" w:hAnsiTheme="minorHAnsi"/>
        </w:rPr>
        <w:t xml:space="preserve"> with almost one-half of adults having gambled on Lotto in the past year.  In contrast, less than ten percent of adults had gambled on EGMs (casino and/or non-casino), track or sports betting, casino </w:t>
      </w:r>
      <w:r w:rsidR="00C22E1D">
        <w:rPr>
          <w:rFonts w:asciiTheme="minorHAnsi" w:hAnsiTheme="minorHAnsi"/>
        </w:rPr>
        <w:t>gambling (EGMs and/or tables), K</w:t>
      </w:r>
      <w:r w:rsidRPr="00655981">
        <w:rPr>
          <w:rFonts w:asciiTheme="minorHAnsi" w:hAnsiTheme="minorHAnsi"/>
        </w:rPr>
        <w:t>eno, housie and ‘other’ in the previous year.</w:t>
      </w:r>
      <w:r w:rsidR="003A0141" w:rsidRPr="00655981">
        <w:rPr>
          <w:rFonts w:asciiTheme="minorHAnsi" w:hAnsiTheme="minorHAnsi"/>
        </w:rPr>
        <w:t xml:space="preserve">  </w:t>
      </w:r>
      <w:r w:rsidR="00655981" w:rsidRPr="00655981">
        <w:rPr>
          <w:rFonts w:asciiTheme="minorHAnsi" w:hAnsiTheme="minorHAnsi"/>
        </w:rPr>
        <w:t>While it is difficult to make direct comparisons (due to</w:t>
      </w:r>
      <w:r w:rsidR="00446300">
        <w:rPr>
          <w:rFonts w:asciiTheme="minorHAnsi" w:hAnsiTheme="minorHAnsi"/>
        </w:rPr>
        <w:t xml:space="preserve"> varying</w:t>
      </w:r>
      <w:r w:rsidR="00655981" w:rsidRPr="00655981">
        <w:rPr>
          <w:rFonts w:asciiTheme="minorHAnsi" w:hAnsiTheme="minorHAnsi"/>
        </w:rPr>
        <w:t xml:space="preserve"> categorisation of gambling activities), these results seem largely consistent, although more conservative than those observed in </w:t>
      </w:r>
      <w:r w:rsidR="00655981">
        <w:rPr>
          <w:rFonts w:asciiTheme="minorHAnsi" w:hAnsiTheme="minorHAnsi"/>
        </w:rPr>
        <w:t xml:space="preserve">both the National Gambling Study </w:t>
      </w:r>
      <w:r w:rsidR="00655981">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655981">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w:t>
      </w:r>
      <w:r w:rsidR="00655981">
        <w:rPr>
          <w:rFonts w:asciiTheme="minorHAnsi" w:hAnsiTheme="minorHAnsi"/>
        </w:rPr>
        <w:fldChar w:fldCharType="end"/>
      </w:r>
      <w:r w:rsidR="00655981">
        <w:rPr>
          <w:rFonts w:asciiTheme="minorHAnsi" w:hAnsiTheme="minorHAnsi"/>
        </w:rPr>
        <w:t xml:space="preserve"> and the Health and Lifestyles Survey </w:t>
      </w:r>
      <w:r w:rsidR="00655981">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655981">
        <w:rPr>
          <w:rFonts w:asciiTheme="minorHAnsi" w:hAnsiTheme="minorHAnsi"/>
        </w:rPr>
        <w:fldChar w:fldCharType="separate"/>
      </w:r>
      <w:r w:rsidR="00655981">
        <w:rPr>
          <w:rFonts w:asciiTheme="minorHAnsi" w:hAnsiTheme="minorHAnsi"/>
          <w:noProof/>
        </w:rPr>
        <w:t>(</w:t>
      </w:r>
      <w:hyperlink w:anchor="_ENREF_60" w:tooltip="Tu, 2013 #916" w:history="1">
        <w:r w:rsidR="00765F46">
          <w:rPr>
            <w:rFonts w:asciiTheme="minorHAnsi" w:hAnsiTheme="minorHAnsi"/>
            <w:noProof/>
          </w:rPr>
          <w:t>Tu, 2013</w:t>
        </w:r>
      </w:hyperlink>
      <w:r w:rsidR="00655981">
        <w:rPr>
          <w:rFonts w:asciiTheme="minorHAnsi" w:hAnsiTheme="minorHAnsi"/>
          <w:noProof/>
        </w:rPr>
        <w:t>)</w:t>
      </w:r>
      <w:r w:rsidR="00655981">
        <w:rPr>
          <w:rFonts w:asciiTheme="minorHAnsi" w:hAnsiTheme="minorHAnsi"/>
        </w:rPr>
        <w:fldChar w:fldCharType="end"/>
      </w:r>
      <w:r w:rsidR="00446300">
        <w:rPr>
          <w:rFonts w:asciiTheme="minorHAnsi" w:hAnsiTheme="minorHAnsi"/>
        </w:rPr>
        <w:t xml:space="preserve">. </w:t>
      </w:r>
    </w:p>
    <w:p w14:paraId="6A556038" w14:textId="136526CB" w:rsidR="00B27107" w:rsidRDefault="0017308D" w:rsidP="0017308D">
      <w:pPr>
        <w:rPr>
          <w:rFonts w:asciiTheme="minorHAnsi" w:hAnsiTheme="minorHAnsi"/>
        </w:rPr>
      </w:pPr>
      <w:r w:rsidRPr="0017308D">
        <w:rPr>
          <w:rFonts w:asciiTheme="minorHAnsi" w:hAnsiTheme="minorHAnsi"/>
        </w:rPr>
        <w:t xml:space="preserve">Significant decreases in participation across the three NZHS survey waves  (2002/03, 2006/07, 2011/12) were observed for a number of activities, including Lotto, Instant Kiwi, non-casino </w:t>
      </w:r>
      <w:r w:rsidR="00521854">
        <w:rPr>
          <w:rFonts w:asciiTheme="minorHAnsi" w:hAnsiTheme="minorHAnsi"/>
        </w:rPr>
        <w:t>EGMs</w:t>
      </w:r>
      <w:r w:rsidRPr="0017308D">
        <w:rPr>
          <w:rFonts w:asciiTheme="minorHAnsi" w:hAnsiTheme="minorHAnsi"/>
        </w:rPr>
        <w:t xml:space="preserve">, track betting, </w:t>
      </w:r>
      <w:r w:rsidRPr="00B27107">
        <w:rPr>
          <w:rFonts w:asciiTheme="minorHAnsi" w:hAnsiTheme="minorHAnsi"/>
        </w:rPr>
        <w:t xml:space="preserve">casino </w:t>
      </w:r>
      <w:r w:rsidR="0054081C">
        <w:rPr>
          <w:rFonts w:asciiTheme="minorHAnsi" w:hAnsiTheme="minorHAnsi"/>
        </w:rPr>
        <w:t>EGMs</w:t>
      </w:r>
      <w:r w:rsidRPr="00B27107">
        <w:rPr>
          <w:rFonts w:asciiTheme="minorHAnsi" w:hAnsiTheme="minorHAnsi"/>
        </w:rPr>
        <w:t>, s</w:t>
      </w:r>
      <w:r w:rsidRPr="0017308D">
        <w:rPr>
          <w:rFonts w:asciiTheme="minorHAnsi" w:hAnsiTheme="minorHAnsi"/>
        </w:rPr>
        <w:t xml:space="preserve">ports betting, Keno and Housie. </w:t>
      </w:r>
      <w:r w:rsidR="00275AD3">
        <w:rPr>
          <w:rFonts w:asciiTheme="minorHAnsi" w:hAnsiTheme="minorHAnsi"/>
        </w:rPr>
        <w:t xml:space="preserve"> Similar decreases were noted in the </w:t>
      </w:r>
      <w:r w:rsidR="001418DB">
        <w:rPr>
          <w:rFonts w:asciiTheme="minorHAnsi" w:hAnsiTheme="minorHAnsi"/>
        </w:rPr>
        <w:t xml:space="preserve">Health and Lifestyles Survey </w:t>
      </w:r>
      <w:r w:rsidR="001418DB">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1418DB">
        <w:rPr>
          <w:rFonts w:asciiTheme="minorHAnsi" w:hAnsiTheme="minorHAnsi"/>
        </w:rPr>
        <w:fldChar w:fldCharType="separate"/>
      </w:r>
      <w:r w:rsidR="001418DB">
        <w:rPr>
          <w:rFonts w:asciiTheme="minorHAnsi" w:hAnsiTheme="minorHAnsi"/>
          <w:noProof/>
        </w:rPr>
        <w:t>(</w:t>
      </w:r>
      <w:hyperlink w:anchor="_ENREF_60" w:tooltip="Tu, 2013 #916" w:history="1">
        <w:r w:rsidR="00765F46">
          <w:rPr>
            <w:rFonts w:asciiTheme="minorHAnsi" w:hAnsiTheme="minorHAnsi"/>
            <w:noProof/>
          </w:rPr>
          <w:t>Tu, 2013</w:t>
        </w:r>
      </w:hyperlink>
      <w:r w:rsidR="001418DB">
        <w:rPr>
          <w:rFonts w:asciiTheme="minorHAnsi" w:hAnsiTheme="minorHAnsi"/>
          <w:noProof/>
        </w:rPr>
        <w:t>)</w:t>
      </w:r>
      <w:r w:rsidR="001418DB">
        <w:rPr>
          <w:rFonts w:asciiTheme="minorHAnsi" w:hAnsiTheme="minorHAnsi"/>
        </w:rPr>
        <w:fldChar w:fldCharType="end"/>
      </w:r>
      <w:r w:rsidR="001418DB">
        <w:rPr>
          <w:rFonts w:asciiTheme="minorHAnsi" w:hAnsiTheme="minorHAnsi"/>
        </w:rPr>
        <w:t xml:space="preserve"> and the </w:t>
      </w:r>
      <w:r w:rsidR="00275AD3">
        <w:rPr>
          <w:rFonts w:asciiTheme="minorHAnsi" w:hAnsiTheme="minorHAnsi"/>
        </w:rPr>
        <w:t>National Gambling Study</w:t>
      </w:r>
      <w:r w:rsidR="001418DB">
        <w:rPr>
          <w:rFonts w:asciiTheme="minorHAnsi" w:hAnsiTheme="minorHAnsi"/>
        </w:rPr>
        <w:t>,</w:t>
      </w:r>
      <w:r w:rsidR="00275AD3">
        <w:rPr>
          <w:rFonts w:asciiTheme="minorHAnsi" w:hAnsiTheme="minorHAnsi"/>
        </w:rPr>
        <w:t xml:space="preserve"> </w:t>
      </w:r>
      <w:r w:rsidR="00B27107">
        <w:rPr>
          <w:rFonts w:asciiTheme="minorHAnsi" w:hAnsiTheme="minorHAnsi"/>
        </w:rPr>
        <w:t xml:space="preserve">where findings </w:t>
      </w:r>
      <w:r w:rsidR="001418DB">
        <w:rPr>
          <w:rFonts w:asciiTheme="minorHAnsi" w:hAnsiTheme="minorHAnsi"/>
        </w:rPr>
        <w:t xml:space="preserve">were compared </w:t>
      </w:r>
      <w:r w:rsidR="00B27107">
        <w:rPr>
          <w:rFonts w:asciiTheme="minorHAnsi" w:hAnsiTheme="minorHAnsi"/>
        </w:rPr>
        <w:t xml:space="preserve">with those of the previous DIA surveys (conducted in 1985, 1990, 1995, 2000 and 2005) to gain a greater understanding of long-term trends in gambling behaviour </w:t>
      </w:r>
      <w:r w:rsidR="00B27107">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B27107">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w:t>
      </w:r>
      <w:r w:rsidR="00B27107">
        <w:rPr>
          <w:rFonts w:asciiTheme="minorHAnsi" w:hAnsiTheme="minorHAnsi"/>
        </w:rPr>
        <w:fldChar w:fldCharType="end"/>
      </w:r>
      <w:r w:rsidR="00B27107">
        <w:rPr>
          <w:rFonts w:asciiTheme="minorHAnsi" w:hAnsiTheme="minorHAnsi"/>
        </w:rPr>
        <w:t xml:space="preserve">.  Overall, gambling participation for most activities in New Zealand </w:t>
      </w:r>
      <w:r w:rsidR="00B27107">
        <w:rPr>
          <w:rFonts w:asciiTheme="minorHAnsi" w:hAnsiTheme="minorHAnsi"/>
        </w:rPr>
        <w:lastRenderedPageBreak/>
        <w:t xml:space="preserve">appeared to increase across the earlier </w:t>
      </w:r>
      <w:r w:rsidR="008E1975">
        <w:rPr>
          <w:rFonts w:asciiTheme="minorHAnsi" w:hAnsiTheme="minorHAnsi"/>
        </w:rPr>
        <w:t>timeframes/</w:t>
      </w:r>
      <w:r w:rsidR="00B27107">
        <w:rPr>
          <w:rFonts w:asciiTheme="minorHAnsi" w:hAnsiTheme="minorHAnsi"/>
        </w:rPr>
        <w:t xml:space="preserve">studies and then drop off </w:t>
      </w:r>
      <w:r w:rsidR="00E94F77">
        <w:rPr>
          <w:rFonts w:asciiTheme="minorHAnsi" w:hAnsiTheme="minorHAnsi"/>
        </w:rPr>
        <w:t>from</w:t>
      </w:r>
      <w:r w:rsidR="008E1975">
        <w:rPr>
          <w:rFonts w:asciiTheme="minorHAnsi" w:hAnsiTheme="minorHAnsi"/>
        </w:rPr>
        <w:t xml:space="preserve"> the late 1990s </w:t>
      </w:r>
      <w:r w:rsidR="00E94F77">
        <w:rPr>
          <w:rFonts w:asciiTheme="minorHAnsi" w:hAnsiTheme="minorHAnsi"/>
        </w:rPr>
        <w:t xml:space="preserve">onwards </w:t>
      </w:r>
      <w:r w:rsidR="00E94F77">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E94F77">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w:t>
      </w:r>
      <w:r w:rsidR="00E94F77">
        <w:rPr>
          <w:rFonts w:asciiTheme="minorHAnsi" w:hAnsiTheme="minorHAnsi"/>
        </w:rPr>
        <w:fldChar w:fldCharType="end"/>
      </w:r>
      <w:r w:rsidR="0054081C">
        <w:rPr>
          <w:rFonts w:asciiTheme="minorHAnsi" w:hAnsiTheme="minorHAnsi"/>
        </w:rPr>
        <w:t>, in-line with findings from the present study</w:t>
      </w:r>
      <w:r w:rsidR="001418DB">
        <w:rPr>
          <w:rFonts w:asciiTheme="minorHAnsi" w:hAnsiTheme="minorHAnsi"/>
        </w:rPr>
        <w:t xml:space="preserve">. </w:t>
      </w:r>
    </w:p>
    <w:p w14:paraId="41C1B663" w14:textId="28A2F3C3" w:rsidR="00CC0CD2" w:rsidRDefault="008A58D4" w:rsidP="00A52C71">
      <w:pPr>
        <w:rPr>
          <w:rFonts w:asciiTheme="minorHAnsi" w:hAnsiTheme="minorHAnsi"/>
        </w:rPr>
      </w:pPr>
      <w:r>
        <w:rPr>
          <w:rFonts w:asciiTheme="minorHAnsi" w:hAnsiTheme="minorHAnsi"/>
        </w:rPr>
        <w:t>While a</w:t>
      </w:r>
      <w:r w:rsidR="00405218" w:rsidRPr="00405218">
        <w:rPr>
          <w:rFonts w:asciiTheme="minorHAnsi" w:hAnsiTheme="minorHAnsi"/>
        </w:rPr>
        <w:t>pproximately one-third of adults had gambled on</w:t>
      </w:r>
      <w:r w:rsidR="0082147C">
        <w:rPr>
          <w:rFonts w:asciiTheme="minorHAnsi" w:hAnsiTheme="minorHAnsi"/>
        </w:rPr>
        <w:t xml:space="preserve"> only</w:t>
      </w:r>
      <w:r w:rsidR="00405218" w:rsidRPr="00405218">
        <w:rPr>
          <w:rFonts w:asciiTheme="minorHAnsi" w:hAnsiTheme="minorHAnsi"/>
        </w:rPr>
        <w:t xml:space="preserve"> one activity in the last 12 months</w:t>
      </w:r>
      <w:r w:rsidR="0082147C">
        <w:rPr>
          <w:rFonts w:asciiTheme="minorHAnsi" w:hAnsiTheme="minorHAnsi"/>
        </w:rPr>
        <w:t>,</w:t>
      </w:r>
      <w:r w:rsidR="00405218" w:rsidRPr="00405218">
        <w:rPr>
          <w:rFonts w:asciiTheme="minorHAnsi" w:hAnsiTheme="minorHAnsi"/>
        </w:rPr>
        <w:t xml:space="preserve"> a small proportion (three percent) had gambled on </w:t>
      </w:r>
      <w:r w:rsidR="0082147C">
        <w:rPr>
          <w:rFonts w:asciiTheme="minorHAnsi" w:hAnsiTheme="minorHAnsi"/>
        </w:rPr>
        <w:t>‘</w:t>
      </w:r>
      <w:r w:rsidR="00405218" w:rsidRPr="00405218">
        <w:rPr>
          <w:rFonts w:asciiTheme="minorHAnsi" w:hAnsiTheme="minorHAnsi"/>
        </w:rPr>
        <w:t>four or more</w:t>
      </w:r>
      <w:r w:rsidR="0082147C">
        <w:rPr>
          <w:rFonts w:asciiTheme="minorHAnsi" w:hAnsiTheme="minorHAnsi"/>
        </w:rPr>
        <w:t>’</w:t>
      </w:r>
      <w:r w:rsidR="00405218" w:rsidRPr="00405218">
        <w:rPr>
          <w:rFonts w:asciiTheme="minorHAnsi" w:hAnsiTheme="minorHAnsi"/>
        </w:rPr>
        <w:t xml:space="preserve"> activities.  Gambling on a greater number of activities was more prevalent amongst males, younger age groups, Māori and European/Other, those who lived in urban locations, and people who had gambled on Keno, casino tables, and </w:t>
      </w:r>
      <w:r w:rsidR="0082147C">
        <w:rPr>
          <w:rFonts w:asciiTheme="minorHAnsi" w:hAnsiTheme="minorHAnsi"/>
        </w:rPr>
        <w:t>EGMs</w:t>
      </w:r>
      <w:r w:rsidR="00405218" w:rsidRPr="00405218">
        <w:rPr>
          <w:rFonts w:asciiTheme="minorHAnsi" w:hAnsiTheme="minorHAnsi"/>
        </w:rPr>
        <w:t xml:space="preserve"> (casino and/or non-casino). </w:t>
      </w:r>
      <w:r w:rsidR="00A271B6">
        <w:rPr>
          <w:rFonts w:asciiTheme="minorHAnsi" w:hAnsiTheme="minorHAnsi"/>
        </w:rPr>
        <w:t xml:space="preserve"> This is inconsistent with</w:t>
      </w:r>
      <w:r w:rsidR="00A52C71">
        <w:rPr>
          <w:rFonts w:asciiTheme="minorHAnsi" w:hAnsiTheme="minorHAnsi"/>
        </w:rPr>
        <w:t xml:space="preserve"> both</w:t>
      </w:r>
      <w:r w:rsidR="00A271B6">
        <w:rPr>
          <w:rFonts w:asciiTheme="minorHAnsi" w:hAnsiTheme="minorHAnsi"/>
        </w:rPr>
        <w:t xml:space="preserve"> the National Gambling Study</w:t>
      </w:r>
      <w:r w:rsidR="00A52C71" w:rsidRPr="00A52C71">
        <w:rPr>
          <w:rFonts w:asciiTheme="minorHAnsi" w:hAnsiTheme="minorHAnsi"/>
        </w:rPr>
        <w:t xml:space="preserve"> </w:t>
      </w:r>
      <w:r w:rsidR="00A52C71">
        <w:rPr>
          <w:rFonts w:asciiTheme="minorHAnsi" w:hAnsiTheme="minorHAnsi"/>
        </w:rPr>
        <w:t>and the Health and Lifestyles Survey which reported that one</w:t>
      </w:r>
      <w:r w:rsidR="00392BF5">
        <w:rPr>
          <w:rFonts w:asciiTheme="minorHAnsi" w:hAnsiTheme="minorHAnsi"/>
        </w:rPr>
        <w:t>-fifth</w:t>
      </w:r>
      <w:r w:rsidR="00A52C71">
        <w:rPr>
          <w:rFonts w:asciiTheme="minorHAnsi" w:hAnsiTheme="minorHAnsi"/>
        </w:rPr>
        <w:t xml:space="preserve"> and one-</w:t>
      </w:r>
      <w:r w:rsidR="00392BF5">
        <w:rPr>
          <w:rFonts w:asciiTheme="minorHAnsi" w:hAnsiTheme="minorHAnsi"/>
        </w:rPr>
        <w:t>quarter</w:t>
      </w:r>
      <w:r w:rsidR="00A52C71">
        <w:rPr>
          <w:rFonts w:asciiTheme="minorHAnsi" w:hAnsiTheme="minorHAnsi"/>
        </w:rPr>
        <w:t xml:space="preserve"> (respectively) had gambled on </w:t>
      </w:r>
      <w:r w:rsidR="0082147C">
        <w:rPr>
          <w:rFonts w:asciiTheme="minorHAnsi" w:hAnsiTheme="minorHAnsi"/>
        </w:rPr>
        <w:t>‘</w:t>
      </w:r>
      <w:r w:rsidR="00A52C71">
        <w:rPr>
          <w:rFonts w:asciiTheme="minorHAnsi" w:hAnsiTheme="minorHAnsi"/>
        </w:rPr>
        <w:t>four or mor</w:t>
      </w:r>
      <w:r w:rsidR="0082147C">
        <w:rPr>
          <w:rFonts w:asciiTheme="minorHAnsi" w:hAnsiTheme="minorHAnsi"/>
        </w:rPr>
        <w:t>e’</w:t>
      </w:r>
      <w:r w:rsidR="00A52C71">
        <w:rPr>
          <w:rFonts w:asciiTheme="minorHAnsi" w:hAnsiTheme="minorHAnsi"/>
        </w:rPr>
        <w:t xml:space="preserve"> activities </w:t>
      </w:r>
      <w:r w:rsidR="00A52C71">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&lt;EndNote&gt;&lt;Cite&gt;&lt;Author&gt;Tu&lt;/Author&gt;&lt;Year&gt;2013&lt;/Year&gt;&lt;RecNum&gt;916&lt;/RecNum&gt;&lt;DisplayText&gt;(Abbott et al., 2014b; 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Agency&lt;/publisher&gt;&lt;urls&gt;&lt;/urls&gt;&lt;/record&gt;&lt;/Cite&gt;&lt;Cite&gt;&lt;Author&gt;Abbott&lt;/Author&gt;&lt;Year&gt;2014&lt;/Year&gt;&lt;RecNum&gt;917&lt;/RecNum&gt;&lt;record&gt;&lt;rec-number&gt;917&lt;/rec-number&gt;&lt;foreign-keys&gt;&lt;key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A52C71">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 xml:space="preserve">; </w:t>
      </w:r>
      <w:hyperlink w:anchor="_ENREF_60" w:tooltip="Tu, 2013 #916" w:history="1">
        <w:r w:rsidR="00765F46">
          <w:rPr>
            <w:rFonts w:asciiTheme="minorHAnsi" w:hAnsiTheme="minorHAnsi"/>
            <w:noProof/>
          </w:rPr>
          <w:t>Tu, 2013</w:t>
        </w:r>
      </w:hyperlink>
      <w:r w:rsidR="0020358E">
        <w:rPr>
          <w:rFonts w:asciiTheme="minorHAnsi" w:hAnsiTheme="minorHAnsi"/>
          <w:noProof/>
        </w:rPr>
        <w:t>)</w:t>
      </w:r>
      <w:r w:rsidR="00A52C71">
        <w:rPr>
          <w:rFonts w:asciiTheme="minorHAnsi" w:hAnsiTheme="minorHAnsi"/>
        </w:rPr>
        <w:fldChar w:fldCharType="end"/>
      </w:r>
      <w:r w:rsidR="00A52C71">
        <w:rPr>
          <w:rFonts w:asciiTheme="minorHAnsi" w:hAnsiTheme="minorHAnsi"/>
        </w:rPr>
        <w:t>.</w:t>
      </w:r>
      <w:r w:rsidR="0055492B">
        <w:rPr>
          <w:rFonts w:asciiTheme="minorHAnsi" w:hAnsiTheme="minorHAnsi"/>
        </w:rPr>
        <w:t xml:space="preserve">  As with past-year gambling rates, discrepancies between the number of activities reported by the </w:t>
      </w:r>
      <w:r w:rsidR="00A04F87">
        <w:rPr>
          <w:rFonts w:asciiTheme="minorHAnsi" w:hAnsiTheme="minorHAnsi"/>
        </w:rPr>
        <w:t xml:space="preserve">2011/12 NZHS and the </w:t>
      </w:r>
      <w:r w:rsidR="0055492B">
        <w:rPr>
          <w:rFonts w:asciiTheme="minorHAnsi" w:hAnsiTheme="minorHAnsi"/>
        </w:rPr>
        <w:t xml:space="preserve">National Gambling Study </w:t>
      </w:r>
      <w:r w:rsidR="00F62ED7">
        <w:rPr>
          <w:rFonts w:asciiTheme="minorHAnsi" w:hAnsiTheme="minorHAnsi"/>
        </w:rPr>
        <w:t>may</w:t>
      </w:r>
      <w:r w:rsidR="0055492B">
        <w:rPr>
          <w:rFonts w:asciiTheme="minorHAnsi" w:hAnsiTheme="minorHAnsi"/>
        </w:rPr>
        <w:t xml:space="preserve"> be </w:t>
      </w:r>
      <w:r w:rsidR="000A1794">
        <w:rPr>
          <w:rFonts w:asciiTheme="minorHAnsi" w:hAnsiTheme="minorHAnsi"/>
        </w:rPr>
        <w:t xml:space="preserve">partially </w:t>
      </w:r>
      <w:r w:rsidR="0055492B">
        <w:rPr>
          <w:rFonts w:asciiTheme="minorHAnsi" w:hAnsiTheme="minorHAnsi"/>
        </w:rPr>
        <w:t xml:space="preserve">attributable to </w:t>
      </w:r>
      <w:r w:rsidR="00F62ED7">
        <w:rPr>
          <w:rFonts w:asciiTheme="minorHAnsi" w:hAnsiTheme="minorHAnsi"/>
        </w:rPr>
        <w:t xml:space="preserve">differences in </w:t>
      </w:r>
      <w:r w:rsidR="0055492B">
        <w:rPr>
          <w:rFonts w:asciiTheme="minorHAnsi" w:hAnsiTheme="minorHAnsi"/>
        </w:rPr>
        <w:t xml:space="preserve">the level of questions/prompts and range of specified gambling activities in the </w:t>
      </w:r>
      <w:r w:rsidR="00F62ED7">
        <w:rPr>
          <w:rFonts w:asciiTheme="minorHAnsi" w:hAnsiTheme="minorHAnsi"/>
        </w:rPr>
        <w:t xml:space="preserve">two studies.  As mentioned previously (and </w:t>
      </w:r>
      <w:r w:rsidR="00F62ED7" w:rsidRPr="006A066C">
        <w:rPr>
          <w:rFonts w:asciiTheme="minorHAnsi" w:hAnsiTheme="minorHAnsi"/>
        </w:rPr>
        <w:t>outlined in</w:t>
      </w:r>
      <w:r w:rsidR="00F62ED7">
        <w:rPr>
          <w:rFonts w:asciiTheme="minorHAnsi" w:hAnsiTheme="minorHAnsi"/>
        </w:rPr>
        <w:t xml:space="preserve"> Table 18</w:t>
      </w:r>
      <w:r w:rsidR="00F62ED7" w:rsidRPr="006A066C">
        <w:rPr>
          <w:rFonts w:asciiTheme="minorHAnsi" w:hAnsiTheme="minorHAnsi"/>
        </w:rPr>
        <w:t>)</w:t>
      </w:r>
      <w:r w:rsidR="00F62ED7">
        <w:rPr>
          <w:rFonts w:asciiTheme="minorHAnsi" w:hAnsiTheme="minorHAnsi"/>
        </w:rPr>
        <w:t xml:space="preserve">, the </w:t>
      </w:r>
      <w:r w:rsidR="0055492B">
        <w:rPr>
          <w:rFonts w:asciiTheme="minorHAnsi" w:hAnsiTheme="minorHAnsi"/>
        </w:rPr>
        <w:t>National Gambling Study</w:t>
      </w:r>
      <w:r w:rsidR="00F62ED7">
        <w:rPr>
          <w:rFonts w:asciiTheme="minorHAnsi" w:hAnsiTheme="minorHAnsi"/>
        </w:rPr>
        <w:t xml:space="preserve"> included </w:t>
      </w:r>
      <w:r w:rsidR="00935B6A">
        <w:rPr>
          <w:rFonts w:asciiTheme="minorHAnsi" w:hAnsiTheme="minorHAnsi"/>
        </w:rPr>
        <w:t xml:space="preserve">more prompts and </w:t>
      </w:r>
      <w:r w:rsidR="00F62ED7">
        <w:rPr>
          <w:rFonts w:asciiTheme="minorHAnsi" w:hAnsiTheme="minorHAnsi"/>
        </w:rPr>
        <w:t xml:space="preserve">a more comprehensive range of gambling activities </w:t>
      </w:r>
      <w:r w:rsidR="00935B6A">
        <w:rPr>
          <w:rFonts w:asciiTheme="minorHAnsi" w:hAnsiTheme="minorHAnsi"/>
        </w:rPr>
        <w:t>than the 2011/12 NZHS.</w:t>
      </w:r>
      <w:r w:rsidR="0055492B" w:rsidRPr="006A066C">
        <w:rPr>
          <w:rFonts w:asciiTheme="minorHAnsi" w:hAnsiTheme="minorHAnsi"/>
        </w:rPr>
        <w:t xml:space="preserve"> </w:t>
      </w:r>
      <w:r w:rsidR="00392BF5" w:rsidRPr="006A066C">
        <w:rPr>
          <w:rFonts w:asciiTheme="minorHAnsi" w:hAnsiTheme="minorHAnsi"/>
        </w:rPr>
        <w:t xml:space="preserve">  </w:t>
      </w:r>
      <w:r w:rsidR="000A1794">
        <w:rPr>
          <w:rFonts w:asciiTheme="minorHAnsi" w:hAnsiTheme="minorHAnsi"/>
        </w:rPr>
        <w:t xml:space="preserve">However, this does not explain </w:t>
      </w:r>
      <w:r w:rsidR="00A04F87">
        <w:rPr>
          <w:rFonts w:asciiTheme="minorHAnsi" w:hAnsiTheme="minorHAnsi"/>
        </w:rPr>
        <w:t xml:space="preserve">why the 2011/12 NZHS resulted in much lower rates than the </w:t>
      </w:r>
      <w:r w:rsidR="000D6540">
        <w:rPr>
          <w:rFonts w:asciiTheme="minorHAnsi" w:hAnsiTheme="minorHAnsi"/>
        </w:rPr>
        <w:t xml:space="preserve">Health and Lifestyles Survey, as </w:t>
      </w:r>
      <w:r w:rsidR="00A04F87">
        <w:rPr>
          <w:rFonts w:asciiTheme="minorHAnsi" w:hAnsiTheme="minorHAnsi"/>
        </w:rPr>
        <w:t>both surveys</w:t>
      </w:r>
      <w:r w:rsidR="000A1794">
        <w:rPr>
          <w:rFonts w:asciiTheme="minorHAnsi" w:hAnsiTheme="minorHAnsi"/>
        </w:rPr>
        <w:t xml:space="preserve"> asked participants about a similar number of gambling activities.  </w:t>
      </w:r>
    </w:p>
    <w:p w14:paraId="3F7ED346" w14:textId="66583A4F" w:rsidR="00405218" w:rsidRPr="009D73E9" w:rsidRDefault="00405218" w:rsidP="00A52C71">
      <w:pPr>
        <w:rPr>
          <w:rFonts w:asciiTheme="minorHAnsi" w:hAnsiTheme="minorHAnsi"/>
        </w:rPr>
      </w:pPr>
      <w:r w:rsidRPr="009D73E9">
        <w:rPr>
          <w:rFonts w:asciiTheme="minorHAnsi" w:hAnsiTheme="minorHAnsi"/>
        </w:rPr>
        <w:t>Th</w:t>
      </w:r>
      <w:r w:rsidR="00CC0CD2">
        <w:rPr>
          <w:rFonts w:asciiTheme="minorHAnsi" w:hAnsiTheme="minorHAnsi"/>
        </w:rPr>
        <w:t>e current study observed that the n</w:t>
      </w:r>
      <w:r w:rsidRPr="009D73E9">
        <w:rPr>
          <w:rFonts w:asciiTheme="minorHAnsi" w:hAnsiTheme="minorHAnsi"/>
        </w:rPr>
        <w:t xml:space="preserve">umber of gambling activities </w:t>
      </w:r>
      <w:r w:rsidR="00A61C3D">
        <w:rPr>
          <w:rFonts w:asciiTheme="minorHAnsi" w:hAnsiTheme="minorHAnsi"/>
        </w:rPr>
        <w:t xml:space="preserve">that people participate in has </w:t>
      </w:r>
      <w:r w:rsidRPr="009D73E9">
        <w:rPr>
          <w:rFonts w:asciiTheme="minorHAnsi" w:hAnsiTheme="minorHAnsi"/>
        </w:rPr>
        <w:t xml:space="preserve">significantly decreased over time - there was an overall decreasing trend with people participating in fewer activities with each survey wave (NZHS waves 2002/03, 2006/07, 2011/12). </w:t>
      </w:r>
      <w:r w:rsidR="00A52C71">
        <w:rPr>
          <w:rFonts w:asciiTheme="minorHAnsi" w:hAnsiTheme="minorHAnsi"/>
        </w:rPr>
        <w:t xml:space="preserve"> This is in-line with the decrease observed in the National surveys from 1995 onwards</w:t>
      </w:r>
      <w:r w:rsidR="00A61C3D">
        <w:rPr>
          <w:rFonts w:asciiTheme="minorHAnsi" w:hAnsiTheme="minorHAnsi"/>
        </w:rPr>
        <w:t xml:space="preserve"> </w:t>
      </w:r>
      <w:r w:rsidR="00A61C3D">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&lt;EndNote&gt;&lt;Cite&gt;&lt;Author&gt;Abbott&lt;/Author&gt;&lt;Year&gt;2014&lt;/Year&gt;&lt;RecNum&gt;917&lt;/RecNum&gt;&lt;DisplayText&gt;(Abbott et al., 2014b)&lt;/DisplayText&gt;&lt;record&gt;&lt;rec-number&gt;917&lt;/rec-number&gt;&lt;foreign-keys&gt;&lt;key app="EN" db-id="9pzse05rcvx956etremxfzdh9fzdxvd95rp2"&gt;917&lt;/key&gt;&lt;/foreign-keys&gt;&lt;ref-type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Overview and Gambling Participation. Report Number One&lt;/title&gt;&lt;/titles&gt;&lt;dates&gt;&lt;year&gt;2014&lt;/year&gt;&lt;/dates&gt;&lt;pub-location&gt;Auckland&lt;/pub-location&gt;&lt;publisher&gt;Gambling and Addictions Research Centre, Auckland University of Technology&lt;/publisher&gt;&lt;urls&gt;&lt;/urls&gt;&lt;/record&gt;&lt;/Cite&gt;&lt;/EndNote&gt;</w:instrText>
      </w:r>
      <w:r w:rsidR="00A61C3D">
        <w:rPr>
          <w:rFonts w:asciiTheme="minorHAnsi" w:hAnsiTheme="minorHAnsi"/>
        </w:rPr>
        <w:fldChar w:fldCharType="separate"/>
      </w:r>
      <w:r w:rsidR="0020358E">
        <w:rPr>
          <w:rFonts w:asciiTheme="minorHAnsi" w:hAnsiTheme="minorHAnsi"/>
          <w:noProof/>
        </w:rPr>
        <w:t>(</w:t>
      </w:r>
      <w:hyperlink w:anchor="_ENREF_2" w:tooltip="Abbott, 2014 #917" w:history="1">
        <w:r w:rsidR="00765F46">
          <w:rPr>
            <w:rFonts w:asciiTheme="minorHAnsi" w:hAnsiTheme="minorHAnsi"/>
            <w:noProof/>
          </w:rPr>
          <w:t>Abbott et al., 2014b</w:t>
        </w:r>
      </w:hyperlink>
      <w:r w:rsidR="0020358E">
        <w:rPr>
          <w:rFonts w:asciiTheme="minorHAnsi" w:hAnsiTheme="minorHAnsi"/>
          <w:noProof/>
        </w:rPr>
        <w:t>)</w:t>
      </w:r>
      <w:r w:rsidR="00A61C3D">
        <w:rPr>
          <w:rFonts w:asciiTheme="minorHAnsi" w:hAnsiTheme="minorHAnsi"/>
        </w:rPr>
        <w:fldChar w:fldCharType="end"/>
      </w:r>
      <w:r w:rsidR="00A61C3D">
        <w:rPr>
          <w:rFonts w:asciiTheme="minorHAnsi" w:hAnsiTheme="minorHAnsi"/>
        </w:rPr>
        <w:t>.</w:t>
      </w:r>
    </w:p>
    <w:p w14:paraId="7F7C0010" w14:textId="77777777" w:rsidR="005D6039" w:rsidRPr="00C621EC" w:rsidRDefault="005D6039" w:rsidP="00F06924">
      <w:pPr>
        <w:rPr>
          <w:rFonts w:asciiTheme="minorHAnsi" w:hAnsiTheme="minorHAnsi"/>
        </w:rPr>
      </w:pPr>
    </w:p>
    <w:p w14:paraId="531B6BA2" w14:textId="77777777" w:rsidR="00F06924" w:rsidRDefault="00F06924" w:rsidP="004F129A">
      <w:pPr>
        <w:pStyle w:val="Heading2"/>
        <w:numPr>
          <w:ilvl w:val="1"/>
          <w:numId w:val="63"/>
        </w:numPr>
      </w:pPr>
      <w:bookmarkStart w:id="192" w:name="_Toc403833204"/>
      <w:r>
        <w:t xml:space="preserve">Problematic </w:t>
      </w:r>
      <w:r w:rsidRPr="00AF3A24">
        <w:t>gambling</w:t>
      </w:r>
      <w:bookmarkEnd w:id="192"/>
    </w:p>
    <w:p w14:paraId="5DFD0F93" w14:textId="525BEB36" w:rsidR="00A04F87" w:rsidRDefault="00C21B45" w:rsidP="003F5D19">
      <w:pPr>
        <w:rPr>
          <w:rFonts w:asciiTheme="minorHAnsi" w:hAnsiTheme="minorHAnsi"/>
        </w:rPr>
      </w:pPr>
      <w:r>
        <w:rPr>
          <w:rFonts w:asciiTheme="minorHAnsi" w:hAnsiTheme="minorHAnsi"/>
        </w:rPr>
        <w:t>This study found that 3.2%, or an</w:t>
      </w:r>
      <w:r w:rsidR="00521854">
        <w:rPr>
          <w:rFonts w:asciiTheme="minorHAnsi" w:hAnsiTheme="minorHAnsi"/>
        </w:rPr>
        <w:t xml:space="preserve"> estimated 112,800 adults, </w:t>
      </w:r>
      <w:r w:rsidR="00DE2F14">
        <w:rPr>
          <w:rFonts w:asciiTheme="minorHAnsi" w:hAnsiTheme="minorHAnsi"/>
        </w:rPr>
        <w:t xml:space="preserve">were experiencing some level of harm and/or </w:t>
      </w:r>
      <w:r w:rsidR="00DE2F14" w:rsidRPr="008E0AFA">
        <w:rPr>
          <w:rFonts w:asciiTheme="minorHAnsi" w:hAnsiTheme="minorHAnsi"/>
          <w:szCs w:val="22"/>
        </w:rPr>
        <w:t>negative consequences</w:t>
      </w:r>
      <w:r w:rsidR="00DE2F14">
        <w:rPr>
          <w:rFonts w:asciiTheme="minorHAnsi" w:hAnsiTheme="minorHAnsi"/>
        </w:rPr>
        <w:t xml:space="preserve"> as a result of their gambling</w:t>
      </w:r>
      <w:r w:rsidR="00343CAA">
        <w:rPr>
          <w:rFonts w:asciiTheme="minorHAnsi" w:hAnsiTheme="minorHAnsi"/>
        </w:rPr>
        <w:t>;</w:t>
      </w:r>
      <w:r w:rsidR="00DE2F14">
        <w:rPr>
          <w:rFonts w:asciiTheme="minorHAnsi" w:hAnsiTheme="minorHAnsi"/>
        </w:rPr>
        <w:t xml:space="preserve"> </w:t>
      </w:r>
      <w:r w:rsidR="002C6485">
        <w:rPr>
          <w:rFonts w:asciiTheme="minorHAnsi" w:hAnsiTheme="minorHAnsi"/>
        </w:rPr>
        <w:t>0.2</w:t>
      </w:r>
      <w:r w:rsidR="00CC00BD">
        <w:rPr>
          <w:rFonts w:asciiTheme="minorHAnsi" w:hAnsiTheme="minorHAnsi"/>
        </w:rPr>
        <w:t>%</w:t>
      </w:r>
      <w:r w:rsidR="00DE2F14">
        <w:rPr>
          <w:rFonts w:asciiTheme="minorHAnsi" w:hAnsiTheme="minorHAnsi"/>
        </w:rPr>
        <w:t xml:space="preserve"> satisfied the PGSI </w:t>
      </w:r>
      <w:r w:rsidR="0052131F">
        <w:rPr>
          <w:rFonts w:asciiTheme="minorHAnsi" w:hAnsiTheme="minorHAnsi"/>
        </w:rPr>
        <w:t xml:space="preserve">past-year </w:t>
      </w:r>
      <w:r w:rsidR="00DE2F14">
        <w:rPr>
          <w:rFonts w:asciiTheme="minorHAnsi" w:hAnsiTheme="minorHAnsi"/>
        </w:rPr>
        <w:t xml:space="preserve">criteria for </w:t>
      </w:r>
      <w:r w:rsidR="002C6485">
        <w:rPr>
          <w:rFonts w:asciiTheme="minorHAnsi" w:hAnsiTheme="minorHAnsi"/>
        </w:rPr>
        <w:t>problem gambling, 1.0% were categor</w:t>
      </w:r>
      <w:r w:rsidR="002C6485" w:rsidRPr="003D1E5B">
        <w:rPr>
          <w:rFonts w:asciiTheme="minorHAnsi" w:hAnsiTheme="minorHAnsi"/>
        </w:rPr>
        <w:t xml:space="preserve">ised as </w:t>
      </w:r>
      <w:r w:rsidR="00DE2F14" w:rsidRPr="003D1E5B">
        <w:rPr>
          <w:rFonts w:asciiTheme="minorHAnsi" w:hAnsiTheme="minorHAnsi"/>
        </w:rPr>
        <w:t>moderate-risk</w:t>
      </w:r>
      <w:r w:rsidR="00D236ED">
        <w:rPr>
          <w:rFonts w:asciiTheme="minorHAnsi" w:hAnsiTheme="minorHAnsi"/>
        </w:rPr>
        <w:t xml:space="preserve">  </w:t>
      </w:r>
      <w:r w:rsidR="00CC00BD">
        <w:rPr>
          <w:rFonts w:asciiTheme="minorHAnsi" w:hAnsiTheme="minorHAnsi"/>
        </w:rPr>
        <w:t>and a further 2%</w:t>
      </w:r>
      <w:r w:rsidR="00DE2F14">
        <w:rPr>
          <w:rFonts w:asciiTheme="minorHAnsi" w:hAnsiTheme="minorHAnsi"/>
        </w:rPr>
        <w:t xml:space="preserve"> satisfied the criteria for low-risk gambling. </w:t>
      </w:r>
      <w:r w:rsidR="0052131F">
        <w:rPr>
          <w:rFonts w:asciiTheme="minorHAnsi" w:hAnsiTheme="minorHAnsi"/>
        </w:rPr>
        <w:t xml:space="preserve"> </w:t>
      </w:r>
      <w:r w:rsidR="00101B6D">
        <w:rPr>
          <w:rFonts w:asciiTheme="minorHAnsi" w:hAnsiTheme="minorHAnsi"/>
        </w:rPr>
        <w:lastRenderedPageBreak/>
        <w:t>T</w:t>
      </w:r>
      <w:r w:rsidR="0052131F">
        <w:rPr>
          <w:rFonts w:asciiTheme="minorHAnsi" w:hAnsiTheme="minorHAnsi"/>
        </w:rPr>
        <w:t>h</w:t>
      </w:r>
      <w:r w:rsidR="00DE08A9">
        <w:rPr>
          <w:rFonts w:asciiTheme="minorHAnsi" w:hAnsiTheme="minorHAnsi"/>
        </w:rPr>
        <w:t>e</w:t>
      </w:r>
      <w:r w:rsidR="0052131F">
        <w:rPr>
          <w:rFonts w:asciiTheme="minorHAnsi" w:hAnsiTheme="minorHAnsi"/>
        </w:rPr>
        <w:t>s</w:t>
      </w:r>
      <w:r w:rsidR="00DE08A9">
        <w:rPr>
          <w:rFonts w:asciiTheme="minorHAnsi" w:hAnsiTheme="minorHAnsi"/>
        </w:rPr>
        <w:t xml:space="preserve">e estimates are </w:t>
      </w:r>
      <w:r w:rsidR="00F002B8">
        <w:rPr>
          <w:rFonts w:asciiTheme="minorHAnsi" w:hAnsiTheme="minorHAnsi"/>
        </w:rPr>
        <w:t xml:space="preserve">lower </w:t>
      </w:r>
      <w:r w:rsidR="00DE08A9">
        <w:rPr>
          <w:rFonts w:asciiTheme="minorHAnsi" w:hAnsiTheme="minorHAnsi"/>
        </w:rPr>
        <w:t>than those obtained by</w:t>
      </w:r>
      <w:r w:rsidR="0052131F">
        <w:rPr>
          <w:rFonts w:asciiTheme="minorHAnsi" w:hAnsiTheme="minorHAnsi"/>
        </w:rPr>
        <w:t xml:space="preserve"> </w:t>
      </w:r>
      <w:r w:rsidR="00A04F87">
        <w:rPr>
          <w:rFonts w:asciiTheme="minorHAnsi" w:hAnsiTheme="minorHAnsi"/>
        </w:rPr>
        <w:t xml:space="preserve">both </w:t>
      </w:r>
      <w:r w:rsidR="0052131F">
        <w:rPr>
          <w:rFonts w:asciiTheme="minorHAnsi" w:hAnsiTheme="minorHAnsi"/>
        </w:rPr>
        <w:t>the National Gambling Study</w:t>
      </w:r>
      <w:r w:rsidR="00101B6D" w:rsidRPr="00101B6D">
        <w:rPr>
          <w:rFonts w:asciiTheme="minorHAnsi" w:hAnsiTheme="minorHAnsi"/>
        </w:rPr>
        <w:t xml:space="preserve"> </w:t>
      </w:r>
      <w:r w:rsidR="000A1794">
        <w:rPr>
          <w:rFonts w:asciiTheme="minorHAnsi" w:hAnsiTheme="minorHAnsi"/>
        </w:rPr>
        <w:t>(</w:t>
      </w:r>
      <w:r w:rsidR="002C6485">
        <w:rPr>
          <w:rFonts w:asciiTheme="minorHAnsi" w:hAnsiTheme="minorHAnsi"/>
        </w:rPr>
        <w:t xml:space="preserve">0.7% problem gambling, 1.8% moderate-risk </w:t>
      </w:r>
      <w:r w:rsidR="000A1794">
        <w:rPr>
          <w:rFonts w:asciiTheme="minorHAnsi" w:hAnsiTheme="minorHAnsi"/>
        </w:rPr>
        <w:t xml:space="preserve">and a further </w:t>
      </w:r>
      <w:r w:rsidR="00DA32E4">
        <w:rPr>
          <w:rFonts w:asciiTheme="minorHAnsi" w:hAnsiTheme="minorHAnsi"/>
        </w:rPr>
        <w:t>5%</w:t>
      </w:r>
      <w:r w:rsidR="000A1794">
        <w:rPr>
          <w:rFonts w:asciiTheme="minorHAnsi" w:hAnsiTheme="minorHAnsi"/>
        </w:rPr>
        <w:t xml:space="preserve"> low-risk gambling </w:t>
      </w:r>
      <w:r w:rsidR="000A1794">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0A1794">
        <w:rPr>
          <w:rFonts w:asciiTheme="minorHAnsi" w:hAnsiTheme="minorHAnsi"/>
        </w:rPr>
        <w:fldChar w:fldCharType="separate"/>
      </w:r>
      <w:r w:rsidR="000A1794">
        <w:rPr>
          <w:rFonts w:asciiTheme="minorHAnsi" w:hAnsiTheme="minorHAnsi"/>
          <w:noProof/>
        </w:rPr>
        <w:t>(</w:t>
      </w:r>
      <w:hyperlink w:anchor="_ENREF_1" w:tooltip="Abbott, 2014 #921" w:history="1">
        <w:r w:rsidR="00765F46">
          <w:rPr>
            <w:rFonts w:asciiTheme="minorHAnsi" w:hAnsiTheme="minorHAnsi"/>
            <w:noProof/>
          </w:rPr>
          <w:t>Abbott et al., 2014a</w:t>
        </w:r>
      </w:hyperlink>
      <w:r w:rsidR="000A1794">
        <w:rPr>
          <w:rFonts w:asciiTheme="minorHAnsi" w:hAnsiTheme="minorHAnsi"/>
          <w:noProof/>
        </w:rPr>
        <w:t>)</w:t>
      </w:r>
      <w:r w:rsidR="000A1794">
        <w:rPr>
          <w:rFonts w:asciiTheme="minorHAnsi" w:hAnsiTheme="minorHAnsi"/>
        </w:rPr>
        <w:fldChar w:fldCharType="end"/>
      </w:r>
      <w:r w:rsidR="000A1794">
        <w:rPr>
          <w:rFonts w:asciiTheme="minorHAnsi" w:hAnsiTheme="minorHAnsi"/>
        </w:rPr>
        <w:t>) and the Health and Lifestyles Survey (0.7%</w:t>
      </w:r>
      <w:r w:rsidR="00DA32E4">
        <w:rPr>
          <w:rFonts w:asciiTheme="minorHAnsi" w:hAnsiTheme="minorHAnsi"/>
        </w:rPr>
        <w:t xml:space="preserve"> problem</w:t>
      </w:r>
      <w:r w:rsidR="00627A56">
        <w:rPr>
          <w:rFonts w:asciiTheme="minorHAnsi" w:hAnsiTheme="minorHAnsi"/>
        </w:rPr>
        <w:t xml:space="preserve"> </w:t>
      </w:r>
      <w:r w:rsidR="00DA32E4">
        <w:rPr>
          <w:rFonts w:asciiTheme="minorHAnsi" w:hAnsiTheme="minorHAnsi"/>
        </w:rPr>
        <w:t xml:space="preserve">gambling and a further 2.4% moderate-risk gambling  </w:t>
      </w:r>
      <w:r w:rsidR="00DA32E4">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DA32E4">
        <w:rPr>
          <w:rFonts w:asciiTheme="minorHAnsi" w:hAnsiTheme="minorHAnsi"/>
        </w:rPr>
        <w:fldChar w:fldCharType="separate"/>
      </w:r>
      <w:r w:rsidR="00DA32E4">
        <w:rPr>
          <w:rFonts w:asciiTheme="minorHAnsi" w:hAnsiTheme="minorHAnsi"/>
          <w:noProof/>
        </w:rPr>
        <w:t>(</w:t>
      </w:r>
      <w:hyperlink w:anchor="_ENREF_60" w:tooltip="Tu, 2013 #916" w:history="1">
        <w:r w:rsidR="00765F46">
          <w:rPr>
            <w:rFonts w:asciiTheme="minorHAnsi" w:hAnsiTheme="minorHAnsi"/>
            <w:noProof/>
          </w:rPr>
          <w:t>Tu, 2013</w:t>
        </w:r>
      </w:hyperlink>
      <w:r w:rsidR="00DA32E4">
        <w:rPr>
          <w:rFonts w:asciiTheme="minorHAnsi" w:hAnsiTheme="minorHAnsi"/>
          <w:noProof/>
        </w:rPr>
        <w:t>)</w:t>
      </w:r>
      <w:r w:rsidR="00DA32E4">
        <w:rPr>
          <w:rFonts w:asciiTheme="minorHAnsi" w:hAnsiTheme="minorHAnsi"/>
        </w:rPr>
        <w:fldChar w:fldCharType="end"/>
      </w:r>
      <w:r w:rsidR="00DA32E4">
        <w:rPr>
          <w:rFonts w:asciiTheme="minorHAnsi" w:hAnsiTheme="minorHAnsi"/>
        </w:rPr>
        <w:t>)</w:t>
      </w:r>
      <w:r w:rsidR="000A1794">
        <w:rPr>
          <w:rFonts w:asciiTheme="minorHAnsi" w:hAnsiTheme="minorHAnsi"/>
        </w:rPr>
        <w:t>.</w:t>
      </w:r>
      <w:r w:rsidR="00AE042A">
        <w:rPr>
          <w:rFonts w:asciiTheme="minorHAnsi" w:hAnsiTheme="minorHAnsi"/>
        </w:rPr>
        <w:t xml:space="preserve"> </w:t>
      </w:r>
      <w:r w:rsidR="00A04F87">
        <w:rPr>
          <w:rFonts w:asciiTheme="minorHAnsi" w:hAnsiTheme="minorHAnsi"/>
        </w:rPr>
        <w:t xml:space="preserve"> While the methodological differences outlined previously may have partially contributed to the lower rates that have been observed in the 2011/12 NZHS, the </w:t>
      </w:r>
      <w:r w:rsidR="00D236ED">
        <w:rPr>
          <w:rFonts w:asciiTheme="minorHAnsi" w:hAnsiTheme="minorHAnsi"/>
        </w:rPr>
        <w:t xml:space="preserve">factors contributing to </w:t>
      </w:r>
      <w:r w:rsidR="00A04F87">
        <w:rPr>
          <w:rFonts w:asciiTheme="minorHAnsi" w:hAnsiTheme="minorHAnsi"/>
        </w:rPr>
        <w:t xml:space="preserve">these differences are unclear.  </w:t>
      </w:r>
      <w:r w:rsidR="00CC00BD">
        <w:rPr>
          <w:rFonts w:asciiTheme="minorHAnsi" w:hAnsiTheme="minorHAnsi"/>
        </w:rPr>
        <w:t xml:space="preserve"> </w:t>
      </w:r>
    </w:p>
    <w:p w14:paraId="504B5F8E" w14:textId="7738C43A" w:rsidR="003F5D19" w:rsidRDefault="00A04F87" w:rsidP="003F5D19">
      <w:pPr>
        <w:rPr>
          <w:rFonts w:asciiTheme="minorHAnsi" w:hAnsiTheme="minorHAnsi"/>
        </w:rPr>
      </w:pPr>
      <w:r>
        <w:rPr>
          <w:rFonts w:asciiTheme="minorHAnsi" w:hAnsiTheme="minorHAnsi"/>
        </w:rPr>
        <w:t>B</w:t>
      </w:r>
      <w:r w:rsidR="00AE042A">
        <w:rPr>
          <w:rFonts w:asciiTheme="minorHAnsi" w:hAnsiTheme="minorHAnsi"/>
        </w:rPr>
        <w:t>oth</w:t>
      </w:r>
      <w:r w:rsidR="0052131F">
        <w:rPr>
          <w:rFonts w:asciiTheme="minorHAnsi" w:hAnsiTheme="minorHAnsi"/>
        </w:rPr>
        <w:t xml:space="preserve"> </w:t>
      </w:r>
      <w:r w:rsidR="00AE042A">
        <w:rPr>
          <w:rFonts w:asciiTheme="minorHAnsi" w:hAnsiTheme="minorHAnsi"/>
        </w:rPr>
        <w:t xml:space="preserve">the National Gambling Study and this study </w:t>
      </w:r>
      <w:r w:rsidR="0052131F">
        <w:rPr>
          <w:rFonts w:asciiTheme="minorHAnsi" w:hAnsiTheme="minorHAnsi"/>
        </w:rPr>
        <w:t xml:space="preserve">found that loss of control, feelings of guilt and chasing losses were the most frequently endorsed items on the PGSI. </w:t>
      </w:r>
      <w:r w:rsidR="002F0F73">
        <w:rPr>
          <w:rFonts w:asciiTheme="minorHAnsi" w:hAnsiTheme="minorHAnsi"/>
        </w:rPr>
        <w:t xml:space="preserve"> </w:t>
      </w:r>
      <w:r w:rsidR="008D61CC">
        <w:rPr>
          <w:rFonts w:asciiTheme="minorHAnsi" w:hAnsiTheme="minorHAnsi"/>
        </w:rPr>
        <w:t xml:space="preserve">These findings may be useful for those working in public health to assist with the targeting of health promotion messages to adults who are experiencing gambling-related problems. </w:t>
      </w:r>
    </w:p>
    <w:p w14:paraId="769DACAA" w14:textId="7AF7D3C3" w:rsidR="003F5D19" w:rsidRDefault="003F5D19" w:rsidP="003F5D19">
      <w:pPr>
        <w:rPr>
          <w:rFonts w:asciiTheme="minorHAnsi" w:hAnsiTheme="minorHAnsi"/>
        </w:rPr>
      </w:pPr>
      <w:r>
        <w:rPr>
          <w:rFonts w:asciiTheme="minorHAnsi" w:hAnsiTheme="minorHAnsi"/>
        </w:rPr>
        <w:t xml:space="preserve">As with the National Gambling </w:t>
      </w:r>
      <w:r w:rsidR="00237E09">
        <w:rPr>
          <w:rFonts w:asciiTheme="minorHAnsi" w:hAnsiTheme="minorHAnsi"/>
        </w:rPr>
        <w:t>Study</w:t>
      </w:r>
      <w:r>
        <w:rPr>
          <w:rFonts w:asciiTheme="minorHAnsi" w:hAnsiTheme="minorHAnsi"/>
        </w:rPr>
        <w:t xml:space="preserve">, there were no </w:t>
      </w:r>
      <w:r w:rsidR="003D1E5B">
        <w:rPr>
          <w:rFonts w:asciiTheme="minorHAnsi" w:hAnsiTheme="minorHAnsi"/>
        </w:rPr>
        <w:t xml:space="preserve">significant </w:t>
      </w:r>
      <w:r>
        <w:rPr>
          <w:rFonts w:asciiTheme="minorHAnsi" w:hAnsiTheme="minorHAnsi"/>
        </w:rPr>
        <w:t>changes</w:t>
      </w:r>
      <w:r w:rsidR="00BB7AC5">
        <w:rPr>
          <w:rFonts w:asciiTheme="minorHAnsi" w:hAnsiTheme="minorHAnsi"/>
        </w:rPr>
        <w:t xml:space="preserve"> </w:t>
      </w:r>
      <w:r>
        <w:rPr>
          <w:rFonts w:asciiTheme="minorHAnsi" w:hAnsiTheme="minorHAnsi"/>
        </w:rPr>
        <w:t xml:space="preserve">over time </w:t>
      </w:r>
      <w:r w:rsidR="00BB7AC5">
        <w:rPr>
          <w:rFonts w:asciiTheme="minorHAnsi" w:hAnsiTheme="minorHAnsi"/>
        </w:rPr>
        <w:t xml:space="preserve">in the NZHS </w:t>
      </w:r>
      <w:r>
        <w:rPr>
          <w:rFonts w:asciiTheme="minorHAnsi" w:hAnsiTheme="minorHAnsi"/>
        </w:rPr>
        <w:t>(from 2006/07 to</w:t>
      </w:r>
      <w:r w:rsidRPr="00BD74CF">
        <w:rPr>
          <w:rFonts w:asciiTheme="minorHAnsi" w:hAnsiTheme="minorHAnsi"/>
        </w:rPr>
        <w:t xml:space="preserve"> 2011/12</w:t>
      </w:r>
      <w:r>
        <w:rPr>
          <w:rFonts w:asciiTheme="minorHAnsi" w:hAnsiTheme="minorHAnsi"/>
        </w:rPr>
        <w:t>) in the prevalence of moderate-risk</w:t>
      </w:r>
      <w:r w:rsidR="002C6485">
        <w:rPr>
          <w:rFonts w:asciiTheme="minorHAnsi" w:hAnsiTheme="minorHAnsi"/>
        </w:rPr>
        <w:t xml:space="preserve"> or </w:t>
      </w:r>
      <w:r>
        <w:rPr>
          <w:rFonts w:asciiTheme="minorHAnsi" w:hAnsiTheme="minorHAnsi"/>
        </w:rPr>
        <w:t>problem gambling</w:t>
      </w:r>
      <w:r w:rsidR="003D1E5B">
        <w:rPr>
          <w:rStyle w:val="FootnoteReference"/>
          <w:rFonts w:asciiTheme="minorHAnsi" w:hAnsiTheme="minorHAnsi"/>
        </w:rPr>
        <w:footnoteReference w:id="14"/>
      </w:r>
      <w:r>
        <w:rPr>
          <w:rFonts w:asciiTheme="minorHAnsi" w:hAnsiTheme="minorHAnsi"/>
        </w:rPr>
        <w:t xml:space="preserve">.  </w:t>
      </w:r>
      <w:r w:rsidR="001837AA">
        <w:rPr>
          <w:rFonts w:asciiTheme="minorHAnsi" w:hAnsiTheme="minorHAnsi"/>
        </w:rPr>
        <w:t>However, a</w:t>
      </w:r>
      <w:r>
        <w:rPr>
          <w:rFonts w:asciiTheme="minorHAnsi" w:hAnsiTheme="minorHAnsi"/>
        </w:rPr>
        <w:t xml:space="preserve"> </w:t>
      </w:r>
      <w:r w:rsidR="001837AA">
        <w:rPr>
          <w:rFonts w:asciiTheme="minorHAnsi" w:hAnsiTheme="minorHAnsi"/>
        </w:rPr>
        <w:t>significant</w:t>
      </w:r>
      <w:r>
        <w:rPr>
          <w:rFonts w:asciiTheme="minorHAnsi" w:hAnsiTheme="minorHAnsi"/>
        </w:rPr>
        <w:t xml:space="preserve"> reduction </w:t>
      </w:r>
      <w:r w:rsidR="001837AA">
        <w:rPr>
          <w:rFonts w:asciiTheme="minorHAnsi" w:hAnsiTheme="minorHAnsi"/>
        </w:rPr>
        <w:t xml:space="preserve">was observed </w:t>
      </w:r>
      <w:r>
        <w:rPr>
          <w:rFonts w:asciiTheme="minorHAnsi" w:hAnsiTheme="minorHAnsi"/>
        </w:rPr>
        <w:t>in the proportion of low-risk gamblers</w:t>
      </w:r>
      <w:r w:rsidR="003D1E5B">
        <w:rPr>
          <w:rStyle w:val="FootnoteReference"/>
          <w:rFonts w:asciiTheme="minorHAnsi" w:hAnsiTheme="minorHAnsi"/>
        </w:rPr>
        <w:footnoteReference w:id="15"/>
      </w:r>
      <w:r w:rsidR="001A33A8">
        <w:rPr>
          <w:rFonts w:asciiTheme="minorHAnsi" w:hAnsiTheme="minorHAnsi"/>
        </w:rPr>
        <w:t xml:space="preserve"> – although this may have been a consequence of the increased proportion of non-problem/recreational gamblers</w:t>
      </w:r>
      <w:r>
        <w:rPr>
          <w:rFonts w:asciiTheme="minorHAnsi" w:hAnsiTheme="minorHAnsi"/>
        </w:rPr>
        <w:t xml:space="preserve">.  This was in contrast to the National Gambling </w:t>
      </w:r>
      <w:r w:rsidR="00237E09">
        <w:rPr>
          <w:rFonts w:asciiTheme="minorHAnsi" w:hAnsiTheme="minorHAnsi"/>
        </w:rPr>
        <w:t>Study</w:t>
      </w:r>
      <w:r>
        <w:rPr>
          <w:rFonts w:asciiTheme="minorHAnsi" w:hAnsiTheme="minorHAnsi"/>
        </w:rPr>
        <w:t>, which found no difference in the proportion of low-risk gamblers</w:t>
      </w:r>
      <w:r w:rsidR="00E21454">
        <w:rPr>
          <w:rFonts w:asciiTheme="minorHAnsi" w:hAnsiTheme="minorHAnsi"/>
        </w:rPr>
        <w:t xml:space="preserve"> over time</w:t>
      </w:r>
      <w:r>
        <w:rPr>
          <w:rFonts w:asciiTheme="minorHAnsi" w:hAnsiTheme="minorHAnsi"/>
        </w:rPr>
        <w:t xml:space="preserve"> </w:t>
      </w:r>
      <w:r>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Pr>
          <w:rFonts w:asciiTheme="minorHAnsi" w:hAnsiTheme="minorHAnsi"/>
        </w:rPr>
        <w:fldChar w:fldCharType="separate"/>
      </w:r>
      <w:r w:rsidR="0020358E">
        <w:rPr>
          <w:rFonts w:asciiTheme="minorHAnsi" w:hAnsiTheme="minorHAnsi"/>
          <w:noProof/>
        </w:rPr>
        <w:t>(</w:t>
      </w:r>
      <w:hyperlink w:anchor="_ENREF_1" w:tooltip="Abbott, 2014 #921" w:history="1">
        <w:r w:rsidR="00765F46">
          <w:rPr>
            <w:rFonts w:asciiTheme="minorHAnsi" w:hAnsiTheme="minorHAnsi"/>
            <w:noProof/>
          </w:rPr>
          <w:t>Abbott et al., 2014a</w:t>
        </w:r>
      </w:hyperlink>
      <w:r w:rsidR="0020358E">
        <w:rPr>
          <w:rFonts w:asciiTheme="minorHAnsi" w:hAnsiTheme="minorHAnsi"/>
          <w:noProof/>
        </w:rPr>
        <w:t>)</w:t>
      </w:r>
      <w:r>
        <w:rPr>
          <w:rFonts w:asciiTheme="minorHAnsi" w:hAnsiTheme="minorHAnsi"/>
        </w:rPr>
        <w:fldChar w:fldCharType="end"/>
      </w:r>
      <w:r>
        <w:rPr>
          <w:rFonts w:asciiTheme="minorHAnsi" w:hAnsiTheme="minorHAnsi"/>
        </w:rPr>
        <w:t>.</w:t>
      </w:r>
      <w:r w:rsidR="00355AAD">
        <w:rPr>
          <w:rFonts w:asciiTheme="minorHAnsi" w:hAnsiTheme="minorHAnsi"/>
        </w:rPr>
        <w:t xml:space="preserve"> </w:t>
      </w:r>
    </w:p>
    <w:p w14:paraId="19F5ED0C" w14:textId="5BDD408B" w:rsidR="00F06924" w:rsidRDefault="00DF571F" w:rsidP="00F06924">
      <w:pPr>
        <w:rPr>
          <w:rFonts w:asciiTheme="minorHAnsi" w:hAnsiTheme="minorHAnsi"/>
        </w:rPr>
      </w:pPr>
      <w:r w:rsidRPr="006B2D1A">
        <w:rPr>
          <w:rFonts w:asciiTheme="minorHAnsi" w:hAnsiTheme="minorHAnsi"/>
        </w:rPr>
        <w:t>A number of demographic risk-factors were evident with regard to problematic gambling</w:t>
      </w:r>
      <w:r w:rsidR="008D61CC" w:rsidRPr="006B2D1A">
        <w:rPr>
          <w:rFonts w:asciiTheme="minorHAnsi" w:hAnsiTheme="minorHAnsi"/>
        </w:rPr>
        <w:t xml:space="preserve"> in this research</w:t>
      </w:r>
      <w:r w:rsidRPr="006B2D1A">
        <w:rPr>
          <w:rFonts w:asciiTheme="minorHAnsi" w:hAnsiTheme="minorHAnsi"/>
        </w:rPr>
        <w:t xml:space="preserve">.  </w:t>
      </w:r>
      <w:r w:rsidRPr="006B2D1A">
        <w:rPr>
          <w:rFonts w:asciiTheme="minorHAnsi" w:hAnsiTheme="minorHAnsi" w:cstheme="minorHAnsi"/>
        </w:rPr>
        <w:t xml:space="preserve">Adults that satisfied the criteria for moderate-risk/problem gambling were more likely to be male, aged 25-34 or 45-54, identify as Māori or Pacific, and live in urban neighbourhoods with higher levels of deprivation. </w:t>
      </w:r>
      <w:r w:rsidR="00190653" w:rsidRPr="006B2D1A">
        <w:rPr>
          <w:rFonts w:asciiTheme="minorHAnsi" w:hAnsiTheme="minorHAnsi" w:cstheme="minorHAnsi"/>
        </w:rPr>
        <w:t xml:space="preserve"> </w:t>
      </w:r>
      <w:r w:rsidR="00190653" w:rsidRPr="006B2D1A">
        <w:rPr>
          <w:rFonts w:asciiTheme="minorHAnsi" w:hAnsiTheme="minorHAnsi"/>
        </w:rPr>
        <w:t>Th</w:t>
      </w:r>
      <w:r w:rsidR="00D320A9" w:rsidRPr="006B2D1A">
        <w:rPr>
          <w:rFonts w:asciiTheme="minorHAnsi" w:hAnsiTheme="minorHAnsi"/>
        </w:rPr>
        <w:t>is</w:t>
      </w:r>
      <w:r w:rsidR="00D320A9">
        <w:rPr>
          <w:rFonts w:asciiTheme="minorHAnsi" w:hAnsiTheme="minorHAnsi"/>
        </w:rPr>
        <w:t xml:space="preserve"> is</w:t>
      </w:r>
      <w:r w:rsidR="00190653">
        <w:rPr>
          <w:rFonts w:asciiTheme="minorHAnsi" w:hAnsiTheme="minorHAnsi"/>
        </w:rPr>
        <w:t xml:space="preserve"> largely congruent with </w:t>
      </w:r>
      <w:r w:rsidR="00D320A9">
        <w:rPr>
          <w:rFonts w:asciiTheme="minorHAnsi" w:hAnsiTheme="minorHAnsi"/>
        </w:rPr>
        <w:t>other research</w:t>
      </w:r>
      <w:r w:rsidR="008D61CC">
        <w:rPr>
          <w:rFonts w:asciiTheme="minorHAnsi" w:hAnsiTheme="minorHAnsi"/>
        </w:rPr>
        <w:t>,</w:t>
      </w:r>
      <w:r w:rsidR="00D320A9">
        <w:rPr>
          <w:rFonts w:asciiTheme="minorHAnsi" w:hAnsiTheme="minorHAnsi"/>
        </w:rPr>
        <w:t xml:space="preserve"> although the National Gambling Study did not find any significant age differences </w:t>
      </w:r>
      <w:r w:rsidR="00D320A9">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D320A9">
        <w:rPr>
          <w:rFonts w:asciiTheme="minorHAnsi" w:hAnsiTheme="minorHAnsi"/>
        </w:rPr>
        <w:fldChar w:fldCharType="separate"/>
      </w:r>
      <w:r w:rsidR="0020358E">
        <w:rPr>
          <w:rFonts w:asciiTheme="minorHAnsi" w:hAnsiTheme="minorHAnsi"/>
          <w:noProof/>
        </w:rPr>
        <w:t>(</w:t>
      </w:r>
      <w:hyperlink w:anchor="_ENREF_1" w:tooltip="Abbott, 2014 #921" w:history="1">
        <w:r w:rsidR="00765F46">
          <w:rPr>
            <w:rFonts w:asciiTheme="minorHAnsi" w:hAnsiTheme="minorHAnsi"/>
            <w:noProof/>
          </w:rPr>
          <w:t>Abbott et al., 2014a</w:t>
        </w:r>
      </w:hyperlink>
      <w:r w:rsidR="0020358E">
        <w:rPr>
          <w:rFonts w:asciiTheme="minorHAnsi" w:hAnsiTheme="minorHAnsi"/>
          <w:noProof/>
        </w:rPr>
        <w:t>)</w:t>
      </w:r>
      <w:r w:rsidR="00D320A9">
        <w:rPr>
          <w:rFonts w:asciiTheme="minorHAnsi" w:hAnsiTheme="minorHAnsi"/>
        </w:rPr>
        <w:fldChar w:fldCharType="end"/>
      </w:r>
      <w:r w:rsidR="00D320A9">
        <w:rPr>
          <w:rFonts w:asciiTheme="minorHAnsi" w:hAnsiTheme="minorHAnsi"/>
        </w:rPr>
        <w:t xml:space="preserve"> and the 2006/07 NZHS found that those aged 35-44 had the highest prevalence of problem gambling </w:t>
      </w:r>
      <w:r w:rsidR="00D320A9">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D320A9">
        <w:rPr>
          <w:rFonts w:asciiTheme="minorHAnsi" w:hAnsiTheme="minorHAnsi"/>
        </w:rPr>
        <w:fldChar w:fldCharType="separate"/>
      </w:r>
      <w:r w:rsidR="00D320A9">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D320A9">
        <w:rPr>
          <w:rFonts w:asciiTheme="minorHAnsi" w:hAnsiTheme="minorHAnsi"/>
          <w:noProof/>
        </w:rPr>
        <w:t>)</w:t>
      </w:r>
      <w:r w:rsidR="00D320A9">
        <w:rPr>
          <w:rFonts w:asciiTheme="minorHAnsi" w:hAnsiTheme="minorHAnsi"/>
        </w:rPr>
        <w:fldChar w:fldCharType="end"/>
      </w:r>
      <w:r w:rsidR="00D320A9">
        <w:rPr>
          <w:rFonts w:asciiTheme="minorHAnsi" w:hAnsiTheme="minorHAnsi"/>
        </w:rPr>
        <w:t xml:space="preserve">.  </w:t>
      </w:r>
      <w:r w:rsidR="002F0F73">
        <w:rPr>
          <w:rFonts w:asciiTheme="minorHAnsi" w:hAnsiTheme="minorHAnsi"/>
        </w:rPr>
        <w:t>Th</w:t>
      </w:r>
      <w:r w:rsidR="008773B6">
        <w:rPr>
          <w:rFonts w:asciiTheme="minorHAnsi" w:hAnsiTheme="minorHAnsi"/>
        </w:rPr>
        <w:t>e</w:t>
      </w:r>
      <w:r w:rsidR="002F0F73">
        <w:rPr>
          <w:rFonts w:asciiTheme="minorHAnsi" w:hAnsiTheme="minorHAnsi"/>
        </w:rPr>
        <w:t>s</w:t>
      </w:r>
      <w:r w:rsidR="008773B6">
        <w:rPr>
          <w:rFonts w:asciiTheme="minorHAnsi" w:hAnsiTheme="minorHAnsi"/>
        </w:rPr>
        <w:t xml:space="preserve">e findings </w:t>
      </w:r>
      <w:r w:rsidR="002F0F73">
        <w:rPr>
          <w:rFonts w:asciiTheme="minorHAnsi" w:hAnsiTheme="minorHAnsi"/>
        </w:rPr>
        <w:t>ha</w:t>
      </w:r>
      <w:r w:rsidR="008773B6">
        <w:rPr>
          <w:rFonts w:asciiTheme="minorHAnsi" w:hAnsiTheme="minorHAnsi"/>
        </w:rPr>
        <w:t>ve</w:t>
      </w:r>
      <w:r w:rsidR="002F0F73">
        <w:rPr>
          <w:rFonts w:asciiTheme="minorHAnsi" w:hAnsiTheme="minorHAnsi"/>
        </w:rPr>
        <w:t xml:space="preserve"> important implications for</w:t>
      </w:r>
      <w:r w:rsidR="00C36918">
        <w:rPr>
          <w:rFonts w:asciiTheme="minorHAnsi" w:hAnsiTheme="minorHAnsi"/>
        </w:rPr>
        <w:t xml:space="preserve"> the delivery of</w:t>
      </w:r>
      <w:r w:rsidR="002F0F73">
        <w:rPr>
          <w:rFonts w:asciiTheme="minorHAnsi" w:hAnsiTheme="minorHAnsi"/>
        </w:rPr>
        <w:t xml:space="preserve"> public health messages and for those involved in public health interventions at the secondary and tertiary levels </w:t>
      </w:r>
      <w:r w:rsidR="002F0F73">
        <w:rPr>
          <w:rFonts w:asciiTheme="minorHAnsi" w:hAnsiTheme="minorHAnsi"/>
        </w:rPr>
        <w:fldChar w:fldCharType="begin"/>
      </w:r>
      <w:r w:rsidR="00A34C5E">
        <w:rPr>
          <w:rFonts w:asciiTheme="minorHAnsi" w:hAnsiTheme="minorHAnsi"/>
        </w:rPr>
        <w:instrText xml:space="preserve"> ADDIN EN.CITE &lt;EndNote&gt;&lt;Cite&gt;&lt;Author&gt;Korn&lt;/Author&gt;&lt;Year&gt;1999&lt;/Year&gt;&lt;RecNum&gt;651&lt;/RecNum&gt;&lt;Prefix&gt;see &lt;/Prefix&gt;&lt;DisplayText&gt;(see Korn &amp;amp; Shaffer, 1999)&lt;/DisplayText&gt;&lt;record&gt;&lt;rec-number&gt;651&lt;/rec-number&gt;&lt;foreign-keys&gt;&lt;key app="EN" db-id="9pzse05rcvx956etremxfzdh9fzdxvd95rp2"&gt;651&lt;/key&gt;&lt;/foreign-keys&gt;&lt;ref-type name="Journal Article"&gt;17&lt;/ref-type&gt;&lt;contributors&gt;&lt;authors&gt;&lt;author&gt;Korn, D&lt;/author&gt;&lt;author&gt;Shaffer, Howard, J&lt;/author&gt;&lt;/authors&gt;&lt;/contributors&gt;&lt;titles&gt;&lt;title&gt;Gambling and the health of the public: Adopting a public health perspective&lt;/title&gt;&lt;secondary-title&gt;Journal of Gambling Studies&lt;/secondary-title&gt;&lt;/titles&gt;&lt;periodical&gt;&lt;full-title&gt;Journal of Gambling Studies&lt;/full-title&gt;&lt;/periodical&gt;&lt;pages&gt;289-365&lt;/pages&gt;&lt;volume&gt;15&lt;/volume&gt;&lt;number&gt;4&lt;/number&gt;&lt;dates&gt;&lt;year&gt;1999&lt;/year&gt;&lt;/dates&gt;&lt;urls&gt;&lt;/urls&gt;&lt;/record&gt;&lt;/Cite&gt;&lt;/EndNote&gt;</w:instrText>
      </w:r>
      <w:r w:rsidR="002F0F73">
        <w:rPr>
          <w:rFonts w:asciiTheme="minorHAnsi" w:hAnsiTheme="minorHAnsi"/>
        </w:rPr>
        <w:fldChar w:fldCharType="separate"/>
      </w:r>
      <w:r w:rsidR="002F0F73">
        <w:rPr>
          <w:rFonts w:asciiTheme="minorHAnsi" w:hAnsiTheme="minorHAnsi"/>
          <w:noProof/>
        </w:rPr>
        <w:t>(</w:t>
      </w:r>
      <w:hyperlink w:anchor="_ENREF_31" w:tooltip="Korn, 1999 #651" w:history="1">
        <w:r w:rsidR="00765F46">
          <w:rPr>
            <w:rFonts w:asciiTheme="minorHAnsi" w:hAnsiTheme="minorHAnsi"/>
            <w:noProof/>
          </w:rPr>
          <w:t>see Korn &amp; Shaffer, 1999</w:t>
        </w:r>
      </w:hyperlink>
      <w:r w:rsidR="002F0F73">
        <w:rPr>
          <w:rFonts w:asciiTheme="minorHAnsi" w:hAnsiTheme="minorHAnsi"/>
          <w:noProof/>
        </w:rPr>
        <w:t>)</w:t>
      </w:r>
      <w:r w:rsidR="002F0F73">
        <w:rPr>
          <w:rFonts w:asciiTheme="minorHAnsi" w:hAnsiTheme="minorHAnsi"/>
        </w:rPr>
        <w:fldChar w:fldCharType="end"/>
      </w:r>
      <w:r w:rsidR="002F0F73">
        <w:rPr>
          <w:rFonts w:asciiTheme="minorHAnsi" w:hAnsiTheme="minorHAnsi"/>
        </w:rPr>
        <w:t xml:space="preserve">. </w:t>
      </w:r>
    </w:p>
    <w:p w14:paraId="0A939F6F" w14:textId="5EB80AB0" w:rsidR="00DE2F14" w:rsidRDefault="000B11E8" w:rsidP="00F06924">
      <w:pPr>
        <w:rPr>
          <w:rFonts w:asciiTheme="minorHAnsi" w:hAnsiTheme="minorHAnsi"/>
        </w:rPr>
      </w:pPr>
      <w:r w:rsidRPr="00D600C1">
        <w:rPr>
          <w:rFonts w:asciiTheme="minorHAnsi" w:hAnsiTheme="minorHAnsi"/>
        </w:rPr>
        <w:lastRenderedPageBreak/>
        <w:t xml:space="preserve">While there was an overall trend for the severity of gambling problems to increase along with rate of participation in each gambling activity, </w:t>
      </w:r>
      <w:r w:rsidR="00100AFC">
        <w:rPr>
          <w:rFonts w:asciiTheme="minorHAnsi" w:hAnsiTheme="minorHAnsi"/>
        </w:rPr>
        <w:t>EGMs</w:t>
      </w:r>
      <w:r w:rsidRPr="00907017">
        <w:rPr>
          <w:rFonts w:asciiTheme="minorHAnsi" w:hAnsiTheme="minorHAnsi"/>
        </w:rPr>
        <w:t xml:space="preserve"> were associated with </w:t>
      </w:r>
      <w:r>
        <w:rPr>
          <w:rFonts w:asciiTheme="minorHAnsi" w:hAnsiTheme="minorHAnsi"/>
        </w:rPr>
        <w:t>the highest risk of problematic gambling</w:t>
      </w:r>
      <w:r w:rsidRPr="00907017">
        <w:rPr>
          <w:rFonts w:asciiTheme="minorHAnsi" w:hAnsiTheme="minorHAnsi"/>
        </w:rPr>
        <w:t>.  Moderate-risk/problem gamblers were 14 times more likely to have gambled on any</w:t>
      </w:r>
      <w:r w:rsidR="00100AFC">
        <w:rPr>
          <w:rFonts w:asciiTheme="minorHAnsi" w:hAnsiTheme="minorHAnsi"/>
        </w:rPr>
        <w:t xml:space="preserve"> EGM</w:t>
      </w:r>
      <w:r w:rsidRPr="00907017">
        <w:rPr>
          <w:rFonts w:asciiTheme="minorHAnsi" w:hAnsiTheme="minorHAnsi"/>
        </w:rPr>
        <w:t xml:space="preserve"> and 13 times more likely to have gambled on non-casino </w:t>
      </w:r>
      <w:r w:rsidR="00100AFC">
        <w:rPr>
          <w:rFonts w:asciiTheme="minorHAnsi" w:hAnsiTheme="minorHAnsi"/>
        </w:rPr>
        <w:t>EGMs</w:t>
      </w:r>
      <w:r w:rsidRPr="00907017">
        <w:rPr>
          <w:rFonts w:asciiTheme="minorHAnsi" w:hAnsiTheme="minorHAnsi"/>
        </w:rPr>
        <w:t xml:space="preserve"> than non-problem/recreational gamblers. </w:t>
      </w:r>
      <w:r w:rsidR="00D600C1">
        <w:rPr>
          <w:rFonts w:asciiTheme="minorHAnsi" w:hAnsiTheme="minorHAnsi"/>
        </w:rPr>
        <w:t xml:space="preserve"> P</w:t>
      </w:r>
      <w:r>
        <w:rPr>
          <w:rFonts w:asciiTheme="minorHAnsi" w:hAnsiTheme="minorHAnsi"/>
        </w:rPr>
        <w:t xml:space="preserve">articipation in continuous modes of gambling has frequently been identified </w:t>
      </w:r>
      <w:r w:rsidR="00160E6A">
        <w:rPr>
          <w:rFonts w:asciiTheme="minorHAnsi" w:hAnsiTheme="minorHAnsi"/>
        </w:rPr>
        <w:t xml:space="preserve">in national and international research </w:t>
      </w:r>
      <w:r>
        <w:rPr>
          <w:rFonts w:asciiTheme="minorHAnsi" w:hAnsiTheme="minorHAnsi"/>
        </w:rPr>
        <w:t>as a substantial risk factor</w:t>
      </w:r>
      <w:r w:rsidR="00160E6A">
        <w:rPr>
          <w:rFonts w:asciiTheme="minorHAnsi" w:hAnsiTheme="minorHAnsi"/>
        </w:rPr>
        <w:t xml:space="preserve"> in the development of problematic gambling </w:t>
      </w:r>
      <w:r w:rsidR="00160E6A">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b3R0ICZhbXA7IFZvbGJlcmcsIDIwMDBiOyBBZGFtcyBldCBhbC4sIDIwMDQ7IEhlYWx0aCBTcG9u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==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b3R0ICZhbXA7IFZvbGJlcmcsIDIwMDBiOyBBZGFtcyBldCBhbC4sIDIwMDQ7IEhlYWx0aCBTcG9u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==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160E6A">
        <w:rPr>
          <w:rFonts w:asciiTheme="minorHAnsi" w:hAnsiTheme="minorHAnsi"/>
        </w:rPr>
      </w:r>
      <w:r w:rsidR="00160E6A">
        <w:rPr>
          <w:rFonts w:asciiTheme="minorHAnsi" w:hAnsiTheme="minorHAnsi"/>
        </w:rPr>
        <w:fldChar w:fldCharType="separate"/>
      </w:r>
      <w:r w:rsidR="00C62C68">
        <w:rPr>
          <w:rFonts w:asciiTheme="minorHAnsi" w:hAnsiTheme="minorHAnsi"/>
          <w:noProof/>
        </w:rPr>
        <w:t>(</w:t>
      </w:r>
      <w:hyperlink w:anchor="_ENREF_1" w:tooltip="Abbott, 2014 #921" w:history="1">
        <w:r w:rsidR="00765F46">
          <w:rPr>
            <w:rFonts w:asciiTheme="minorHAnsi" w:hAnsiTheme="minorHAnsi"/>
            <w:noProof/>
          </w:rPr>
          <w:t>Abbott et al., 2014a</w:t>
        </w:r>
      </w:hyperlink>
      <w:r w:rsidR="00C62C68">
        <w:rPr>
          <w:rFonts w:asciiTheme="minorHAnsi" w:hAnsiTheme="minorHAnsi"/>
          <w:noProof/>
        </w:rPr>
        <w:t xml:space="preserve">; </w:t>
      </w:r>
      <w:hyperlink w:anchor="_ENREF_8" w:tooltip="Abbott, 2000 #195" w:history="1">
        <w:r w:rsidR="00765F46">
          <w:rPr>
            <w:rFonts w:asciiTheme="minorHAnsi" w:hAnsiTheme="minorHAnsi"/>
            <w:noProof/>
          </w:rPr>
          <w:t>Abbott &amp; Volberg, 2000b</w:t>
        </w:r>
      </w:hyperlink>
      <w:r w:rsidR="00C62C68">
        <w:rPr>
          <w:rFonts w:asciiTheme="minorHAnsi" w:hAnsiTheme="minorHAnsi"/>
          <w:noProof/>
        </w:rPr>
        <w:t xml:space="preserve">; </w:t>
      </w:r>
      <w:hyperlink w:anchor="_ENREF_9" w:tooltip="Adams, 2004 #93" w:history="1">
        <w:r w:rsidR="00765F46">
          <w:rPr>
            <w:rFonts w:asciiTheme="minorHAnsi" w:hAnsiTheme="minorHAnsi"/>
            <w:noProof/>
          </w:rPr>
          <w:t>Adams et al., 2004</w:t>
        </w:r>
      </w:hyperlink>
      <w:r w:rsidR="00C62C68">
        <w:rPr>
          <w:rFonts w:asciiTheme="minorHAnsi" w:hAnsiTheme="minorHAnsi"/>
          <w:noProof/>
        </w:rPr>
        <w:t xml:space="preserve">; </w:t>
      </w:r>
      <w:hyperlink w:anchor="_ENREF_30" w:tooltip="Health Sponsorship Council, 2012 #129" w:history="1">
        <w:r w:rsidR="00765F46">
          <w:rPr>
            <w:rFonts w:asciiTheme="minorHAnsi" w:hAnsiTheme="minorHAnsi"/>
            <w:noProof/>
          </w:rPr>
          <w:t>Health Sponsorship Council, 2012</w:t>
        </w:r>
      </w:hyperlink>
      <w:r w:rsidR="00C62C68">
        <w:rPr>
          <w:rFonts w:asciiTheme="minorHAnsi" w:hAnsiTheme="minorHAnsi"/>
          <w:noProof/>
        </w:rPr>
        <w:t xml:space="preserve">; </w:t>
      </w:r>
      <w:hyperlink w:anchor="_ENREF_45" w:tooltip="Orford, 2011 #126" w:history="1">
        <w:r w:rsidR="00765F46">
          <w:rPr>
            <w:rFonts w:asciiTheme="minorHAnsi" w:hAnsiTheme="minorHAnsi"/>
            <w:noProof/>
          </w:rPr>
          <w:t>Orford, 2011</w:t>
        </w:r>
      </w:hyperlink>
      <w:r w:rsidR="00C62C68">
        <w:rPr>
          <w:rFonts w:asciiTheme="minorHAnsi" w:hAnsiTheme="minorHAnsi"/>
          <w:noProof/>
        </w:rPr>
        <w:t xml:space="preserve">; </w:t>
      </w:r>
      <w:hyperlink w:anchor="_ENREF_49" w:tooltip="Productivity Commission, 2010 #283" w:history="1">
        <w:r w:rsidR="00765F46">
          <w:rPr>
            <w:rFonts w:asciiTheme="minorHAnsi" w:hAnsiTheme="minorHAnsi"/>
            <w:noProof/>
          </w:rPr>
          <w:t>Productivity Commission, 2010</w:t>
        </w:r>
      </w:hyperlink>
      <w:r w:rsidR="00C62C68">
        <w:rPr>
          <w:rFonts w:asciiTheme="minorHAnsi" w:hAnsiTheme="minorHAnsi"/>
          <w:noProof/>
        </w:rPr>
        <w:t xml:space="preserve">; </w:t>
      </w:r>
      <w:hyperlink w:anchor="_ENREF_52" w:tooltip="Rossen, 2013 #920" w:history="1">
        <w:r w:rsidR="00765F46">
          <w:rPr>
            <w:rFonts w:asciiTheme="minorHAnsi" w:hAnsiTheme="minorHAnsi"/>
            <w:noProof/>
          </w:rPr>
          <w:t>Rossen et al., 2013</w:t>
        </w:r>
      </w:hyperlink>
      <w:r w:rsidR="00C62C68">
        <w:rPr>
          <w:rFonts w:asciiTheme="minorHAnsi" w:hAnsiTheme="minorHAnsi"/>
          <w:noProof/>
        </w:rPr>
        <w:t xml:space="preserve">; </w:t>
      </w:r>
      <w:hyperlink w:anchor="_ENREF_60" w:tooltip="Tu, 2013 #916" w:history="1">
        <w:r w:rsidR="00765F46">
          <w:rPr>
            <w:rFonts w:asciiTheme="minorHAnsi" w:hAnsiTheme="minorHAnsi"/>
            <w:noProof/>
          </w:rPr>
          <w:t>Tu, 2013</w:t>
        </w:r>
      </w:hyperlink>
      <w:r w:rsidR="00C62C68">
        <w:rPr>
          <w:rFonts w:asciiTheme="minorHAnsi" w:hAnsiTheme="minorHAnsi"/>
          <w:noProof/>
        </w:rPr>
        <w:t>)</w:t>
      </w:r>
      <w:r w:rsidR="00160E6A">
        <w:rPr>
          <w:rFonts w:asciiTheme="minorHAnsi" w:hAnsiTheme="minorHAnsi"/>
        </w:rPr>
        <w:fldChar w:fldCharType="end"/>
      </w:r>
      <w:r w:rsidR="00160E6A">
        <w:rPr>
          <w:rFonts w:asciiTheme="minorHAnsi" w:hAnsiTheme="minorHAnsi"/>
        </w:rPr>
        <w:t xml:space="preserve">. </w:t>
      </w:r>
      <w:r w:rsidR="006D1D57">
        <w:rPr>
          <w:rFonts w:asciiTheme="minorHAnsi" w:hAnsiTheme="minorHAnsi"/>
        </w:rPr>
        <w:t xml:space="preserve"> </w:t>
      </w:r>
      <w:r w:rsidR="00D004A3">
        <w:rPr>
          <w:rFonts w:asciiTheme="minorHAnsi" w:hAnsiTheme="minorHAnsi"/>
        </w:rPr>
        <w:t xml:space="preserve">There is clearly a need for effective harm minimisation </w:t>
      </w:r>
      <w:r w:rsidR="00F123BD">
        <w:rPr>
          <w:rFonts w:asciiTheme="minorHAnsi" w:hAnsiTheme="minorHAnsi"/>
        </w:rPr>
        <w:t xml:space="preserve">and promotion </w:t>
      </w:r>
      <w:r w:rsidR="00D004A3">
        <w:rPr>
          <w:rFonts w:asciiTheme="minorHAnsi" w:hAnsiTheme="minorHAnsi"/>
        </w:rPr>
        <w:t xml:space="preserve">efforts to be developed and introduced </w:t>
      </w:r>
      <w:r w:rsidR="00F123BD">
        <w:rPr>
          <w:rFonts w:asciiTheme="minorHAnsi" w:hAnsiTheme="minorHAnsi"/>
        </w:rPr>
        <w:t xml:space="preserve">with a particular focus on </w:t>
      </w:r>
      <w:r w:rsidR="006D1D57">
        <w:rPr>
          <w:rFonts w:asciiTheme="minorHAnsi" w:hAnsiTheme="minorHAnsi"/>
        </w:rPr>
        <w:t xml:space="preserve">EGMs. </w:t>
      </w:r>
    </w:p>
    <w:p w14:paraId="5C581008" w14:textId="7D474C02" w:rsidR="006F7B0F" w:rsidRDefault="001C377B" w:rsidP="00F06924">
      <w:pPr>
        <w:rPr>
          <w:rFonts w:asciiTheme="minorHAnsi" w:hAnsiTheme="minorHAnsi"/>
        </w:rPr>
      </w:pPr>
      <w:r>
        <w:rPr>
          <w:rFonts w:asciiTheme="minorHAnsi" w:hAnsiTheme="minorHAnsi"/>
        </w:rPr>
        <w:t xml:space="preserve">There was also evidence that problem gamblers have a greater overall involvement in gambling; the prevalence of problem gambling increased along with the number of activities that adults had gambled on.  Low-risk and moderate-risk/problem gamblers were 12 and 23 times more likely to have gambled on </w:t>
      </w:r>
      <w:r w:rsidR="006C6C01">
        <w:rPr>
          <w:rFonts w:asciiTheme="minorHAnsi" w:hAnsiTheme="minorHAnsi"/>
        </w:rPr>
        <w:t>‘</w:t>
      </w:r>
      <w:r>
        <w:rPr>
          <w:rFonts w:asciiTheme="minorHAnsi" w:hAnsiTheme="minorHAnsi"/>
        </w:rPr>
        <w:t>four or more</w:t>
      </w:r>
      <w:r w:rsidR="006C6C01">
        <w:rPr>
          <w:rFonts w:asciiTheme="minorHAnsi" w:hAnsiTheme="minorHAnsi"/>
        </w:rPr>
        <w:t>’</w:t>
      </w:r>
      <w:r>
        <w:rPr>
          <w:rFonts w:asciiTheme="minorHAnsi" w:hAnsiTheme="minorHAnsi"/>
        </w:rPr>
        <w:t xml:space="preserve"> activities compared with adults who gambled at non-problem/recreational levels. </w:t>
      </w:r>
      <w:r w:rsidR="0020358E">
        <w:rPr>
          <w:rFonts w:asciiTheme="minorHAnsi" w:hAnsiTheme="minorHAnsi"/>
        </w:rPr>
        <w:t xml:space="preserve"> </w:t>
      </w:r>
      <w:r w:rsidR="00A905F0">
        <w:rPr>
          <w:rFonts w:asciiTheme="minorHAnsi" w:hAnsiTheme="minorHAnsi"/>
        </w:rPr>
        <w:t>A</w:t>
      </w:r>
      <w:r w:rsidR="0020358E">
        <w:rPr>
          <w:rFonts w:asciiTheme="minorHAnsi" w:hAnsiTheme="minorHAnsi"/>
        </w:rPr>
        <w:t xml:space="preserve"> relationship between </w:t>
      </w:r>
      <w:r w:rsidR="00A905F0">
        <w:rPr>
          <w:rFonts w:asciiTheme="minorHAnsi" w:hAnsiTheme="minorHAnsi"/>
        </w:rPr>
        <w:t xml:space="preserve">a greater </w:t>
      </w:r>
      <w:r w:rsidR="0020358E">
        <w:rPr>
          <w:rFonts w:asciiTheme="minorHAnsi" w:hAnsiTheme="minorHAnsi"/>
        </w:rPr>
        <w:t>number of gambling activities and</w:t>
      </w:r>
      <w:r w:rsidR="00A905F0">
        <w:rPr>
          <w:rFonts w:asciiTheme="minorHAnsi" w:hAnsiTheme="minorHAnsi"/>
        </w:rPr>
        <w:t xml:space="preserve"> an increased</w:t>
      </w:r>
      <w:r w:rsidR="0020358E">
        <w:rPr>
          <w:rFonts w:asciiTheme="minorHAnsi" w:hAnsiTheme="minorHAnsi"/>
        </w:rPr>
        <w:t xml:space="preserve"> risk of problem gambling was observed in the</w:t>
      </w:r>
      <w:r w:rsidR="00A905F0">
        <w:rPr>
          <w:rFonts w:asciiTheme="minorHAnsi" w:hAnsiTheme="minorHAnsi"/>
        </w:rPr>
        <w:t xml:space="preserve"> previous New Zealand Health Survey </w:t>
      </w:r>
      <w:r w:rsidR="00A905F0">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A905F0">
        <w:rPr>
          <w:rFonts w:asciiTheme="minorHAnsi" w:hAnsiTheme="minorHAnsi"/>
        </w:rPr>
        <w:fldChar w:fldCharType="separate"/>
      </w:r>
      <w:r w:rsidR="00A905F0">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A905F0">
        <w:rPr>
          <w:rFonts w:asciiTheme="minorHAnsi" w:hAnsiTheme="minorHAnsi"/>
          <w:noProof/>
        </w:rPr>
        <w:t>)</w:t>
      </w:r>
      <w:r w:rsidR="00A905F0">
        <w:rPr>
          <w:rFonts w:asciiTheme="minorHAnsi" w:hAnsiTheme="minorHAnsi"/>
        </w:rPr>
        <w:fldChar w:fldCharType="end"/>
      </w:r>
      <w:r w:rsidR="00A905F0">
        <w:rPr>
          <w:rFonts w:asciiTheme="minorHAnsi" w:hAnsiTheme="minorHAnsi"/>
        </w:rPr>
        <w:t xml:space="preserve">, the </w:t>
      </w:r>
      <w:r w:rsidR="0020358E">
        <w:rPr>
          <w:rFonts w:asciiTheme="minorHAnsi" w:hAnsiTheme="minorHAnsi"/>
        </w:rPr>
        <w:t xml:space="preserve">National Gambling </w:t>
      </w:r>
      <w:r w:rsidR="00237E09">
        <w:rPr>
          <w:rFonts w:asciiTheme="minorHAnsi" w:hAnsiTheme="minorHAnsi"/>
        </w:rPr>
        <w:t>Study</w:t>
      </w:r>
      <w:r w:rsidR="0020358E">
        <w:rPr>
          <w:rFonts w:asciiTheme="minorHAnsi" w:hAnsiTheme="minorHAnsi"/>
        </w:rPr>
        <w:t xml:space="preserve"> </w:t>
      </w:r>
      <w:r w:rsidR="0020358E">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20358E">
        <w:rPr>
          <w:rFonts w:asciiTheme="minorHAnsi" w:hAnsiTheme="minorHAnsi"/>
        </w:rPr>
        <w:fldChar w:fldCharType="separate"/>
      </w:r>
      <w:r w:rsidR="0020358E">
        <w:rPr>
          <w:rFonts w:asciiTheme="minorHAnsi" w:hAnsiTheme="minorHAnsi"/>
          <w:noProof/>
        </w:rPr>
        <w:t>(</w:t>
      </w:r>
      <w:hyperlink w:anchor="_ENREF_1" w:tooltip="Abbott, 2014 #921" w:history="1">
        <w:r w:rsidR="00765F46">
          <w:rPr>
            <w:rFonts w:asciiTheme="minorHAnsi" w:hAnsiTheme="minorHAnsi"/>
            <w:noProof/>
          </w:rPr>
          <w:t>Abbott et al., 2014a</w:t>
        </w:r>
      </w:hyperlink>
      <w:r w:rsidR="0020358E">
        <w:rPr>
          <w:rFonts w:asciiTheme="minorHAnsi" w:hAnsiTheme="minorHAnsi"/>
          <w:noProof/>
        </w:rPr>
        <w:t>)</w:t>
      </w:r>
      <w:r w:rsidR="0020358E">
        <w:rPr>
          <w:rFonts w:asciiTheme="minorHAnsi" w:hAnsiTheme="minorHAnsi"/>
        </w:rPr>
        <w:fldChar w:fldCharType="end"/>
      </w:r>
      <w:r w:rsidR="00A905F0">
        <w:rPr>
          <w:rFonts w:asciiTheme="minorHAnsi" w:hAnsiTheme="minorHAnsi"/>
        </w:rPr>
        <w:t xml:space="preserve"> and the 2012 Health and Lifestyles Survey </w:t>
      </w:r>
      <w:r w:rsidR="00A905F0">
        <w:rPr>
          <w:rFonts w:asciiTheme="minorHAnsi" w:hAnsiTheme="minorHAnsi"/>
        </w:rPr>
        <w:fldChar w:fldCharType="begin"/>
      </w:r>
      <w:r w:rsidR="00A34C5E">
        <w:rPr>
          <w:rFonts w:asciiTheme="minorHAnsi" w:hAnsiTheme="minorHAnsi"/>
        </w:rPr>
        <w:instrText xml:space="preserve"> ADDIN EN.CITE &lt;EndNote&gt;&lt;Cite&gt;&lt;Author&gt;Tu&lt;/Author&gt;&lt;Year&gt;2013&lt;/Year&gt;&lt;RecNum&gt;916&lt;/RecNum&gt;&lt;DisplayText&gt;(Tu, 2013)&lt;/DisplayText&gt;&lt;record&gt;&lt;rec-number&gt;916&lt;/rec-number&gt;&lt;foreign-keys&gt;&lt;key app="EN" db-id="9pzse05rcvx956etremxfzdh9fzdxvd95rp2"&gt;916&lt;/key&gt;&lt;/foreign-keys&gt;&lt;ref-type name="Report"&gt;27&lt;/ref-type&gt;&lt;contributors&gt;&lt;authors&gt;&lt;author&gt;Tu, D.&lt;/author&gt;&lt;/authors&gt;&lt;/contributors&gt;&lt;titles&gt;&lt;title&gt;New Zealanders’ Participation in Gambling: Results from the 2012 Health and Lifestyles Survey&lt;/title&gt;&lt;/titles&gt;&lt;dates&gt;&lt;year&gt;2013&lt;/year&gt;&lt;/dates&gt;&lt;pub-location&gt;Wellington&lt;/pub-location&gt;&lt;publisher&gt;Health Promotion Agency&lt;/publisher&gt;&lt;urls&gt;&lt;/urls&gt;&lt;/record&gt;&lt;/Cite&gt;&lt;/EndNote&gt;</w:instrText>
      </w:r>
      <w:r w:rsidR="00A905F0">
        <w:rPr>
          <w:rFonts w:asciiTheme="minorHAnsi" w:hAnsiTheme="minorHAnsi"/>
        </w:rPr>
        <w:fldChar w:fldCharType="separate"/>
      </w:r>
      <w:r w:rsidR="00A905F0">
        <w:rPr>
          <w:rFonts w:asciiTheme="minorHAnsi" w:hAnsiTheme="minorHAnsi"/>
          <w:noProof/>
        </w:rPr>
        <w:t>(</w:t>
      </w:r>
      <w:hyperlink w:anchor="_ENREF_60" w:tooltip="Tu, 2013 #916" w:history="1">
        <w:r w:rsidR="00765F46">
          <w:rPr>
            <w:rFonts w:asciiTheme="minorHAnsi" w:hAnsiTheme="minorHAnsi"/>
            <w:noProof/>
          </w:rPr>
          <w:t>Tu, 2013</w:t>
        </w:r>
      </w:hyperlink>
      <w:r w:rsidR="00A905F0">
        <w:rPr>
          <w:rFonts w:asciiTheme="minorHAnsi" w:hAnsiTheme="minorHAnsi"/>
          <w:noProof/>
        </w:rPr>
        <w:t>)</w:t>
      </w:r>
      <w:r w:rsidR="00A905F0">
        <w:rPr>
          <w:rFonts w:asciiTheme="minorHAnsi" w:hAnsiTheme="minorHAnsi"/>
        </w:rPr>
        <w:fldChar w:fldCharType="end"/>
      </w:r>
      <w:r w:rsidR="00A905F0">
        <w:rPr>
          <w:rFonts w:asciiTheme="minorHAnsi" w:hAnsiTheme="minorHAnsi"/>
        </w:rPr>
        <w:t xml:space="preserve">. </w:t>
      </w:r>
      <w:r w:rsidR="00355AAD">
        <w:rPr>
          <w:rFonts w:asciiTheme="minorHAnsi" w:hAnsiTheme="minorHAnsi"/>
        </w:rPr>
        <w:t xml:space="preserve"> </w:t>
      </w:r>
    </w:p>
    <w:p w14:paraId="396BF147" w14:textId="77777777" w:rsidR="00D004A3" w:rsidRPr="00C621EC" w:rsidRDefault="00D004A3" w:rsidP="00F06924">
      <w:pPr>
        <w:rPr>
          <w:rFonts w:asciiTheme="minorHAnsi" w:hAnsiTheme="minorHAnsi"/>
        </w:rPr>
      </w:pPr>
    </w:p>
    <w:p w14:paraId="7D13F99F" w14:textId="77777777" w:rsidR="00F06924" w:rsidRDefault="00F06924" w:rsidP="004F129A">
      <w:pPr>
        <w:pStyle w:val="Heading2"/>
        <w:numPr>
          <w:ilvl w:val="1"/>
          <w:numId w:val="63"/>
        </w:numPr>
      </w:pPr>
      <w:bookmarkStart w:id="193" w:name="_Toc403833205"/>
      <w:r>
        <w:t>Ecological factors and problematic gambling</w:t>
      </w:r>
      <w:bookmarkEnd w:id="193"/>
    </w:p>
    <w:p w14:paraId="025C37E2" w14:textId="149CB597" w:rsidR="00355AAD" w:rsidRDefault="00355AAD" w:rsidP="00236F80">
      <w:pPr>
        <w:rPr>
          <w:rFonts w:asciiTheme="minorHAnsi" w:hAnsiTheme="minorHAnsi"/>
        </w:rPr>
      </w:pPr>
      <w:r w:rsidRPr="00355AAD">
        <w:rPr>
          <w:rFonts w:asciiTheme="minorHAnsi" w:hAnsiTheme="minorHAnsi"/>
        </w:rPr>
        <w:t xml:space="preserve">This research </w:t>
      </w:r>
      <w:r>
        <w:rPr>
          <w:rFonts w:asciiTheme="minorHAnsi" w:hAnsiTheme="minorHAnsi"/>
        </w:rPr>
        <w:t xml:space="preserve">investigated the role of various ecological factors in gambling behaviour.   Unlike the most recent National Gambling </w:t>
      </w:r>
      <w:r w:rsidR="00237E09">
        <w:rPr>
          <w:rFonts w:asciiTheme="minorHAnsi" w:hAnsiTheme="minorHAnsi"/>
        </w:rPr>
        <w:t>Study</w:t>
      </w:r>
      <w:r>
        <w:rPr>
          <w:rFonts w:asciiTheme="minorHAnsi" w:hAnsiTheme="minorHAnsi"/>
        </w:rPr>
        <w:t xml:space="preserve"> </w:t>
      </w:r>
      <w:r>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Pr>
          <w:rFonts w:asciiTheme="minorHAnsi" w:hAnsiTheme="minorHAnsi"/>
        </w:rPr>
        <w:fldChar w:fldCharType="separate"/>
      </w:r>
      <w:r>
        <w:rPr>
          <w:rFonts w:asciiTheme="minorHAnsi" w:hAnsiTheme="minorHAnsi"/>
          <w:noProof/>
        </w:rPr>
        <w:t>(</w:t>
      </w:r>
      <w:hyperlink w:anchor="_ENREF_1" w:tooltip="Abbott, 2014 #921" w:history="1">
        <w:r w:rsidR="00765F46">
          <w:rPr>
            <w:rFonts w:asciiTheme="minorHAnsi" w:hAnsiTheme="minorHAnsi"/>
            <w:noProof/>
          </w:rPr>
          <w:t>Abbott et al., 2014a</w:t>
        </w:r>
      </w:hyperlink>
      <w:r>
        <w:rPr>
          <w:rFonts w:asciiTheme="minorHAnsi" w:hAnsiTheme="minorHAnsi"/>
          <w:noProof/>
        </w:rPr>
        <w:t>)</w:t>
      </w:r>
      <w:r>
        <w:rPr>
          <w:rFonts w:asciiTheme="minorHAnsi" w:hAnsiTheme="minorHAnsi"/>
        </w:rPr>
        <w:fldChar w:fldCharType="end"/>
      </w:r>
      <w:r>
        <w:rPr>
          <w:rFonts w:asciiTheme="minorHAnsi" w:hAnsiTheme="minorHAnsi"/>
        </w:rPr>
        <w:t xml:space="preserve"> and the 2006/07 New Zealand Health Survey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Pr>
          <w:rFonts w:asciiTheme="minorHAnsi" w:hAnsiTheme="minorHAnsi"/>
          <w:noProof/>
        </w:rPr>
        <w:t>)</w:t>
      </w:r>
      <w:r>
        <w:rPr>
          <w:rFonts w:asciiTheme="minorHAnsi" w:hAnsiTheme="minorHAnsi"/>
        </w:rPr>
        <w:fldChar w:fldCharType="end"/>
      </w:r>
      <w:r>
        <w:rPr>
          <w:rFonts w:asciiTheme="minorHAnsi" w:hAnsiTheme="minorHAnsi"/>
        </w:rPr>
        <w:t xml:space="preserve">, no association was found between problem gambling and level of education or employment status.  </w:t>
      </w:r>
    </w:p>
    <w:p w14:paraId="26D89AF7" w14:textId="5124AAEA" w:rsidR="00976934" w:rsidRDefault="00976934" w:rsidP="00976934">
      <w:pPr>
        <w:rPr>
          <w:rFonts w:asciiTheme="minorHAnsi" w:hAnsiTheme="minorHAnsi"/>
        </w:rPr>
      </w:pPr>
      <w:r>
        <w:rPr>
          <w:rFonts w:asciiTheme="minorHAnsi" w:hAnsiTheme="minorHAnsi"/>
        </w:rPr>
        <w:t xml:space="preserve">Both this research and the National Gambling </w:t>
      </w:r>
      <w:r w:rsidR="00237E09">
        <w:rPr>
          <w:rFonts w:asciiTheme="minorHAnsi" w:hAnsiTheme="minorHAnsi"/>
        </w:rPr>
        <w:t>Study</w:t>
      </w:r>
      <w:r>
        <w:rPr>
          <w:rFonts w:asciiTheme="minorHAnsi" w:hAnsiTheme="minorHAnsi"/>
        </w:rPr>
        <w:t xml:space="preserve"> </w:t>
      </w:r>
      <w:r>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Pr>
          <w:rFonts w:asciiTheme="minorHAnsi" w:hAnsiTheme="minorHAnsi"/>
        </w:rPr>
        <w:fldChar w:fldCharType="separate"/>
      </w:r>
      <w:r>
        <w:rPr>
          <w:rFonts w:asciiTheme="minorHAnsi" w:hAnsiTheme="minorHAnsi"/>
          <w:noProof/>
        </w:rPr>
        <w:t>(</w:t>
      </w:r>
      <w:hyperlink w:anchor="_ENREF_1" w:tooltip="Abbott, 2014 #921" w:history="1">
        <w:r w:rsidR="00765F46">
          <w:rPr>
            <w:rFonts w:asciiTheme="minorHAnsi" w:hAnsiTheme="minorHAnsi"/>
            <w:noProof/>
          </w:rPr>
          <w:t>Abbott et al., 2014a</w:t>
        </w:r>
      </w:hyperlink>
      <w:r>
        <w:rPr>
          <w:rFonts w:asciiTheme="minorHAnsi" w:hAnsiTheme="minorHAnsi"/>
          <w:noProof/>
        </w:rPr>
        <w:t>)</w:t>
      </w:r>
      <w:r>
        <w:rPr>
          <w:rFonts w:asciiTheme="minorHAnsi" w:hAnsiTheme="minorHAnsi"/>
        </w:rPr>
        <w:fldChar w:fldCharType="end"/>
      </w:r>
      <w:r>
        <w:rPr>
          <w:rFonts w:asciiTheme="minorHAnsi" w:hAnsiTheme="minorHAnsi"/>
        </w:rPr>
        <w:t xml:space="preserve"> found no </w:t>
      </w:r>
      <w:r w:rsidR="005B1CFB">
        <w:rPr>
          <w:rFonts w:asciiTheme="minorHAnsi" w:hAnsiTheme="minorHAnsi"/>
        </w:rPr>
        <w:t xml:space="preserve">significant </w:t>
      </w:r>
      <w:r>
        <w:rPr>
          <w:rFonts w:asciiTheme="minorHAnsi" w:hAnsiTheme="minorHAnsi"/>
        </w:rPr>
        <w:t>relationship between the length of time an individual had been living in New Zealand (i.e. recent vs long</w:t>
      </w:r>
      <w:r w:rsidR="0071441D">
        <w:rPr>
          <w:rFonts w:asciiTheme="minorHAnsi" w:hAnsiTheme="minorHAnsi"/>
        </w:rPr>
        <w:t>er</w:t>
      </w:r>
      <w:r>
        <w:rPr>
          <w:rFonts w:asciiTheme="minorHAnsi" w:hAnsiTheme="minorHAnsi"/>
        </w:rPr>
        <w:t xml:space="preserve">-term migrant </w:t>
      </w:r>
      <w:r>
        <w:rPr>
          <w:rFonts w:asciiTheme="minorHAnsi" w:hAnsiTheme="minorHAnsi"/>
        </w:rPr>
        <w:lastRenderedPageBreak/>
        <w:t xml:space="preserve">status) and problem gambling.  </w:t>
      </w:r>
      <w:r w:rsidRPr="00596081">
        <w:rPr>
          <w:rFonts w:asciiTheme="minorHAnsi" w:hAnsiTheme="minorHAnsi"/>
        </w:rPr>
        <w:t xml:space="preserve">However, </w:t>
      </w:r>
      <w:r w:rsidR="00596081" w:rsidRPr="00596081">
        <w:rPr>
          <w:rFonts w:asciiTheme="minorHAnsi" w:hAnsiTheme="minorHAnsi"/>
        </w:rPr>
        <w:t>while not significant, the current research found</w:t>
      </w:r>
      <w:r w:rsidRPr="00596081">
        <w:rPr>
          <w:rFonts w:asciiTheme="minorHAnsi" w:hAnsiTheme="minorHAnsi"/>
        </w:rPr>
        <w:t xml:space="preserve"> a general trend in relation to the length of time living in New Zealand and risky gambling: greater proportions of people who had lived in New Zealand for six or more years were experiencing some gambling related harm (low-risk, combined moderate-risk/problem) compared with those who had </w:t>
      </w:r>
      <w:r w:rsidR="00596081" w:rsidRPr="00596081">
        <w:rPr>
          <w:rFonts w:asciiTheme="minorHAnsi" w:hAnsiTheme="minorHAnsi"/>
        </w:rPr>
        <w:t>resided here</w:t>
      </w:r>
      <w:r w:rsidRPr="00596081">
        <w:rPr>
          <w:rFonts w:asciiTheme="minorHAnsi" w:hAnsiTheme="minorHAnsi"/>
        </w:rPr>
        <w:t xml:space="preserve"> for less than five years.  This trend corresponds with research and anecdotal evidence that settlement issues</w:t>
      </w:r>
      <w:r w:rsidR="00596081">
        <w:rPr>
          <w:rFonts w:asciiTheme="minorHAnsi" w:hAnsiTheme="minorHAnsi"/>
        </w:rPr>
        <w:t xml:space="preserve">, lack of exposure to gambling, </w:t>
      </w:r>
      <w:r w:rsidRPr="00596081">
        <w:rPr>
          <w:rFonts w:asciiTheme="minorHAnsi" w:hAnsiTheme="minorHAnsi"/>
        </w:rPr>
        <w:t xml:space="preserve"> and the </w:t>
      </w:r>
      <w:r w:rsidR="0025404C">
        <w:rPr>
          <w:rFonts w:asciiTheme="minorHAnsi" w:hAnsiTheme="minorHAnsi"/>
        </w:rPr>
        <w:t>‘</w:t>
      </w:r>
      <w:r w:rsidRPr="00596081">
        <w:rPr>
          <w:rFonts w:asciiTheme="minorHAnsi" w:hAnsiTheme="minorHAnsi"/>
        </w:rPr>
        <w:t>honeymoon period</w:t>
      </w:r>
      <w:r w:rsidR="0025404C">
        <w:rPr>
          <w:rFonts w:asciiTheme="minorHAnsi" w:hAnsiTheme="minorHAnsi"/>
        </w:rPr>
        <w:t>’</w:t>
      </w:r>
      <w:r w:rsidRPr="00596081">
        <w:rPr>
          <w:rFonts w:asciiTheme="minorHAnsi" w:hAnsiTheme="minorHAnsi"/>
        </w:rPr>
        <w:t xml:space="preserve"> (associated with good health in immigrants) are important factors in problem gambling </w:t>
      </w:r>
      <w:r w:rsidR="00596081" w:rsidRPr="00596081">
        <w:rPr>
          <w:rFonts w:asciiTheme="minorHAnsi" w:hAnsiTheme="minorHAnsi"/>
        </w:rPr>
        <w:t xml:space="preserve">behaviour </w:t>
      </w:r>
      <w:r w:rsidRPr="00596081">
        <w:rPr>
          <w:rFonts w:asciiTheme="minorHAnsi" w:hAnsiTheme="minorHAnsi"/>
        </w:rPr>
        <w:t xml:space="preserve">amongst immigrant populations </w:t>
      </w:r>
      <w:r w:rsidRPr="00596081">
        <w:rPr>
          <w:rFonts w:asciiTheme="minorHAnsi" w:hAnsiTheme="minorHAnsi"/>
        </w:rPr>
        <w:fldChar w:fldCharType="begin">
          <w:fldData xml:space="preserve">PEVuZE5vdGU+PENpdGU+PEF1dGhvcj5Tb2JydW4tTWFoYXJhajwvQXV0aG9yPjxZZWFyPjIwMTM8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PEVuZE5vdGU+PENpdGU+PEF1dGhvcj5Tb2JydW4tTWFoYXJhajwvQXV0aG9yPjxZZWFyPjIwMTM8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Pr="00596081">
        <w:rPr>
          <w:rFonts w:asciiTheme="minorHAnsi" w:hAnsiTheme="minorHAnsi"/>
        </w:rPr>
      </w:r>
      <w:r w:rsidRPr="00596081">
        <w:rPr>
          <w:rFonts w:asciiTheme="minorHAnsi" w:hAnsiTheme="minorHAnsi"/>
        </w:rPr>
        <w:fldChar w:fldCharType="separate"/>
      </w:r>
      <w:r w:rsidR="002965E9">
        <w:rPr>
          <w:rFonts w:asciiTheme="minorHAnsi" w:hAnsiTheme="minorHAnsi"/>
          <w:noProof/>
        </w:rPr>
        <w:t>(</w:t>
      </w:r>
      <w:hyperlink w:anchor="_ENREF_21" w:tooltip="Dixon, 2010 #244" w:history="1">
        <w:r w:rsidR="00765F46">
          <w:rPr>
            <w:rFonts w:asciiTheme="minorHAnsi" w:hAnsiTheme="minorHAnsi"/>
            <w:noProof/>
          </w:rPr>
          <w:t>Dixon, Tse, Rossen, &amp; Sobrun-Maharaj, 2010</w:t>
        </w:r>
      </w:hyperlink>
      <w:r w:rsidR="002965E9">
        <w:rPr>
          <w:rFonts w:asciiTheme="minorHAnsi" w:hAnsiTheme="minorHAnsi"/>
          <w:noProof/>
        </w:rPr>
        <w:t xml:space="preserve">; </w:t>
      </w:r>
      <w:hyperlink w:anchor="_ENREF_53" w:tooltip="Rossen, 2009 #20" w:history="1">
        <w:r w:rsidR="00765F46">
          <w:rPr>
            <w:rFonts w:asciiTheme="minorHAnsi" w:hAnsiTheme="minorHAnsi"/>
            <w:noProof/>
          </w:rPr>
          <w:t>Rossen, Tse, &amp; Vaidya, 2009</w:t>
        </w:r>
      </w:hyperlink>
      <w:r w:rsidR="002965E9">
        <w:rPr>
          <w:rFonts w:asciiTheme="minorHAnsi" w:hAnsiTheme="minorHAnsi"/>
          <w:noProof/>
        </w:rPr>
        <w:t xml:space="preserve">; </w:t>
      </w:r>
      <w:hyperlink w:anchor="_ENREF_56" w:tooltip="Sobrun-Maharaj, 2013 #914" w:history="1">
        <w:r w:rsidR="00765F46">
          <w:rPr>
            <w:rFonts w:asciiTheme="minorHAnsi" w:hAnsiTheme="minorHAnsi"/>
            <w:noProof/>
          </w:rPr>
          <w:t>Sobrun-Maharaj, Rossen, &amp; Wong, 2013</w:t>
        </w:r>
      </w:hyperlink>
      <w:r w:rsidR="002965E9">
        <w:rPr>
          <w:rFonts w:asciiTheme="minorHAnsi" w:hAnsiTheme="minorHAnsi"/>
          <w:noProof/>
        </w:rPr>
        <w:t xml:space="preserve">; </w:t>
      </w:r>
      <w:hyperlink w:anchor="_ENREF_65" w:tooltip="Wong, 2003 #196" w:history="1">
        <w:r w:rsidR="00765F46">
          <w:rPr>
            <w:rFonts w:asciiTheme="minorHAnsi" w:hAnsiTheme="minorHAnsi"/>
            <w:noProof/>
          </w:rPr>
          <w:t>Wong &amp; Tse, 2003</w:t>
        </w:r>
      </w:hyperlink>
      <w:r w:rsidR="002965E9">
        <w:rPr>
          <w:rFonts w:asciiTheme="minorHAnsi" w:hAnsiTheme="minorHAnsi"/>
          <w:noProof/>
        </w:rPr>
        <w:t>)</w:t>
      </w:r>
      <w:r w:rsidRPr="00596081">
        <w:rPr>
          <w:rFonts w:asciiTheme="minorHAnsi" w:hAnsiTheme="minorHAnsi"/>
        </w:rPr>
        <w:fldChar w:fldCharType="end"/>
      </w:r>
      <w:r w:rsidRPr="00596081">
        <w:rPr>
          <w:rFonts w:asciiTheme="minorHAnsi" w:hAnsiTheme="minorHAnsi"/>
        </w:rPr>
        <w:t>.  It is likely that the failure of this item to reach significance in the current research can be attributed to the limitations associated with small cell-sizes/numbers</w:t>
      </w:r>
      <w:r w:rsidR="0025404C">
        <w:rPr>
          <w:rFonts w:asciiTheme="minorHAnsi" w:hAnsiTheme="minorHAnsi"/>
        </w:rPr>
        <w:t xml:space="preserve"> for these items</w:t>
      </w:r>
      <w:r w:rsidRPr="00596081">
        <w:rPr>
          <w:rFonts w:asciiTheme="minorHAnsi" w:hAnsiTheme="minorHAnsi"/>
        </w:rPr>
        <w:t>.</w:t>
      </w:r>
      <w:r>
        <w:rPr>
          <w:rFonts w:asciiTheme="minorHAnsi" w:hAnsiTheme="minorHAnsi"/>
        </w:rPr>
        <w:t xml:space="preserve">  </w:t>
      </w:r>
    </w:p>
    <w:p w14:paraId="5EBDC29C" w14:textId="6C95459D" w:rsidR="00355AAD" w:rsidRDefault="002B033F" w:rsidP="00236F80">
      <w:pPr>
        <w:rPr>
          <w:rFonts w:asciiTheme="minorHAnsi" w:hAnsiTheme="minorHAnsi"/>
        </w:rPr>
      </w:pPr>
      <w:r>
        <w:rPr>
          <w:rFonts w:asciiTheme="minorHAnsi" w:hAnsiTheme="minorHAnsi"/>
        </w:rPr>
        <w:t xml:space="preserve">The 22 February, 2011 </w:t>
      </w:r>
      <w:r w:rsidR="005A144A">
        <w:rPr>
          <w:rFonts w:asciiTheme="minorHAnsi" w:hAnsiTheme="minorHAnsi"/>
        </w:rPr>
        <w:t xml:space="preserve">Christchurch </w:t>
      </w:r>
      <w:r>
        <w:rPr>
          <w:rFonts w:asciiTheme="minorHAnsi" w:hAnsiTheme="minorHAnsi"/>
        </w:rPr>
        <w:t xml:space="preserve">earthquake </w:t>
      </w:r>
      <w:r w:rsidR="005A144A">
        <w:rPr>
          <w:rFonts w:asciiTheme="minorHAnsi" w:hAnsiTheme="minorHAnsi"/>
        </w:rPr>
        <w:t xml:space="preserve">resulted in the death of 185 people and injured many others.  The </w:t>
      </w:r>
      <w:r w:rsidR="009638A6">
        <w:rPr>
          <w:rFonts w:asciiTheme="minorHAnsi" w:hAnsiTheme="minorHAnsi"/>
        </w:rPr>
        <w:t xml:space="preserve">devastating </w:t>
      </w:r>
      <w:r w:rsidR="005A144A">
        <w:rPr>
          <w:rFonts w:asciiTheme="minorHAnsi" w:hAnsiTheme="minorHAnsi"/>
        </w:rPr>
        <w:t>impacts of this earthquake, and the many aftershocks,</w:t>
      </w:r>
      <w:r>
        <w:rPr>
          <w:rFonts w:asciiTheme="minorHAnsi" w:hAnsiTheme="minorHAnsi"/>
        </w:rPr>
        <w:t xml:space="preserve"> ha</w:t>
      </w:r>
      <w:r w:rsidR="005A144A">
        <w:rPr>
          <w:rFonts w:asciiTheme="minorHAnsi" w:hAnsiTheme="minorHAnsi"/>
        </w:rPr>
        <w:t>ve</w:t>
      </w:r>
      <w:r>
        <w:rPr>
          <w:rFonts w:asciiTheme="minorHAnsi" w:hAnsiTheme="minorHAnsi"/>
        </w:rPr>
        <w:t xml:space="preserve"> resulted in ongoing </w:t>
      </w:r>
      <w:r w:rsidR="005A144A">
        <w:rPr>
          <w:rFonts w:asciiTheme="minorHAnsi" w:hAnsiTheme="minorHAnsi"/>
        </w:rPr>
        <w:t>disruption to</w:t>
      </w:r>
      <w:r>
        <w:rPr>
          <w:rFonts w:asciiTheme="minorHAnsi" w:hAnsiTheme="minorHAnsi"/>
        </w:rPr>
        <w:t xml:space="preserve"> the lives and wellbeing of those living in the Canterbury region.</w:t>
      </w:r>
      <w:r w:rsidR="007F62A5">
        <w:rPr>
          <w:rFonts w:asciiTheme="minorHAnsi" w:hAnsiTheme="minorHAnsi"/>
        </w:rPr>
        <w:t xml:space="preserve"> </w:t>
      </w:r>
      <w:r w:rsidR="00044EB4">
        <w:rPr>
          <w:rFonts w:asciiTheme="minorHAnsi" w:hAnsiTheme="minorHAnsi"/>
        </w:rPr>
        <w:t xml:space="preserve"> To enable the Ministry of Health to monitor the long-term health impacts of the earthquake, respondents of the 2011/12 New Zealand Health Survey</w:t>
      </w:r>
      <w:r w:rsidR="00044EB4" w:rsidRPr="00044EB4">
        <w:rPr>
          <w:rFonts w:asciiTheme="minorHAnsi" w:hAnsiTheme="minorHAnsi"/>
        </w:rPr>
        <w:t xml:space="preserve"> </w:t>
      </w:r>
      <w:r w:rsidR="00044EB4">
        <w:rPr>
          <w:rFonts w:asciiTheme="minorHAnsi" w:hAnsiTheme="minorHAnsi"/>
        </w:rPr>
        <w:t xml:space="preserve">were asked if they were a resident of Christchurch at the time of the earthquake. </w:t>
      </w:r>
      <w:r w:rsidR="002D5497">
        <w:rPr>
          <w:rFonts w:asciiTheme="minorHAnsi" w:hAnsiTheme="minorHAnsi"/>
        </w:rPr>
        <w:t xml:space="preserve"> No relationship was observed </w:t>
      </w:r>
      <w:r w:rsidR="00A04F87">
        <w:rPr>
          <w:rFonts w:asciiTheme="minorHAnsi" w:hAnsiTheme="minorHAnsi"/>
        </w:rPr>
        <w:t xml:space="preserve">in the 2011/12 NZHS </w:t>
      </w:r>
      <w:r w:rsidR="002D5497">
        <w:rPr>
          <w:rFonts w:asciiTheme="minorHAnsi" w:hAnsiTheme="minorHAnsi"/>
        </w:rPr>
        <w:t>between gambling and exposure to the Christchurch earthquake.</w:t>
      </w:r>
      <w:r w:rsidR="002965E9">
        <w:rPr>
          <w:rFonts w:asciiTheme="minorHAnsi" w:hAnsiTheme="minorHAnsi"/>
        </w:rPr>
        <w:t xml:space="preserve">  </w:t>
      </w:r>
      <w:r w:rsidR="00A04F87">
        <w:rPr>
          <w:rFonts w:asciiTheme="minorHAnsi" w:hAnsiTheme="minorHAnsi"/>
        </w:rPr>
        <w:t xml:space="preserve">This contrasts with </w:t>
      </w:r>
      <w:r w:rsidR="00DE5F57">
        <w:rPr>
          <w:rFonts w:asciiTheme="minorHAnsi" w:hAnsiTheme="minorHAnsi"/>
        </w:rPr>
        <w:t>t</w:t>
      </w:r>
      <w:r w:rsidR="002965E9">
        <w:rPr>
          <w:rFonts w:asciiTheme="minorHAnsi" w:hAnsiTheme="minorHAnsi"/>
        </w:rPr>
        <w:t xml:space="preserve">he National Gambling </w:t>
      </w:r>
      <w:r w:rsidR="00237E09">
        <w:rPr>
          <w:rFonts w:asciiTheme="minorHAnsi" w:hAnsiTheme="minorHAnsi"/>
        </w:rPr>
        <w:t>Study</w:t>
      </w:r>
      <w:r w:rsidR="002965E9">
        <w:rPr>
          <w:rFonts w:asciiTheme="minorHAnsi" w:hAnsiTheme="minorHAnsi"/>
        </w:rPr>
        <w:t xml:space="preserve"> </w:t>
      </w:r>
      <w:r w:rsidR="00627A56">
        <w:rPr>
          <w:rFonts w:asciiTheme="minorHAnsi" w:hAnsiTheme="minorHAnsi"/>
        </w:rPr>
        <w:t xml:space="preserve">which </w:t>
      </w:r>
      <w:r w:rsidR="002965E9">
        <w:rPr>
          <w:rFonts w:asciiTheme="minorHAnsi" w:hAnsiTheme="minorHAnsi"/>
        </w:rPr>
        <w:t xml:space="preserve">found that current residents of Christchurch were significantly less likely than those living in Auckland or Wellington to experience problem gambling </w:t>
      </w:r>
      <w:r w:rsidR="002965E9">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2965E9">
        <w:rPr>
          <w:rFonts w:asciiTheme="minorHAnsi" w:hAnsiTheme="minorHAnsi"/>
        </w:rPr>
        <w:fldChar w:fldCharType="separate"/>
      </w:r>
      <w:r w:rsidR="002965E9">
        <w:rPr>
          <w:rFonts w:asciiTheme="minorHAnsi" w:hAnsiTheme="minorHAnsi"/>
          <w:noProof/>
        </w:rPr>
        <w:t>(</w:t>
      </w:r>
      <w:hyperlink w:anchor="_ENREF_1" w:tooltip="Abbott, 2014 #921" w:history="1">
        <w:r w:rsidR="00765F46">
          <w:rPr>
            <w:rFonts w:asciiTheme="minorHAnsi" w:hAnsiTheme="minorHAnsi"/>
            <w:noProof/>
          </w:rPr>
          <w:t>Abbott et al., 2014a</w:t>
        </w:r>
      </w:hyperlink>
      <w:r w:rsidR="002965E9">
        <w:rPr>
          <w:rFonts w:asciiTheme="minorHAnsi" w:hAnsiTheme="minorHAnsi"/>
          <w:noProof/>
        </w:rPr>
        <w:t>)</w:t>
      </w:r>
      <w:r w:rsidR="002965E9">
        <w:rPr>
          <w:rFonts w:asciiTheme="minorHAnsi" w:hAnsiTheme="minorHAnsi"/>
        </w:rPr>
        <w:fldChar w:fldCharType="end"/>
      </w:r>
      <w:r w:rsidR="00CD4D80">
        <w:rPr>
          <w:rFonts w:asciiTheme="minorHAnsi" w:hAnsiTheme="minorHAnsi"/>
        </w:rPr>
        <w:t>.  Overall, t</w:t>
      </w:r>
      <w:r w:rsidR="006A23B7">
        <w:rPr>
          <w:rFonts w:asciiTheme="minorHAnsi" w:hAnsiTheme="minorHAnsi"/>
        </w:rPr>
        <w:t xml:space="preserve">here is a paucity of research </w:t>
      </w:r>
      <w:r w:rsidR="009638A6">
        <w:rPr>
          <w:rFonts w:asciiTheme="minorHAnsi" w:hAnsiTheme="minorHAnsi"/>
        </w:rPr>
        <w:t>into</w:t>
      </w:r>
      <w:r w:rsidR="006A23B7">
        <w:rPr>
          <w:rFonts w:asciiTheme="minorHAnsi" w:hAnsiTheme="minorHAnsi"/>
        </w:rPr>
        <w:t xml:space="preserve"> the </w:t>
      </w:r>
      <w:r w:rsidR="009638A6">
        <w:rPr>
          <w:rFonts w:asciiTheme="minorHAnsi" w:hAnsiTheme="minorHAnsi"/>
        </w:rPr>
        <w:t>effects</w:t>
      </w:r>
      <w:r w:rsidR="006A23B7">
        <w:rPr>
          <w:rFonts w:asciiTheme="minorHAnsi" w:hAnsiTheme="minorHAnsi"/>
        </w:rPr>
        <w:t xml:space="preserve"> of the Christchurch earthquakes on </w:t>
      </w:r>
      <w:r w:rsidR="009638A6">
        <w:rPr>
          <w:rFonts w:asciiTheme="minorHAnsi" w:hAnsiTheme="minorHAnsi"/>
        </w:rPr>
        <w:t xml:space="preserve">residents’ </w:t>
      </w:r>
      <w:r w:rsidR="006A23B7">
        <w:rPr>
          <w:rFonts w:asciiTheme="minorHAnsi" w:hAnsiTheme="minorHAnsi"/>
        </w:rPr>
        <w:t>health and wellbeing</w:t>
      </w:r>
      <w:r w:rsidR="00DE5F57">
        <w:rPr>
          <w:rFonts w:asciiTheme="minorHAnsi" w:hAnsiTheme="minorHAnsi"/>
        </w:rPr>
        <w:t xml:space="preserve">.  </w:t>
      </w:r>
      <w:r w:rsidR="00CF17CA">
        <w:rPr>
          <w:rFonts w:asciiTheme="minorHAnsi" w:hAnsiTheme="minorHAnsi"/>
        </w:rPr>
        <w:t>However, it</w:t>
      </w:r>
      <w:r w:rsidR="009638A6">
        <w:rPr>
          <w:rFonts w:asciiTheme="minorHAnsi" w:hAnsiTheme="minorHAnsi"/>
        </w:rPr>
        <w:t xml:space="preserve"> is </w:t>
      </w:r>
      <w:r w:rsidR="00CF17CA">
        <w:rPr>
          <w:rFonts w:asciiTheme="minorHAnsi" w:hAnsiTheme="minorHAnsi"/>
        </w:rPr>
        <w:t xml:space="preserve">heartening </w:t>
      </w:r>
      <w:r w:rsidR="009638A6">
        <w:rPr>
          <w:rFonts w:asciiTheme="minorHAnsi" w:hAnsiTheme="minorHAnsi"/>
        </w:rPr>
        <w:t>to note that recently released r</w:t>
      </w:r>
      <w:r w:rsidR="006A23B7">
        <w:rPr>
          <w:rFonts w:asciiTheme="minorHAnsi" w:hAnsiTheme="minorHAnsi"/>
        </w:rPr>
        <w:t xml:space="preserve">esearch </w:t>
      </w:r>
      <w:r w:rsidR="00DE5F57">
        <w:rPr>
          <w:rFonts w:asciiTheme="minorHAnsi" w:hAnsiTheme="minorHAnsi"/>
        </w:rPr>
        <w:t>on</w:t>
      </w:r>
      <w:r w:rsidR="009638A6">
        <w:rPr>
          <w:rFonts w:asciiTheme="minorHAnsi" w:hAnsiTheme="minorHAnsi"/>
        </w:rPr>
        <w:t xml:space="preserve"> the impacts of the earthquakes in relation to</w:t>
      </w:r>
      <w:r w:rsidR="00DE5F57">
        <w:rPr>
          <w:rFonts w:asciiTheme="minorHAnsi" w:hAnsiTheme="minorHAnsi"/>
        </w:rPr>
        <w:t xml:space="preserve"> other dangerous consumptions</w:t>
      </w:r>
      <w:r w:rsidR="009638A6">
        <w:rPr>
          <w:rFonts w:asciiTheme="minorHAnsi" w:hAnsiTheme="minorHAnsi"/>
        </w:rPr>
        <w:t>,</w:t>
      </w:r>
      <w:r w:rsidR="00DE5F57">
        <w:rPr>
          <w:rFonts w:asciiTheme="minorHAnsi" w:hAnsiTheme="minorHAnsi"/>
        </w:rPr>
        <w:t xml:space="preserve"> have </w:t>
      </w:r>
      <w:r w:rsidR="00CD4D80">
        <w:rPr>
          <w:rFonts w:asciiTheme="minorHAnsi" w:hAnsiTheme="minorHAnsi"/>
        </w:rPr>
        <w:t>f</w:t>
      </w:r>
      <w:r w:rsidR="00DE5F57">
        <w:rPr>
          <w:rFonts w:asciiTheme="minorHAnsi" w:hAnsiTheme="minorHAnsi"/>
        </w:rPr>
        <w:t xml:space="preserve">ound </w:t>
      </w:r>
      <w:r w:rsidR="008E1FFA">
        <w:rPr>
          <w:rFonts w:asciiTheme="minorHAnsi" w:hAnsiTheme="minorHAnsi"/>
        </w:rPr>
        <w:t>no significant</w:t>
      </w:r>
      <w:r w:rsidR="009638A6">
        <w:rPr>
          <w:rFonts w:asciiTheme="minorHAnsi" w:hAnsiTheme="minorHAnsi"/>
        </w:rPr>
        <w:t xml:space="preserve"> </w:t>
      </w:r>
      <w:r w:rsidR="008E1FFA">
        <w:rPr>
          <w:rFonts w:asciiTheme="minorHAnsi" w:hAnsiTheme="minorHAnsi"/>
        </w:rPr>
        <w:t>increases in the rates of drinking o</w:t>
      </w:r>
      <w:r w:rsidR="00CD4D80">
        <w:rPr>
          <w:rFonts w:asciiTheme="minorHAnsi" w:hAnsiTheme="minorHAnsi"/>
        </w:rPr>
        <w:t>r</w:t>
      </w:r>
      <w:r w:rsidR="008E1FFA">
        <w:rPr>
          <w:rFonts w:asciiTheme="minorHAnsi" w:hAnsiTheme="minorHAnsi"/>
        </w:rPr>
        <w:t xml:space="preserve"> illicit drug taking in those who had reported being adversely affected by the earthquakes</w:t>
      </w:r>
      <w:r w:rsidR="006A23B7">
        <w:rPr>
          <w:rFonts w:asciiTheme="minorHAnsi" w:hAnsiTheme="minorHAnsi"/>
        </w:rPr>
        <w:t xml:space="preserve"> </w:t>
      </w:r>
      <w:r w:rsidR="006A23B7">
        <w:rPr>
          <w:rFonts w:asciiTheme="minorHAnsi" w:hAnsiTheme="minorHAnsi"/>
        </w:rPr>
        <w:fldChar w:fldCharType="begin"/>
      </w:r>
      <w:r w:rsidR="00A34C5E">
        <w:rPr>
          <w:rFonts w:asciiTheme="minorHAnsi" w:hAnsiTheme="minorHAnsi"/>
        </w:rPr>
        <w:instrText xml:space="preserve"> ADDIN EN.CITE &lt;EndNote&gt;&lt;Cite&gt;&lt;Author&gt;Fergusson&lt;/Author&gt;&lt;Year&gt;2014&lt;/Year&gt;&lt;RecNum&gt;922&lt;/RecNum&gt;&lt;DisplayText&gt;(Fergusson, Horwood, Boden, &amp;amp; Mulder, 2014)&lt;/DisplayText&gt;&lt;record&gt;&lt;rec-number&gt;922&lt;/rec-number&gt;&lt;foreign-keys&gt;&lt;key app="EN" db-id="9pzse05rcvx956etremxfzdh9fzdxvd95rp2"&gt;922&lt;/key&gt;&lt;/foreign-keys&gt;&lt;ref-type name="Journal Article"&gt;17&lt;/ref-type&gt;&lt;contributors&gt;&lt;authors&gt;&lt;author&gt;Fergusson, D. M.&lt;/author&gt;&lt;author&gt;Horwood, L. J.&lt;/author&gt;&lt;author&gt;Boden, J. M.&lt;/author&gt;&lt;author&gt;Mulder, R. T.&lt;/author&gt;&lt;/authors&gt;&lt;/contributors&gt;&lt;titles&gt;&lt;title&gt;Impact of a major disaster on the mental health of a well-studied cohort&lt;/title&gt;&lt;secondary-title&gt;JAMA Psychiatry&lt;/secondary-title&gt;&lt;/titles&gt;&lt;dates&gt;&lt;year&gt;2014&lt;/year&gt;&lt;/dates&gt;&lt;urls&gt;&lt;/urls&gt;&lt;/record&gt;&lt;/Cite&gt;&lt;/EndNote&gt;</w:instrText>
      </w:r>
      <w:r w:rsidR="006A23B7">
        <w:rPr>
          <w:rFonts w:asciiTheme="minorHAnsi" w:hAnsiTheme="minorHAnsi"/>
        </w:rPr>
        <w:fldChar w:fldCharType="separate"/>
      </w:r>
      <w:r w:rsidR="006A23B7">
        <w:rPr>
          <w:rFonts w:asciiTheme="minorHAnsi" w:hAnsiTheme="minorHAnsi"/>
          <w:noProof/>
        </w:rPr>
        <w:t>(</w:t>
      </w:r>
      <w:hyperlink w:anchor="_ENREF_24" w:tooltip="Fergusson, 2014 #922" w:history="1">
        <w:r w:rsidR="00765F46">
          <w:rPr>
            <w:rFonts w:asciiTheme="minorHAnsi" w:hAnsiTheme="minorHAnsi"/>
            <w:noProof/>
          </w:rPr>
          <w:t>Fergusson, Horwood, Boden, &amp; Mulder, 2014</w:t>
        </w:r>
      </w:hyperlink>
      <w:r w:rsidR="006A23B7">
        <w:rPr>
          <w:rFonts w:asciiTheme="minorHAnsi" w:hAnsiTheme="minorHAnsi"/>
          <w:noProof/>
        </w:rPr>
        <w:t>)</w:t>
      </w:r>
      <w:r w:rsidR="006A23B7">
        <w:rPr>
          <w:rFonts w:asciiTheme="minorHAnsi" w:hAnsiTheme="minorHAnsi"/>
        </w:rPr>
        <w:fldChar w:fldCharType="end"/>
      </w:r>
      <w:r w:rsidR="008E1FFA">
        <w:rPr>
          <w:rFonts w:asciiTheme="minorHAnsi" w:hAnsiTheme="minorHAnsi"/>
        </w:rPr>
        <w:t xml:space="preserve">. </w:t>
      </w:r>
      <w:r w:rsidR="009638A6">
        <w:rPr>
          <w:rFonts w:asciiTheme="minorHAnsi" w:hAnsiTheme="minorHAnsi"/>
        </w:rPr>
        <w:t xml:space="preserve">  Similarly, analysis of the Youth’12 data found no significant differences between Christchurch </w:t>
      </w:r>
      <w:r w:rsidR="009638A6">
        <w:rPr>
          <w:rFonts w:asciiTheme="minorHAnsi" w:hAnsiTheme="minorHAnsi"/>
        </w:rPr>
        <w:lastRenderedPageBreak/>
        <w:t xml:space="preserve">youth and </w:t>
      </w:r>
      <w:r w:rsidR="00516C80">
        <w:rPr>
          <w:rFonts w:asciiTheme="minorHAnsi" w:hAnsiTheme="minorHAnsi"/>
        </w:rPr>
        <w:t xml:space="preserve">youth from </w:t>
      </w:r>
      <w:r w:rsidR="009638A6">
        <w:rPr>
          <w:rFonts w:asciiTheme="minorHAnsi" w:hAnsiTheme="minorHAnsi"/>
        </w:rPr>
        <w:t xml:space="preserve">the rest of New Zealand with regard to weekly alcohol use, binge drinking or current marijuana use </w:t>
      </w:r>
      <w:r w:rsidR="009638A6">
        <w:rPr>
          <w:rFonts w:asciiTheme="minorHAnsi" w:hAnsiTheme="minorHAnsi"/>
        </w:rPr>
        <w:fldChar w:fldCharType="begin"/>
      </w:r>
      <w:r w:rsidR="00A34C5E">
        <w:rPr>
          <w:rFonts w:asciiTheme="minorHAnsi" w:hAnsiTheme="minorHAnsi"/>
        </w:rPr>
        <w:instrText xml:space="preserve"> ADDIN EN.CITE &lt;EndNote&gt;&lt;Cite&gt;&lt;Author&gt;Fleming&lt;/Author&gt;&lt;Year&gt;2013&lt;/Year&gt;&lt;RecNum&gt;923&lt;/RecNum&gt;&lt;DisplayText&gt;(Fleming et al., 2013)&lt;/DisplayText&gt;&lt;record&gt;&lt;rec-number&gt;923&lt;/rec-number&gt;&lt;foreign-keys&gt;&lt;key app="EN" db-id="9pzse05rcvx956etremxfzdh9fzdxvd95rp2"&gt;923&lt;/key&gt;&lt;/foreign-keys&gt;&lt;ref-type name="Report"&gt;27&lt;/ref-type&gt;&lt;contributors&gt;&lt;authors&gt;&lt;author&gt;Fleming, T.&lt;/author&gt;&lt;author&gt;Clark, T.C.&lt;/author&gt;&lt;author&gt;Denny, S.&lt;/author&gt;&lt;author&gt;Robinson, E.&lt;/author&gt;&lt;author&gt;Rossen, F.&lt;/author&gt;&lt;author&gt;Bullen, P.&lt;/author&gt;&lt;author&gt;Crengle, S.&lt;/author&gt;&lt;author&gt;Fortune, S.&lt;/author&gt;&lt;author&gt;Peiris-John, R.&lt;/author&gt;&lt;author&gt;Teevale, T.&lt;/author&gt;&lt;author&gt;Utter, J. &lt;/author&gt;&lt;author&gt;The Adolescent Health Research Group,&lt;/author&gt;&lt;/authors&gt;&lt;/contributors&gt;&lt;titles&gt;&lt;title&gt;The health and wellbeing of secondary school students in Christchurch: Findings from the Youth’12 national youth health and wellbeing survey&lt;/title&gt;&lt;/titles&gt;&lt;dates&gt;&lt;year&gt;2013&lt;/year&gt;&lt;/dates&gt;&lt;pub-location&gt;Auckland, New Zealand&lt;/pub-location&gt;&lt;publisher&gt;The University of Auckland&lt;/publisher&gt;&lt;urls&gt;&lt;/urls&gt;&lt;/record&gt;&lt;/Cite&gt;&lt;/EndNote&gt;</w:instrText>
      </w:r>
      <w:r w:rsidR="009638A6">
        <w:rPr>
          <w:rFonts w:asciiTheme="minorHAnsi" w:hAnsiTheme="minorHAnsi"/>
        </w:rPr>
        <w:fldChar w:fldCharType="separate"/>
      </w:r>
      <w:r w:rsidR="009638A6">
        <w:rPr>
          <w:rFonts w:asciiTheme="minorHAnsi" w:hAnsiTheme="minorHAnsi"/>
          <w:noProof/>
        </w:rPr>
        <w:t>(</w:t>
      </w:r>
      <w:hyperlink w:anchor="_ENREF_26" w:tooltip="Fleming, 2013 #923" w:history="1">
        <w:r w:rsidR="00765F46">
          <w:rPr>
            <w:rFonts w:asciiTheme="minorHAnsi" w:hAnsiTheme="minorHAnsi"/>
            <w:noProof/>
          </w:rPr>
          <w:t>Fleming et al., 2013</w:t>
        </w:r>
      </w:hyperlink>
      <w:r w:rsidR="009638A6">
        <w:rPr>
          <w:rFonts w:asciiTheme="minorHAnsi" w:hAnsiTheme="minorHAnsi"/>
          <w:noProof/>
        </w:rPr>
        <w:t>)</w:t>
      </w:r>
      <w:r w:rsidR="009638A6">
        <w:rPr>
          <w:rFonts w:asciiTheme="minorHAnsi" w:hAnsiTheme="minorHAnsi"/>
        </w:rPr>
        <w:fldChar w:fldCharType="end"/>
      </w:r>
      <w:r w:rsidR="009638A6">
        <w:rPr>
          <w:rFonts w:asciiTheme="minorHAnsi" w:hAnsiTheme="minorHAnsi"/>
        </w:rPr>
        <w:t xml:space="preserve">. </w:t>
      </w:r>
    </w:p>
    <w:p w14:paraId="30DFB317" w14:textId="78AA1A4B" w:rsidR="00882FD7" w:rsidRDefault="00346BEC" w:rsidP="00236F80">
      <w:pPr>
        <w:rPr>
          <w:rFonts w:asciiTheme="minorHAnsi" w:hAnsiTheme="minorHAnsi"/>
        </w:rPr>
      </w:pPr>
      <w:r>
        <w:rPr>
          <w:rFonts w:asciiTheme="minorHAnsi" w:hAnsiTheme="minorHAnsi"/>
        </w:rPr>
        <w:t>Local and international research has consistently highlighted links between problem gambling and use of other dangerous consumptions, poor health and mental health</w:t>
      </w:r>
      <w:r w:rsidR="00A97F1B">
        <w:rPr>
          <w:rFonts w:asciiTheme="minorHAnsi" w:hAnsiTheme="minorHAnsi"/>
        </w:rPr>
        <w:t xml:space="preserve"> </w:t>
      </w:r>
      <w:r w:rsidR="00A97F1B">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b3R0ICZhbXA7IFZvbGJlcmcsIDE5OTY7IE1pbmlzdHJ5IG9mIEhlYWx0aCwgMjAwNiwgMjAwOTsg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b3R0ICZhbXA7IFZvbGJlcmcsIDE5OTY7IE1pbmlzdHJ5IG9mIEhlYWx0aCwgMjAwNiwgMjAwOTsg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A97F1B">
        <w:rPr>
          <w:rFonts w:asciiTheme="minorHAnsi" w:hAnsiTheme="minorHAnsi"/>
        </w:rPr>
      </w:r>
      <w:r w:rsidR="00A97F1B">
        <w:rPr>
          <w:rFonts w:asciiTheme="minorHAnsi" w:hAnsiTheme="minorHAnsi"/>
        </w:rPr>
        <w:fldChar w:fldCharType="separate"/>
      </w:r>
      <w:r w:rsidR="00A97F1B">
        <w:rPr>
          <w:rFonts w:asciiTheme="minorHAnsi" w:hAnsiTheme="minorHAnsi"/>
          <w:noProof/>
        </w:rPr>
        <w:t>(</w:t>
      </w:r>
      <w:hyperlink w:anchor="_ENREF_1" w:tooltip="Abbott, 2014 #921" w:history="1">
        <w:r w:rsidR="00765F46">
          <w:rPr>
            <w:rFonts w:asciiTheme="minorHAnsi" w:hAnsiTheme="minorHAnsi"/>
            <w:noProof/>
          </w:rPr>
          <w:t>Abbott et al., 2014a</w:t>
        </w:r>
      </w:hyperlink>
      <w:r w:rsidR="00A97F1B">
        <w:rPr>
          <w:rFonts w:asciiTheme="minorHAnsi" w:hAnsiTheme="minorHAnsi"/>
          <w:noProof/>
        </w:rPr>
        <w:t xml:space="preserve">; </w:t>
      </w:r>
      <w:hyperlink w:anchor="_ENREF_6" w:tooltip="Abbott, 1996 #321" w:history="1">
        <w:r w:rsidR="00765F46">
          <w:rPr>
            <w:rFonts w:asciiTheme="minorHAnsi" w:hAnsiTheme="minorHAnsi"/>
            <w:noProof/>
          </w:rPr>
          <w:t>Abbott &amp; Volberg, 1996</w:t>
        </w:r>
      </w:hyperlink>
      <w:r w:rsidR="00A97F1B">
        <w:rPr>
          <w:rFonts w:asciiTheme="minorHAnsi" w:hAnsiTheme="minorHAnsi"/>
          <w:noProof/>
        </w:rPr>
        <w:t xml:space="preserve">; </w:t>
      </w:r>
      <w:hyperlink w:anchor="_ENREF_34" w:tooltip="Ministry of Health, 2006 #31" w:history="1">
        <w:r w:rsidR="00765F46">
          <w:rPr>
            <w:rFonts w:asciiTheme="minorHAnsi" w:hAnsiTheme="minorHAnsi"/>
            <w:noProof/>
          </w:rPr>
          <w:t>Ministry of Health, 2006</w:t>
        </w:r>
      </w:hyperlink>
      <w:r w:rsidR="00A97F1B">
        <w:rPr>
          <w:rFonts w:asciiTheme="minorHAnsi" w:hAnsiTheme="minorHAnsi"/>
          <w:noProof/>
        </w:rPr>
        <w:t xml:space="preserve">, </w:t>
      </w:r>
      <w:hyperlink w:anchor="_ENREF_36" w:tooltip="Ministry of Health, 2009 #33" w:history="1">
        <w:r w:rsidR="00765F46">
          <w:rPr>
            <w:rFonts w:asciiTheme="minorHAnsi" w:hAnsiTheme="minorHAnsi"/>
            <w:noProof/>
          </w:rPr>
          <w:t>2009</w:t>
        </w:r>
      </w:hyperlink>
      <w:r w:rsidR="00A97F1B">
        <w:rPr>
          <w:rFonts w:asciiTheme="minorHAnsi" w:hAnsiTheme="minorHAnsi"/>
          <w:noProof/>
        </w:rPr>
        <w:t xml:space="preserve">; </w:t>
      </w:r>
      <w:hyperlink w:anchor="_ENREF_49" w:tooltip="Productivity Commission, 2010 #283" w:history="1">
        <w:r w:rsidR="00765F46">
          <w:rPr>
            <w:rFonts w:asciiTheme="minorHAnsi" w:hAnsiTheme="minorHAnsi"/>
            <w:noProof/>
          </w:rPr>
          <w:t>Productivity Commission, 2010</w:t>
        </w:r>
      </w:hyperlink>
      <w:r w:rsidR="00A97F1B">
        <w:rPr>
          <w:rFonts w:asciiTheme="minorHAnsi" w:hAnsiTheme="minorHAnsi"/>
          <w:noProof/>
        </w:rPr>
        <w:t xml:space="preserve">; </w:t>
      </w:r>
      <w:hyperlink w:anchor="_ENREF_52" w:tooltip="Rossen, 2013 #920" w:history="1">
        <w:r w:rsidR="00765F46">
          <w:rPr>
            <w:rFonts w:asciiTheme="minorHAnsi" w:hAnsiTheme="minorHAnsi"/>
            <w:noProof/>
          </w:rPr>
          <w:t>Rossen et al., 2013</w:t>
        </w:r>
      </w:hyperlink>
      <w:r w:rsidR="00A97F1B">
        <w:rPr>
          <w:rFonts w:asciiTheme="minorHAnsi" w:hAnsiTheme="minorHAnsi"/>
          <w:noProof/>
        </w:rPr>
        <w:t xml:space="preserve">; </w:t>
      </w:r>
      <w:hyperlink w:anchor="_ENREF_53" w:tooltip="Rossen, 2009 #20" w:history="1">
        <w:r w:rsidR="00765F46">
          <w:rPr>
            <w:rFonts w:asciiTheme="minorHAnsi" w:hAnsiTheme="minorHAnsi"/>
            <w:noProof/>
          </w:rPr>
          <w:t>Rossen et al., 2009</w:t>
        </w:r>
      </w:hyperlink>
      <w:r w:rsidR="00A97F1B">
        <w:rPr>
          <w:rFonts w:asciiTheme="minorHAnsi" w:hAnsiTheme="minorHAnsi"/>
          <w:noProof/>
        </w:rPr>
        <w:t xml:space="preserve">; </w:t>
      </w:r>
      <w:hyperlink w:anchor="_ENREF_61" w:tooltip="Volberg, 2010 #139" w:history="1">
        <w:r w:rsidR="00765F46">
          <w:rPr>
            <w:rFonts w:asciiTheme="minorHAnsi" w:hAnsiTheme="minorHAnsi"/>
            <w:noProof/>
          </w:rPr>
          <w:t>Volberg, Gupta, Griffiths, Ólason, &amp; Delfabbro, 2010</w:t>
        </w:r>
      </w:hyperlink>
      <w:r w:rsidR="00A97F1B">
        <w:rPr>
          <w:rFonts w:asciiTheme="minorHAnsi" w:hAnsiTheme="minorHAnsi"/>
          <w:noProof/>
        </w:rPr>
        <w:t>)</w:t>
      </w:r>
      <w:r w:rsidR="00A97F1B">
        <w:rPr>
          <w:rFonts w:asciiTheme="minorHAnsi" w:hAnsiTheme="minorHAnsi"/>
        </w:rPr>
        <w:fldChar w:fldCharType="end"/>
      </w:r>
      <w:r w:rsidR="004C4E9D">
        <w:rPr>
          <w:rFonts w:asciiTheme="minorHAnsi" w:hAnsiTheme="minorHAnsi"/>
        </w:rPr>
        <w:t xml:space="preserve">.  </w:t>
      </w:r>
      <w:r w:rsidR="00882FD7">
        <w:rPr>
          <w:rFonts w:asciiTheme="minorHAnsi" w:hAnsiTheme="minorHAnsi"/>
        </w:rPr>
        <w:t>Th</w:t>
      </w:r>
      <w:r w:rsidR="004C4E9D">
        <w:rPr>
          <w:rFonts w:asciiTheme="minorHAnsi" w:hAnsiTheme="minorHAnsi"/>
        </w:rPr>
        <w:t>e current</w:t>
      </w:r>
      <w:r w:rsidR="00882FD7">
        <w:rPr>
          <w:rFonts w:asciiTheme="minorHAnsi" w:hAnsiTheme="minorHAnsi"/>
        </w:rPr>
        <w:t xml:space="preserve"> research p</w:t>
      </w:r>
      <w:r w:rsidR="00062423">
        <w:rPr>
          <w:rFonts w:asciiTheme="minorHAnsi" w:hAnsiTheme="minorHAnsi"/>
        </w:rPr>
        <w:t xml:space="preserve">rovides further evidence </w:t>
      </w:r>
      <w:r w:rsidR="00580E33">
        <w:rPr>
          <w:rFonts w:asciiTheme="minorHAnsi" w:hAnsiTheme="minorHAnsi"/>
        </w:rPr>
        <w:t>of</w:t>
      </w:r>
      <w:r w:rsidR="00062423">
        <w:rPr>
          <w:rFonts w:asciiTheme="minorHAnsi" w:hAnsiTheme="minorHAnsi"/>
        </w:rPr>
        <w:t xml:space="preserve"> the propensity </w:t>
      </w:r>
      <w:r w:rsidR="00882FD7">
        <w:rPr>
          <w:rFonts w:asciiTheme="minorHAnsi" w:hAnsiTheme="minorHAnsi"/>
        </w:rPr>
        <w:t xml:space="preserve">of problem gambling to co-exist with other </w:t>
      </w:r>
      <w:r w:rsidR="00F26918">
        <w:rPr>
          <w:rFonts w:asciiTheme="minorHAnsi" w:hAnsiTheme="minorHAnsi"/>
        </w:rPr>
        <w:t xml:space="preserve">issues. </w:t>
      </w:r>
      <w:r>
        <w:rPr>
          <w:rFonts w:asciiTheme="minorHAnsi" w:hAnsiTheme="minorHAnsi"/>
        </w:rPr>
        <w:t xml:space="preserve"> </w:t>
      </w:r>
      <w:r w:rsidR="00F26918">
        <w:rPr>
          <w:rFonts w:asciiTheme="minorHAnsi" w:hAnsiTheme="minorHAnsi"/>
        </w:rPr>
        <w:t xml:space="preserve">With regard to </w:t>
      </w:r>
      <w:r w:rsidR="00062423">
        <w:rPr>
          <w:rFonts w:asciiTheme="minorHAnsi" w:hAnsiTheme="minorHAnsi"/>
        </w:rPr>
        <w:t>dangerous consumptions</w:t>
      </w:r>
      <w:r w:rsidR="00F26918">
        <w:rPr>
          <w:rFonts w:asciiTheme="minorHAnsi" w:hAnsiTheme="minorHAnsi"/>
        </w:rPr>
        <w:t>, a</w:t>
      </w:r>
      <w:r w:rsidR="004E5986">
        <w:rPr>
          <w:rFonts w:asciiTheme="minorHAnsi" w:hAnsiTheme="minorHAnsi"/>
        </w:rPr>
        <w:t>s gambling</w:t>
      </w:r>
      <w:r w:rsidR="00CC7650">
        <w:rPr>
          <w:rFonts w:asciiTheme="minorHAnsi" w:hAnsiTheme="minorHAnsi"/>
        </w:rPr>
        <w:t xml:space="preserve"> behaviour</w:t>
      </w:r>
      <w:r w:rsidR="004E5986">
        <w:rPr>
          <w:rFonts w:asciiTheme="minorHAnsi" w:hAnsiTheme="minorHAnsi"/>
        </w:rPr>
        <w:t xml:space="preserve"> intensified from low-risk to moderate-risk/problem</w:t>
      </w:r>
      <w:r w:rsidR="00CC7650">
        <w:rPr>
          <w:rFonts w:asciiTheme="minorHAnsi" w:hAnsiTheme="minorHAnsi"/>
        </w:rPr>
        <w:t>, the likelihood of</w:t>
      </w:r>
      <w:r w:rsidR="004E5986">
        <w:rPr>
          <w:rFonts w:asciiTheme="minorHAnsi" w:hAnsiTheme="minorHAnsi"/>
        </w:rPr>
        <w:t xml:space="preserve"> </w:t>
      </w:r>
      <w:r w:rsidR="00CC7650">
        <w:rPr>
          <w:rFonts w:asciiTheme="minorHAnsi" w:hAnsiTheme="minorHAnsi"/>
        </w:rPr>
        <w:t>the following increased</w:t>
      </w:r>
      <w:r w:rsidR="00472C3A">
        <w:rPr>
          <w:rFonts w:asciiTheme="minorHAnsi" w:hAnsiTheme="minorHAnsi"/>
        </w:rPr>
        <w:t xml:space="preserve"> significantly</w:t>
      </w:r>
      <w:r w:rsidR="00CC7650">
        <w:rPr>
          <w:rFonts w:asciiTheme="minorHAnsi" w:hAnsiTheme="minorHAnsi"/>
        </w:rPr>
        <w:t xml:space="preserve">: </w:t>
      </w:r>
      <w:r w:rsidR="004E5986">
        <w:rPr>
          <w:rFonts w:asciiTheme="minorHAnsi" w:hAnsiTheme="minorHAnsi"/>
        </w:rPr>
        <w:t>alcohol</w:t>
      </w:r>
      <w:r w:rsidR="00CC7650">
        <w:rPr>
          <w:rFonts w:asciiTheme="minorHAnsi" w:hAnsiTheme="minorHAnsi"/>
        </w:rPr>
        <w:t xml:space="preserve"> use</w:t>
      </w:r>
      <w:r w:rsidR="004E5986">
        <w:rPr>
          <w:rFonts w:asciiTheme="minorHAnsi" w:hAnsiTheme="minorHAnsi"/>
        </w:rPr>
        <w:t xml:space="preserve">, hazardous drinking, alcohol dependence, cigarette smoking, overall drug use, </w:t>
      </w:r>
      <w:r w:rsidR="00CC7650">
        <w:rPr>
          <w:rFonts w:asciiTheme="minorHAnsi" w:hAnsiTheme="minorHAnsi"/>
        </w:rPr>
        <w:t xml:space="preserve">cannabis use, and use of other drugs. </w:t>
      </w:r>
    </w:p>
    <w:p w14:paraId="10E639B9" w14:textId="086C0F7C" w:rsidR="00C5179B" w:rsidRDefault="006347AD" w:rsidP="00116959">
      <w:pPr>
        <w:rPr>
          <w:rFonts w:asciiTheme="minorHAnsi" w:hAnsiTheme="minorHAnsi"/>
        </w:rPr>
      </w:pPr>
      <w:r>
        <w:rPr>
          <w:rFonts w:asciiTheme="minorHAnsi" w:hAnsiTheme="minorHAnsi"/>
        </w:rPr>
        <w:t xml:space="preserve">There is also substantial evidence for the co-existence of problem gambling with psychological distress </w:t>
      </w:r>
      <w:r>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b3R0ICZhbXA7IFZvbGJlcmcsIDE5OTY7IE1pbmlzdHJ5IG9mIEhlYWx0aCwgMjAwNiwgMjAwOTsg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PEVuZE5vdGU+PENpdGU+PEF1dGhvcj5BYmJvdHQ8L0F1dGhvcj48WWVhcj4yMDE0PC9ZZWFyPjxS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Pr>
          <w:rFonts w:asciiTheme="minorHAnsi" w:hAnsiTheme="minorHAnsi"/>
        </w:rPr>
      </w:r>
      <w:r>
        <w:rPr>
          <w:rFonts w:asciiTheme="minorHAnsi" w:hAnsiTheme="minorHAnsi"/>
        </w:rPr>
        <w:fldChar w:fldCharType="separate"/>
      </w:r>
      <w:r>
        <w:rPr>
          <w:rFonts w:asciiTheme="minorHAnsi" w:hAnsiTheme="minorHAnsi"/>
          <w:noProof/>
        </w:rPr>
        <w:t>(</w:t>
      </w:r>
      <w:hyperlink w:anchor="_ENREF_1" w:tooltip="Abbott, 2014 #921" w:history="1">
        <w:r w:rsidR="00765F46">
          <w:rPr>
            <w:rFonts w:asciiTheme="minorHAnsi" w:hAnsiTheme="minorHAnsi"/>
            <w:noProof/>
          </w:rPr>
          <w:t>Abbott et al., 2014a</w:t>
        </w:r>
      </w:hyperlink>
      <w:r>
        <w:rPr>
          <w:rFonts w:asciiTheme="minorHAnsi" w:hAnsiTheme="minorHAnsi"/>
          <w:noProof/>
        </w:rPr>
        <w:t xml:space="preserve">; </w:t>
      </w:r>
      <w:hyperlink w:anchor="_ENREF_6" w:tooltip="Abbott, 1996 #321" w:history="1">
        <w:r w:rsidR="00765F46">
          <w:rPr>
            <w:rFonts w:asciiTheme="minorHAnsi" w:hAnsiTheme="minorHAnsi"/>
            <w:noProof/>
          </w:rPr>
          <w:t>Abbott &amp; Volberg, 1996</w:t>
        </w:r>
      </w:hyperlink>
      <w:r>
        <w:rPr>
          <w:rFonts w:asciiTheme="minorHAnsi" w:hAnsiTheme="minorHAnsi"/>
          <w:noProof/>
        </w:rPr>
        <w:t xml:space="preserve">; </w:t>
      </w:r>
      <w:hyperlink w:anchor="_ENREF_34" w:tooltip="Ministry of Health, 2006 #31" w:history="1">
        <w:r w:rsidR="00765F46">
          <w:rPr>
            <w:rFonts w:asciiTheme="minorHAnsi" w:hAnsiTheme="minorHAnsi"/>
            <w:noProof/>
          </w:rPr>
          <w:t>Ministry of Health, 2006</w:t>
        </w:r>
      </w:hyperlink>
      <w:r>
        <w:rPr>
          <w:rFonts w:asciiTheme="minorHAnsi" w:hAnsiTheme="minorHAnsi"/>
          <w:noProof/>
        </w:rPr>
        <w:t xml:space="preserve">, </w:t>
      </w:r>
      <w:hyperlink w:anchor="_ENREF_36" w:tooltip="Ministry of Health, 2009 #33" w:history="1">
        <w:r w:rsidR="00765F46">
          <w:rPr>
            <w:rFonts w:asciiTheme="minorHAnsi" w:hAnsiTheme="minorHAnsi"/>
            <w:noProof/>
          </w:rPr>
          <w:t>2009</w:t>
        </w:r>
      </w:hyperlink>
      <w:r>
        <w:rPr>
          <w:rFonts w:asciiTheme="minorHAnsi" w:hAnsiTheme="minorHAnsi"/>
          <w:noProof/>
        </w:rPr>
        <w:t xml:space="preserve">; </w:t>
      </w:r>
      <w:hyperlink w:anchor="_ENREF_49" w:tooltip="Productivity Commission, 2010 #283" w:history="1">
        <w:r w:rsidR="00765F46">
          <w:rPr>
            <w:rFonts w:asciiTheme="minorHAnsi" w:hAnsiTheme="minorHAnsi"/>
            <w:noProof/>
          </w:rPr>
          <w:t>Productivity Commission, 2010</w:t>
        </w:r>
      </w:hyperlink>
      <w:r>
        <w:rPr>
          <w:rFonts w:asciiTheme="minorHAnsi" w:hAnsiTheme="minorHAnsi"/>
          <w:noProof/>
        </w:rPr>
        <w:t xml:space="preserve">; </w:t>
      </w:r>
      <w:hyperlink w:anchor="_ENREF_52" w:tooltip="Rossen, 2013 #920" w:history="1">
        <w:r w:rsidR="00765F46">
          <w:rPr>
            <w:rFonts w:asciiTheme="minorHAnsi" w:hAnsiTheme="minorHAnsi"/>
            <w:noProof/>
          </w:rPr>
          <w:t>Rossen et al., 2013</w:t>
        </w:r>
      </w:hyperlink>
      <w:r>
        <w:rPr>
          <w:rFonts w:asciiTheme="minorHAnsi" w:hAnsiTheme="minorHAnsi"/>
          <w:noProof/>
        </w:rPr>
        <w:t xml:space="preserve">; </w:t>
      </w:r>
      <w:hyperlink w:anchor="_ENREF_53" w:tooltip="Rossen, 2009 #20" w:history="1">
        <w:r w:rsidR="00765F46">
          <w:rPr>
            <w:rFonts w:asciiTheme="minorHAnsi" w:hAnsiTheme="minorHAnsi"/>
            <w:noProof/>
          </w:rPr>
          <w:t>Rossen et al., 2009</w:t>
        </w:r>
      </w:hyperlink>
      <w:r>
        <w:rPr>
          <w:rFonts w:asciiTheme="minorHAnsi" w:hAnsiTheme="minorHAnsi"/>
          <w:noProof/>
        </w:rPr>
        <w:t xml:space="preserve">; </w:t>
      </w:r>
      <w:hyperlink w:anchor="_ENREF_61" w:tooltip="Volberg, 2010 #139" w:history="1">
        <w:r w:rsidR="00765F46">
          <w:rPr>
            <w:rFonts w:asciiTheme="minorHAnsi" w:hAnsiTheme="minorHAnsi"/>
            <w:noProof/>
          </w:rPr>
          <w:t>Volberg et al., 2010</w:t>
        </w:r>
      </w:hyperlink>
      <w:r>
        <w:rPr>
          <w:rFonts w:asciiTheme="minorHAnsi" w:hAnsiTheme="minorHAnsi"/>
          <w:noProof/>
        </w:rPr>
        <w:t>)</w:t>
      </w:r>
      <w:r>
        <w:rPr>
          <w:rFonts w:asciiTheme="minorHAnsi" w:hAnsiTheme="minorHAnsi"/>
        </w:rPr>
        <w:fldChar w:fldCharType="end"/>
      </w:r>
      <w:r>
        <w:rPr>
          <w:rFonts w:asciiTheme="minorHAnsi" w:hAnsiTheme="minorHAnsi"/>
        </w:rPr>
        <w:t xml:space="preserve">.  </w:t>
      </w:r>
      <w:r w:rsidR="00116959">
        <w:rPr>
          <w:rFonts w:asciiTheme="minorHAnsi" w:hAnsiTheme="minorHAnsi"/>
        </w:rPr>
        <w:t xml:space="preserve">This research found that the </w:t>
      </w:r>
      <w:r w:rsidR="00A32F40">
        <w:rPr>
          <w:rFonts w:asciiTheme="minorHAnsi" w:hAnsiTheme="minorHAnsi"/>
        </w:rPr>
        <w:t>likelihood</w:t>
      </w:r>
      <w:r w:rsidR="00116959">
        <w:rPr>
          <w:rFonts w:asciiTheme="minorHAnsi" w:hAnsiTheme="minorHAnsi"/>
        </w:rPr>
        <w:t xml:space="preserve"> of</w:t>
      </w:r>
      <w:r w:rsidR="00A32F40">
        <w:rPr>
          <w:rFonts w:asciiTheme="minorHAnsi" w:hAnsiTheme="minorHAnsi"/>
        </w:rPr>
        <w:t xml:space="preserve"> experiencing a</w:t>
      </w:r>
      <w:r w:rsidR="00116959">
        <w:rPr>
          <w:rFonts w:asciiTheme="minorHAnsi" w:hAnsiTheme="minorHAnsi"/>
        </w:rPr>
        <w:t xml:space="preserve"> psychological dis</w:t>
      </w:r>
      <w:r w:rsidR="00A32F40">
        <w:rPr>
          <w:rFonts w:asciiTheme="minorHAnsi" w:hAnsiTheme="minorHAnsi"/>
        </w:rPr>
        <w:t>order</w:t>
      </w:r>
      <w:r w:rsidR="00116959">
        <w:rPr>
          <w:rFonts w:asciiTheme="minorHAnsi" w:hAnsiTheme="minorHAnsi"/>
        </w:rPr>
        <w:t xml:space="preserve"> </w:t>
      </w:r>
      <w:r w:rsidR="00580E33">
        <w:rPr>
          <w:rFonts w:asciiTheme="minorHAnsi" w:hAnsiTheme="minorHAnsi"/>
        </w:rPr>
        <w:t>(anxiety and</w:t>
      </w:r>
      <w:r w:rsidR="00A32F40">
        <w:rPr>
          <w:rFonts w:asciiTheme="minorHAnsi" w:hAnsiTheme="minorHAnsi"/>
        </w:rPr>
        <w:t>/or</w:t>
      </w:r>
      <w:r w:rsidR="00580E33">
        <w:rPr>
          <w:rFonts w:asciiTheme="minorHAnsi" w:hAnsiTheme="minorHAnsi"/>
        </w:rPr>
        <w:t xml:space="preserve"> depressi</w:t>
      </w:r>
      <w:r w:rsidR="00A32F40">
        <w:rPr>
          <w:rFonts w:asciiTheme="minorHAnsi" w:hAnsiTheme="minorHAnsi"/>
        </w:rPr>
        <w:t>on</w:t>
      </w:r>
      <w:r w:rsidR="00580E33">
        <w:rPr>
          <w:rFonts w:asciiTheme="minorHAnsi" w:hAnsiTheme="minorHAnsi"/>
        </w:rPr>
        <w:t xml:space="preserve">) </w:t>
      </w:r>
      <w:r w:rsidR="00116959">
        <w:rPr>
          <w:rFonts w:asciiTheme="minorHAnsi" w:hAnsiTheme="minorHAnsi"/>
        </w:rPr>
        <w:t>was significantly higher amongst those with gambling problems; a finding that was also observed in</w:t>
      </w:r>
      <w:r w:rsidR="00116959" w:rsidRPr="00116959">
        <w:rPr>
          <w:rFonts w:asciiTheme="minorHAnsi" w:hAnsiTheme="minorHAnsi"/>
        </w:rPr>
        <w:t xml:space="preserve"> the</w:t>
      </w:r>
      <w:r w:rsidR="00116959">
        <w:rPr>
          <w:rFonts w:asciiTheme="minorHAnsi" w:hAnsiTheme="minorHAnsi"/>
        </w:rPr>
        <w:t xml:space="preserve"> most recent</w:t>
      </w:r>
      <w:r w:rsidR="00116959" w:rsidRPr="00116959">
        <w:rPr>
          <w:rFonts w:asciiTheme="minorHAnsi" w:hAnsiTheme="minorHAnsi"/>
        </w:rPr>
        <w:t xml:space="preserve"> National Gambling </w:t>
      </w:r>
      <w:r w:rsidR="00237E09">
        <w:rPr>
          <w:rFonts w:asciiTheme="minorHAnsi" w:hAnsiTheme="minorHAnsi"/>
        </w:rPr>
        <w:t>Study</w:t>
      </w:r>
      <w:r w:rsidR="00116959" w:rsidRPr="00116959">
        <w:rPr>
          <w:rFonts w:asciiTheme="minorHAnsi" w:hAnsiTheme="minorHAnsi"/>
        </w:rPr>
        <w:t xml:space="preserve"> </w:t>
      </w:r>
      <w:r w:rsidR="00116959" w:rsidRPr="00116959">
        <w:rPr>
          <w:rFonts w:asciiTheme="minorHAnsi" w:hAnsiTheme="minorHAnsi"/>
        </w:rPr>
        <w:fldChar w:fldCharType="begin"/>
      </w:r>
      <w:r w:rsidR="00A34C5E">
        <w:rPr>
          <w:rFonts w:asciiTheme="minorHAnsi" w:hAnsiTheme="minorHAnsi"/>
        </w:rPr>
        <w:instrText xml:space="preserve"> ADDIN EN.CITE &lt;EndNote&gt;&lt;Cite&gt;&lt;Author&gt;Abbott&lt;/Author&gt;&lt;Year&gt;2014&lt;/Year&gt;&lt;RecNum&gt;921&lt;/RecNum&gt;&lt;DisplayText&gt;(Abbott et al., 2014a)&lt;/DisplayText&gt;&lt;record&gt;&lt;rec-number&gt;921&lt;/rec-number&gt;&lt;foreign-keys&gt;&lt;key app="EN" db-id="9pzse05rcvx956etremxfzdh9fzdxvd95rp2"&gt;921&lt;/key&gt;&lt;/foreign-keys&gt;&lt;ref-type name="Report"&gt;27&lt;/ref-type&gt;&lt;contributors&gt;&lt;authors&gt;&lt;author&gt;Abbott, M.&lt;/author&gt;&lt;author&gt;Bellringer, M.&lt;/author&gt;&lt;author&gt;Garrett, N.&lt;/author&gt;&lt;author&gt;Mundy-McPherson, S.&lt;/author&gt;&lt;/authors&gt;&lt;/contributors&gt;&lt;titles&gt;&lt;title&gt;New Zealand 2012 National Gambling Study: Gambling Harm and Problem Gambling. Report Number Two&lt;/title&gt;&lt;/titles&gt;&lt;dates&gt;&lt;year&gt;2014&lt;/year&gt;&lt;/dates&gt;&lt;pub-location&gt;Auckland&lt;/pub-location&gt;&lt;publisher&gt;Gambling and Addictions Research Centre, Auckland University of Technology&lt;/publisher&gt;&lt;urls&gt;&lt;/urls&gt;&lt;/record&gt;&lt;/Cite&gt;&lt;/EndNote&gt;</w:instrText>
      </w:r>
      <w:r w:rsidR="00116959" w:rsidRPr="00116959">
        <w:rPr>
          <w:rFonts w:asciiTheme="minorHAnsi" w:hAnsiTheme="minorHAnsi"/>
        </w:rPr>
        <w:fldChar w:fldCharType="separate"/>
      </w:r>
      <w:r w:rsidR="00116959" w:rsidRPr="00116959">
        <w:rPr>
          <w:rFonts w:asciiTheme="minorHAnsi" w:hAnsiTheme="minorHAnsi"/>
          <w:noProof/>
        </w:rPr>
        <w:t>(</w:t>
      </w:r>
      <w:hyperlink w:anchor="_ENREF_1" w:tooltip="Abbott, 2014 #921" w:history="1">
        <w:r w:rsidR="00765F46" w:rsidRPr="00116959">
          <w:rPr>
            <w:rFonts w:asciiTheme="minorHAnsi" w:hAnsiTheme="minorHAnsi"/>
            <w:noProof/>
          </w:rPr>
          <w:t>Abbott et al., 2014a</w:t>
        </w:r>
      </w:hyperlink>
      <w:r w:rsidR="00116959" w:rsidRPr="00116959">
        <w:rPr>
          <w:rFonts w:asciiTheme="minorHAnsi" w:hAnsiTheme="minorHAnsi"/>
          <w:noProof/>
        </w:rPr>
        <w:t>)</w:t>
      </w:r>
      <w:r w:rsidR="00116959" w:rsidRPr="00116959">
        <w:rPr>
          <w:rFonts w:asciiTheme="minorHAnsi" w:hAnsiTheme="minorHAnsi"/>
        </w:rPr>
        <w:fldChar w:fldCharType="end"/>
      </w:r>
      <w:r w:rsidR="00116959">
        <w:rPr>
          <w:rFonts w:asciiTheme="minorHAnsi" w:hAnsiTheme="minorHAnsi"/>
        </w:rPr>
        <w:t xml:space="preserve">.  </w:t>
      </w:r>
      <w:r w:rsidR="00A32F40">
        <w:rPr>
          <w:rFonts w:asciiTheme="minorHAnsi" w:hAnsiTheme="minorHAnsi"/>
        </w:rPr>
        <w:t xml:space="preserve">Moreover, </w:t>
      </w:r>
      <w:r w:rsidR="00834237">
        <w:rPr>
          <w:rFonts w:asciiTheme="minorHAnsi" w:hAnsiTheme="minorHAnsi"/>
        </w:rPr>
        <w:t>p</w:t>
      </w:r>
      <w:r w:rsidR="008C4A19">
        <w:rPr>
          <w:rFonts w:asciiTheme="minorHAnsi" w:hAnsiTheme="minorHAnsi"/>
        </w:rPr>
        <w:t>eople with gambling problems were significantly more likely than other adults to have been diagnosed by a doctor with depression, bipolar disorder or an anxiety disorder</w:t>
      </w:r>
      <w:r w:rsidR="00F4513E">
        <w:rPr>
          <w:rFonts w:asciiTheme="minorHAnsi" w:hAnsiTheme="minorHAnsi"/>
        </w:rPr>
        <w:t>; a finding that is unique to this study</w:t>
      </w:r>
      <w:r w:rsidR="008C4A19">
        <w:rPr>
          <w:rFonts w:asciiTheme="minorHAnsi" w:hAnsiTheme="minorHAnsi"/>
        </w:rPr>
        <w:t>.</w:t>
      </w:r>
      <w:r w:rsidR="00D268F8">
        <w:rPr>
          <w:rFonts w:asciiTheme="minorHAnsi" w:hAnsiTheme="minorHAnsi"/>
        </w:rPr>
        <w:t xml:space="preserve">  </w:t>
      </w:r>
    </w:p>
    <w:p w14:paraId="6B4122CE" w14:textId="3F147313" w:rsidR="00D268F8" w:rsidRDefault="00D268F8" w:rsidP="00116959">
      <w:pPr>
        <w:rPr>
          <w:rFonts w:asciiTheme="minorHAnsi" w:hAnsiTheme="minorHAnsi"/>
        </w:rPr>
      </w:pPr>
      <w:r w:rsidRPr="00D268F8">
        <w:rPr>
          <w:rFonts w:asciiTheme="minorHAnsi" w:hAnsiTheme="minorHAnsi"/>
        </w:rPr>
        <w:t xml:space="preserve">People with increased severity of gambling problems </w:t>
      </w:r>
      <w:r>
        <w:rPr>
          <w:rFonts w:asciiTheme="minorHAnsi" w:hAnsiTheme="minorHAnsi"/>
        </w:rPr>
        <w:t xml:space="preserve">also </w:t>
      </w:r>
      <w:r w:rsidRPr="00D268F8">
        <w:rPr>
          <w:rFonts w:asciiTheme="minorHAnsi" w:hAnsiTheme="minorHAnsi"/>
        </w:rPr>
        <w:t xml:space="preserve">reported lower levels of functioning in all of the health domains </w:t>
      </w:r>
      <w:r>
        <w:rPr>
          <w:rFonts w:asciiTheme="minorHAnsi" w:hAnsiTheme="minorHAnsi"/>
        </w:rPr>
        <w:t xml:space="preserve">measured by the </w:t>
      </w:r>
      <w:r w:rsidRPr="00D268F8">
        <w:rPr>
          <w:rFonts w:asciiTheme="minorHAnsi" w:hAnsiTheme="minorHAnsi"/>
        </w:rPr>
        <w:t xml:space="preserve">SF-12.  This trend was particularly strong for the domains of general health (GH), vitality (VT), social functioning (SF), role limitation – emotional (RE), and mental health (MH).  A trend was also observed in relation to gambling status and Summary Physical (SPH) and Mental (SMH) Health scores: people with increasing severity of gambling problems were more likely to report lower levels of functioning in </w:t>
      </w:r>
      <w:r w:rsidRPr="00D268F8">
        <w:rPr>
          <w:rFonts w:asciiTheme="minorHAnsi" w:hAnsiTheme="minorHAnsi"/>
        </w:rPr>
        <w:lastRenderedPageBreak/>
        <w:t>these summary domains.</w:t>
      </w:r>
      <w:r>
        <w:rPr>
          <w:rFonts w:asciiTheme="minorHAnsi" w:hAnsiTheme="minorHAnsi"/>
        </w:rPr>
        <w:t xml:space="preserve">  These results are consistent with those observed in the 2006/07 New Zealand Health Survey </w:t>
      </w:r>
      <w:r>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Pr>
          <w:rFonts w:asciiTheme="minorHAnsi" w:hAnsiTheme="minorHAnsi"/>
        </w:rPr>
        <w:fldChar w:fldCharType="separate"/>
      </w:r>
      <w:r>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Pr>
          <w:rFonts w:asciiTheme="minorHAnsi" w:hAnsiTheme="minorHAnsi"/>
          <w:noProof/>
        </w:rPr>
        <w:t>)</w:t>
      </w:r>
      <w:r>
        <w:rPr>
          <w:rFonts w:asciiTheme="minorHAnsi" w:hAnsiTheme="minorHAnsi"/>
        </w:rPr>
        <w:fldChar w:fldCharType="end"/>
      </w:r>
      <w:r>
        <w:rPr>
          <w:rFonts w:asciiTheme="minorHAnsi" w:hAnsiTheme="minorHAnsi"/>
        </w:rPr>
        <w:t>.</w:t>
      </w:r>
    </w:p>
    <w:p w14:paraId="3CE1264F" w14:textId="61FF53B0" w:rsidR="00116959" w:rsidRDefault="003742A1" w:rsidP="00236F80">
      <w:pPr>
        <w:rPr>
          <w:rFonts w:asciiTheme="minorHAnsi" w:hAnsiTheme="minorHAnsi"/>
          <w:highlight w:val="yellow"/>
        </w:rPr>
      </w:pPr>
      <w:r>
        <w:rPr>
          <w:rFonts w:asciiTheme="minorHAnsi" w:hAnsiTheme="minorHAnsi"/>
        </w:rPr>
        <w:t>A</w:t>
      </w:r>
      <w:r w:rsidR="00742350">
        <w:rPr>
          <w:rFonts w:asciiTheme="minorHAnsi" w:hAnsiTheme="minorHAnsi"/>
        </w:rPr>
        <w:t>dults with gambling problems were twice as likely</w:t>
      </w:r>
      <w:r>
        <w:rPr>
          <w:rFonts w:asciiTheme="minorHAnsi" w:hAnsiTheme="minorHAnsi"/>
        </w:rPr>
        <w:t xml:space="preserve"> as their peers</w:t>
      </w:r>
      <w:r w:rsidR="00742350">
        <w:rPr>
          <w:rFonts w:asciiTheme="minorHAnsi" w:hAnsiTheme="minorHAnsi"/>
        </w:rPr>
        <w:t xml:space="preserve"> to have used health services (General Practitioners) in the past 12 months. </w:t>
      </w:r>
      <w:r w:rsidR="000F72C1">
        <w:rPr>
          <w:rFonts w:asciiTheme="minorHAnsi" w:hAnsiTheme="minorHAnsi"/>
        </w:rPr>
        <w:t xml:space="preserve"> </w:t>
      </w:r>
      <w:r w:rsidR="008B58F3">
        <w:rPr>
          <w:rFonts w:asciiTheme="minorHAnsi" w:hAnsiTheme="minorHAnsi"/>
        </w:rPr>
        <w:t>Moderate-risk/problem gamblers were also more likely to report not being able to see a General Practitioner when they needed to and that cost was a barrier to seeking help from health professionals.  Despite the cost-barriers, t</w:t>
      </w:r>
      <w:r w:rsidR="00367041">
        <w:rPr>
          <w:rFonts w:asciiTheme="minorHAnsi" w:hAnsiTheme="minorHAnsi"/>
        </w:rPr>
        <w:t>hese findings reiterate that General Practitioners are ideally placed to assist those with gambling problems</w:t>
      </w:r>
      <w:r w:rsidR="008B58F3">
        <w:rPr>
          <w:rFonts w:asciiTheme="minorHAnsi" w:hAnsiTheme="minorHAnsi"/>
        </w:rPr>
        <w:t xml:space="preserve"> through the treatment of associated medical issues, provision of information on problem gambling, delivery of brief interventions and referrals to specialist agencies </w:t>
      </w:r>
      <w:r w:rsidR="008B58F3">
        <w:rPr>
          <w:rFonts w:asciiTheme="minorHAnsi" w:hAnsiTheme="minorHAnsi"/>
        </w:rPr>
        <w:fldChar w:fldCharType="begin"/>
      </w:r>
      <w:r w:rsidR="00A34C5E">
        <w:rPr>
          <w:rFonts w:asciiTheme="minorHAnsi" w:hAnsiTheme="minorHAnsi"/>
        </w:rPr>
        <w:instrText xml:space="preserve"> ADDIN EN.CITE &lt;EndNote&gt;&lt;Cite&gt;&lt;Author&gt;Goodyear-Smith&lt;/Author&gt;&lt;Year&gt;2006&lt;/Year&gt;&lt;RecNum&gt;925&lt;/RecNum&gt;&lt;DisplayText&gt;(Goodyear-Smith et al., 2006; Thomas, Piterman, &amp;amp; Jackson, 2008)&lt;/DisplayText&gt;&lt;record&gt;&lt;rec-number&gt;925&lt;/rec-number&gt;&lt;foreign-keys&gt;&lt;key app="EN" db-id="9pzse05rcvx956etremxfzdh9fzdxvd95rp2"&gt;925&lt;/key&gt;&lt;/foreign-keys&gt;&lt;ref-type name="Journal Article"&gt;17&lt;/ref-type&gt;&lt;contributors&gt;&lt;authors&gt;&lt;author&gt;Goodyear-Smith, F.&lt;/author&gt;&lt;author&gt;Arroll, B. &lt;/author&gt;&lt;author&gt;Kerse, N.&lt;/author&gt;&lt;author&gt;Coupe, N.&lt;/author&gt;&lt;author&gt;Sullivan, S.&lt;/author&gt;&lt;author&gt;Tse, S.&lt;/author&gt;&lt;author&gt;Shepherd, R.&lt;/author&gt;&lt;author&gt;Rossen, F.&lt;/author&gt;&lt;author&gt;Perese, L. &lt;/author&gt;&lt;/authors&gt;&lt;/contributors&gt;&lt;titles&gt;&lt;title&gt;Primary care patients reporting concerns about their gambling frequently have other co-occurring lifestyle and mental health issues. &lt;/title&gt;&lt;secondary-title&gt;BMC Family Medicine&lt;/secondary-title&gt;&lt;/titles&gt;&lt;pages&gt;U16606465&lt;/pages&gt;&lt;volume&gt;7&lt;/volume&gt;&lt;number&gt;25&lt;/number&gt;&lt;dates&gt;&lt;year&gt;2006&lt;/year&gt;&lt;/dates&gt;&lt;urls&gt;&lt;/urls&gt;&lt;/record&gt;&lt;/Cite&gt;&lt;Cite&gt;&lt;Author&gt;Thomas&lt;/Author&gt;&lt;Year&gt;2008&lt;/Year&gt;&lt;RecNum&gt;926&lt;/RecNum&gt;&lt;record&gt;&lt;rec-number&gt;926&lt;/rec-number&gt;&lt;foreign-keys&gt;&lt;key app="EN" db-id="9pzse05rcvx956etremxfzdh9fzdxvd95rp2"&gt;926&lt;/key&gt;&lt;/foreign-keys&gt;&lt;ref-type name="Journal Article"&gt;17&lt;/ref-type&gt;&lt;contributors&gt;&lt;authors&gt;&lt;author&gt;Thomas, S. A.&lt;/author&gt;&lt;author&gt;Piterman, L.&lt;/author&gt;&lt;author&gt;Jackson, A.C.&lt;/author&gt;&lt;/authors&gt;&lt;/contributors&gt;&lt;titles&gt;&lt;title&gt;Problem gambling: what general practitioners need to know and do about it?&lt;/title&gt;&lt;secondary-title&gt;Medical Journal of Australia&lt;/secondary-title&gt;&lt;/titles&gt;&lt;pages&gt;135-136&lt;/pages&gt;&lt;volume&gt;189 &lt;/volume&gt;&lt;dates&gt;&lt;year&gt;2008&lt;/year&gt;&lt;/dates&gt;&lt;urls&gt;&lt;/urls&gt;&lt;/record&gt;&lt;/Cite&gt;&lt;/EndNote&gt;</w:instrText>
      </w:r>
      <w:r w:rsidR="008B58F3">
        <w:rPr>
          <w:rFonts w:asciiTheme="minorHAnsi" w:hAnsiTheme="minorHAnsi"/>
        </w:rPr>
        <w:fldChar w:fldCharType="separate"/>
      </w:r>
      <w:r w:rsidR="008B58F3">
        <w:rPr>
          <w:rFonts w:asciiTheme="minorHAnsi" w:hAnsiTheme="minorHAnsi"/>
          <w:noProof/>
        </w:rPr>
        <w:t>(</w:t>
      </w:r>
      <w:hyperlink w:anchor="_ENREF_29" w:tooltip="Goodyear-Smith, 2006 #925" w:history="1">
        <w:r w:rsidR="00765F46">
          <w:rPr>
            <w:rFonts w:asciiTheme="minorHAnsi" w:hAnsiTheme="minorHAnsi"/>
            <w:noProof/>
          </w:rPr>
          <w:t>Goodyear-Smith et al., 2006</w:t>
        </w:r>
      </w:hyperlink>
      <w:r w:rsidR="008B58F3">
        <w:rPr>
          <w:rFonts w:asciiTheme="minorHAnsi" w:hAnsiTheme="minorHAnsi"/>
          <w:noProof/>
        </w:rPr>
        <w:t xml:space="preserve">; </w:t>
      </w:r>
      <w:hyperlink w:anchor="_ENREF_58" w:tooltip="Thomas, 2008 #926" w:history="1">
        <w:r w:rsidR="00765F46">
          <w:rPr>
            <w:rFonts w:asciiTheme="minorHAnsi" w:hAnsiTheme="minorHAnsi"/>
            <w:noProof/>
          </w:rPr>
          <w:t>Thomas, Piterman, &amp; Jackson, 2008</w:t>
        </w:r>
      </w:hyperlink>
      <w:r w:rsidR="008B58F3">
        <w:rPr>
          <w:rFonts w:asciiTheme="minorHAnsi" w:hAnsiTheme="minorHAnsi"/>
          <w:noProof/>
        </w:rPr>
        <w:t>)</w:t>
      </w:r>
      <w:r w:rsidR="008B58F3">
        <w:rPr>
          <w:rFonts w:asciiTheme="minorHAnsi" w:hAnsiTheme="minorHAnsi"/>
        </w:rPr>
        <w:fldChar w:fldCharType="end"/>
      </w:r>
      <w:r w:rsidR="008B58F3">
        <w:rPr>
          <w:rFonts w:asciiTheme="minorHAnsi" w:hAnsiTheme="minorHAnsi"/>
        </w:rPr>
        <w:t xml:space="preserve">.  </w:t>
      </w:r>
      <w:r w:rsidR="00B12274">
        <w:rPr>
          <w:rFonts w:asciiTheme="minorHAnsi" w:hAnsiTheme="minorHAnsi"/>
        </w:rPr>
        <w:t xml:space="preserve">Moderate-risk/problem gamblers were also three and a half times more likely than those with no gambling problems to have sought assistance from a psychologist, counsellor or social worker in the past 12 months. These findings are consistent with those reported in the 2006/07 New Zealand Health Survey </w:t>
      </w:r>
      <w:r w:rsidR="00B12274">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B12274">
        <w:rPr>
          <w:rFonts w:asciiTheme="minorHAnsi" w:hAnsiTheme="minorHAnsi"/>
        </w:rPr>
        <w:fldChar w:fldCharType="separate"/>
      </w:r>
      <w:r w:rsidR="00B12274">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B12274">
        <w:rPr>
          <w:rFonts w:asciiTheme="minorHAnsi" w:hAnsiTheme="minorHAnsi"/>
          <w:noProof/>
        </w:rPr>
        <w:t>)</w:t>
      </w:r>
      <w:r w:rsidR="00B12274">
        <w:rPr>
          <w:rFonts w:asciiTheme="minorHAnsi" w:hAnsiTheme="minorHAnsi"/>
        </w:rPr>
        <w:fldChar w:fldCharType="end"/>
      </w:r>
      <w:r w:rsidR="00B12274">
        <w:rPr>
          <w:rFonts w:asciiTheme="minorHAnsi" w:hAnsiTheme="minorHAnsi"/>
        </w:rPr>
        <w:t>.</w:t>
      </w:r>
    </w:p>
    <w:p w14:paraId="248766B7" w14:textId="77777777" w:rsidR="00F06924" w:rsidRPr="00C621EC" w:rsidRDefault="00F06924" w:rsidP="00F06924">
      <w:pPr>
        <w:rPr>
          <w:rFonts w:asciiTheme="minorHAnsi" w:hAnsiTheme="minorHAnsi"/>
        </w:rPr>
      </w:pPr>
    </w:p>
    <w:p w14:paraId="797C2EED" w14:textId="77777777" w:rsidR="00B91F6E" w:rsidRPr="00B91F6E" w:rsidRDefault="00B91F6E" w:rsidP="004F129A">
      <w:pPr>
        <w:pStyle w:val="Heading2"/>
        <w:numPr>
          <w:ilvl w:val="1"/>
          <w:numId w:val="63"/>
        </w:numPr>
      </w:pPr>
      <w:bookmarkStart w:id="194" w:name="_Toc403833206"/>
      <w:r w:rsidRPr="00B91F6E">
        <w:t>Experiencing problems due to someone else’s gambling</w:t>
      </w:r>
      <w:bookmarkEnd w:id="194"/>
    </w:p>
    <w:p w14:paraId="2C213FFF" w14:textId="78A784A1" w:rsidR="00CA2517" w:rsidRDefault="00BA5541" w:rsidP="00F06924">
      <w:pPr>
        <w:rPr>
          <w:rFonts w:asciiTheme="minorHAnsi" w:hAnsiTheme="minorHAnsi" w:cstheme="minorHAnsi"/>
        </w:rPr>
      </w:pPr>
      <w:r w:rsidRPr="0038335C">
        <w:rPr>
          <w:rFonts w:asciiTheme="minorHAnsi" w:hAnsiTheme="minorHAnsi"/>
        </w:rPr>
        <w:t>Two and a half percent</w:t>
      </w:r>
      <w:r w:rsidR="00CA2517">
        <w:rPr>
          <w:rFonts w:asciiTheme="minorHAnsi" w:hAnsiTheme="minorHAnsi"/>
        </w:rPr>
        <w:t xml:space="preserve">, or </w:t>
      </w:r>
      <w:r w:rsidR="00CA2517" w:rsidRPr="006B2D1A">
        <w:rPr>
          <w:rFonts w:asciiTheme="minorHAnsi" w:hAnsiTheme="minorHAnsi"/>
        </w:rPr>
        <w:t>an estimated 89,100 adults,</w:t>
      </w:r>
      <w:r w:rsidRPr="006B2D1A">
        <w:rPr>
          <w:rFonts w:asciiTheme="minorHAnsi" w:hAnsiTheme="minorHAnsi"/>
        </w:rPr>
        <w:t xml:space="preserve"> said they had been </w:t>
      </w:r>
      <w:r w:rsidR="0038335C" w:rsidRPr="006B2D1A">
        <w:rPr>
          <w:rFonts w:asciiTheme="minorHAnsi" w:hAnsiTheme="minorHAnsi"/>
        </w:rPr>
        <w:t>affected</w:t>
      </w:r>
      <w:r w:rsidRPr="006B2D1A">
        <w:rPr>
          <w:rFonts w:asciiTheme="minorHAnsi" w:hAnsiTheme="minorHAnsi"/>
        </w:rPr>
        <w:t xml:space="preserve"> by someone else’s gambling</w:t>
      </w:r>
      <w:r w:rsidR="00CA2517" w:rsidRPr="006B2D1A">
        <w:rPr>
          <w:rFonts w:asciiTheme="minorHAnsi" w:hAnsiTheme="minorHAnsi"/>
        </w:rPr>
        <w:t xml:space="preserve"> in the past 12 months</w:t>
      </w:r>
      <w:r w:rsidRPr="006B2D1A">
        <w:rPr>
          <w:rFonts w:asciiTheme="minorHAnsi" w:hAnsiTheme="minorHAnsi"/>
        </w:rPr>
        <w:t xml:space="preserve">.  </w:t>
      </w:r>
      <w:r w:rsidR="00F123BD" w:rsidRPr="006B2D1A">
        <w:rPr>
          <w:rFonts w:asciiTheme="minorHAnsi" w:hAnsiTheme="minorHAnsi"/>
        </w:rPr>
        <w:t xml:space="preserve"> </w:t>
      </w:r>
      <w:r w:rsidR="0038335C" w:rsidRPr="006B2D1A">
        <w:rPr>
          <w:rFonts w:asciiTheme="minorHAnsi" w:hAnsiTheme="minorHAnsi"/>
        </w:rPr>
        <w:t xml:space="preserve">Adults </w:t>
      </w:r>
      <w:r w:rsidR="00CA2517" w:rsidRPr="006B2D1A">
        <w:rPr>
          <w:rFonts w:asciiTheme="minorHAnsi" w:hAnsiTheme="minorHAnsi"/>
        </w:rPr>
        <w:t>who</w:t>
      </w:r>
      <w:r w:rsidR="0038335C" w:rsidRPr="006B2D1A">
        <w:rPr>
          <w:rFonts w:asciiTheme="minorHAnsi" w:hAnsiTheme="minorHAnsi"/>
        </w:rPr>
        <w:t xml:space="preserve"> had been affected by someone else’s gambling were more likely to be female, aged 25-34 years, and identify as Māori or Pacific.</w:t>
      </w:r>
      <w:r w:rsidR="007F08E0" w:rsidRPr="006B2D1A">
        <w:rPr>
          <w:rFonts w:asciiTheme="minorHAnsi" w:hAnsiTheme="minorHAnsi"/>
        </w:rPr>
        <w:t xml:space="preserve">  There wa</w:t>
      </w:r>
      <w:r w:rsidR="007F08E0">
        <w:rPr>
          <w:rFonts w:asciiTheme="minorHAnsi" w:hAnsiTheme="minorHAnsi"/>
        </w:rPr>
        <w:t>s also a relationship between problem gambling status and the likelihood of being impacted by someone else’s gambling</w:t>
      </w:r>
      <w:r w:rsidR="006B3C46">
        <w:rPr>
          <w:rFonts w:asciiTheme="minorHAnsi" w:hAnsiTheme="minorHAnsi"/>
        </w:rPr>
        <w:t>;</w:t>
      </w:r>
      <w:r w:rsidR="007F08E0">
        <w:rPr>
          <w:rFonts w:asciiTheme="minorHAnsi" w:hAnsiTheme="minorHAnsi"/>
        </w:rPr>
        <w:t xml:space="preserve"> </w:t>
      </w:r>
      <w:r w:rsidR="00CA2517" w:rsidRPr="00F763CD">
        <w:rPr>
          <w:rFonts w:asciiTheme="minorHAnsi" w:hAnsiTheme="minorHAnsi" w:cstheme="minorHAnsi"/>
        </w:rPr>
        <w:t xml:space="preserve">low- or moderate-risk/problem gamblers </w:t>
      </w:r>
      <w:r w:rsidR="00CA2517">
        <w:rPr>
          <w:rFonts w:asciiTheme="minorHAnsi" w:hAnsiTheme="minorHAnsi" w:cstheme="minorHAnsi"/>
        </w:rPr>
        <w:t>were increasingly more likely to have</w:t>
      </w:r>
      <w:r w:rsidR="00CA2517" w:rsidRPr="00F763CD">
        <w:rPr>
          <w:rFonts w:asciiTheme="minorHAnsi" w:hAnsiTheme="minorHAnsi" w:cstheme="minorHAnsi"/>
        </w:rPr>
        <w:t xml:space="preserve"> been affected by someone else’s gambling</w:t>
      </w:r>
      <w:r w:rsidR="00CA2517">
        <w:rPr>
          <w:rFonts w:asciiTheme="minorHAnsi" w:hAnsiTheme="minorHAnsi" w:cstheme="minorHAnsi"/>
        </w:rPr>
        <w:t xml:space="preserve">. </w:t>
      </w:r>
      <w:r w:rsidR="006B3C46">
        <w:rPr>
          <w:rFonts w:asciiTheme="minorHAnsi" w:hAnsiTheme="minorHAnsi"/>
        </w:rPr>
        <w:t>EGMs</w:t>
      </w:r>
      <w:r w:rsidR="002E3F8C">
        <w:rPr>
          <w:rFonts w:asciiTheme="minorHAnsi" w:hAnsiTheme="minorHAnsi"/>
        </w:rPr>
        <w:t xml:space="preserve"> (non-casino and casino) and track/sports betting were </w:t>
      </w:r>
      <w:proofErr w:type="gramStart"/>
      <w:r w:rsidR="002E3F8C">
        <w:rPr>
          <w:rFonts w:asciiTheme="minorHAnsi" w:hAnsiTheme="minorHAnsi"/>
        </w:rPr>
        <w:t>the activities most associated with harm from someone else’s</w:t>
      </w:r>
      <w:proofErr w:type="gramEnd"/>
      <w:r w:rsidR="002E3F8C">
        <w:rPr>
          <w:rFonts w:asciiTheme="minorHAnsi" w:hAnsiTheme="minorHAnsi"/>
        </w:rPr>
        <w:t xml:space="preserve"> gambling.  </w:t>
      </w:r>
      <w:r w:rsidR="002E3F8C">
        <w:rPr>
          <w:rFonts w:asciiTheme="minorHAnsi" w:hAnsiTheme="minorHAnsi" w:cstheme="minorHAnsi"/>
        </w:rPr>
        <w:t xml:space="preserve">These findings </w:t>
      </w:r>
      <w:r w:rsidR="002E3F8C">
        <w:rPr>
          <w:rFonts w:asciiTheme="minorHAnsi" w:hAnsiTheme="minorHAnsi"/>
        </w:rPr>
        <w:t xml:space="preserve">correspond with results from the previous Health Survey </w:t>
      </w:r>
      <w:r w:rsidR="002E3F8C">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Health&lt;/Author&gt;&lt;Year&gt;2009&lt;/Year&gt;&lt;RecNum&gt;33&lt;/RecNum&gt;&lt;DisplayText&gt;(Ministry of Health, 2009)&lt;/DisplayText&gt;&lt;record&gt;&lt;rec-number&gt;33&lt;/rec-number&gt;&lt;foreign-keys&gt;&lt;key app="EN" db-id="9pzse05rcvx956etremxfzdh9fzdxvd95rp2"&gt;33&lt;/key&gt;&lt;/foreign-keys&gt;&lt;ref-type name="Report"&gt;27&lt;/ref-type&gt;&lt;contributors&gt;&lt;authors&gt;&lt;author&gt;Ministry of Health,&lt;/author&gt;&lt;/authors&gt;&lt;/contributors&gt;&lt;titles&gt;&lt;title&gt;&lt;style face="italic" font="default" size="100%"&gt;A Focus on Problem Gambling: Results of the 2006/07 New Zealand Health Survey&lt;/style&gt;&lt;/title&gt;&lt;/titles&gt;&lt;dates&gt;&lt;year&gt;2009&lt;/year&gt;&lt;/dates&gt;&lt;pub-location&gt;Wellington&lt;/pub-location&gt;&lt;publisher&gt;Ministry of Health&lt;/publisher&gt;&lt;urls&gt;&lt;/urls&gt;&lt;/record&gt;&lt;/Cite&gt;&lt;/EndNote&gt;</w:instrText>
      </w:r>
      <w:r w:rsidR="002E3F8C">
        <w:rPr>
          <w:rFonts w:asciiTheme="minorHAnsi" w:hAnsiTheme="minorHAnsi"/>
        </w:rPr>
        <w:fldChar w:fldCharType="separate"/>
      </w:r>
      <w:r w:rsidR="002E3F8C">
        <w:rPr>
          <w:rFonts w:asciiTheme="minorHAnsi" w:hAnsiTheme="minorHAnsi"/>
          <w:noProof/>
        </w:rPr>
        <w:t>(</w:t>
      </w:r>
      <w:hyperlink w:anchor="_ENREF_36" w:tooltip="Ministry of Health, 2009 #33" w:history="1">
        <w:r w:rsidR="00765F46">
          <w:rPr>
            <w:rFonts w:asciiTheme="minorHAnsi" w:hAnsiTheme="minorHAnsi"/>
            <w:noProof/>
          </w:rPr>
          <w:t>Ministry of Health, 2009</w:t>
        </w:r>
      </w:hyperlink>
      <w:r w:rsidR="002E3F8C">
        <w:rPr>
          <w:rFonts w:asciiTheme="minorHAnsi" w:hAnsiTheme="minorHAnsi"/>
          <w:noProof/>
        </w:rPr>
        <w:t>)</w:t>
      </w:r>
      <w:r w:rsidR="002E3F8C">
        <w:rPr>
          <w:rFonts w:asciiTheme="minorHAnsi" w:hAnsiTheme="minorHAnsi"/>
        </w:rPr>
        <w:fldChar w:fldCharType="end"/>
      </w:r>
      <w:r w:rsidR="002E3F8C">
        <w:rPr>
          <w:rFonts w:asciiTheme="minorHAnsi" w:hAnsiTheme="minorHAnsi"/>
        </w:rPr>
        <w:t xml:space="preserve"> and </w:t>
      </w:r>
      <w:r w:rsidR="00193B49">
        <w:rPr>
          <w:rFonts w:asciiTheme="minorHAnsi" w:hAnsiTheme="minorHAnsi"/>
        </w:rPr>
        <w:t xml:space="preserve">again </w:t>
      </w:r>
      <w:r w:rsidR="002E3F8C">
        <w:rPr>
          <w:rFonts w:asciiTheme="minorHAnsi" w:hAnsiTheme="minorHAnsi"/>
        </w:rPr>
        <w:t xml:space="preserve">highlight the need to prioritise harm minimisation and public health efforts in relation to EGMs.  </w:t>
      </w:r>
      <w:r w:rsidR="007F08E0">
        <w:rPr>
          <w:rFonts w:asciiTheme="minorHAnsi" w:hAnsiTheme="minorHAnsi" w:cstheme="minorHAnsi"/>
        </w:rPr>
        <w:t xml:space="preserve"> </w:t>
      </w:r>
      <w:r w:rsidR="00CA2517">
        <w:rPr>
          <w:rFonts w:asciiTheme="minorHAnsi" w:hAnsiTheme="minorHAnsi" w:cstheme="minorHAnsi"/>
        </w:rPr>
        <w:t xml:space="preserve"> </w:t>
      </w:r>
    </w:p>
    <w:p w14:paraId="12A0E3E5" w14:textId="77777777" w:rsidR="0038335C" w:rsidRDefault="0038335C" w:rsidP="00F06924">
      <w:pPr>
        <w:rPr>
          <w:rFonts w:asciiTheme="minorHAnsi" w:hAnsiTheme="minorHAnsi"/>
        </w:rPr>
      </w:pPr>
    </w:p>
    <w:p w14:paraId="41537BE4" w14:textId="77777777" w:rsidR="00F90F1D" w:rsidRPr="00193B49" w:rsidRDefault="00F90F1D" w:rsidP="004F129A">
      <w:pPr>
        <w:pStyle w:val="Heading2"/>
        <w:numPr>
          <w:ilvl w:val="1"/>
          <w:numId w:val="63"/>
        </w:numPr>
      </w:pPr>
      <w:bookmarkStart w:id="195" w:name="_Toc403833207"/>
      <w:r w:rsidRPr="00193B49">
        <w:lastRenderedPageBreak/>
        <w:t>Strengths and limitations</w:t>
      </w:r>
      <w:bookmarkEnd w:id="195"/>
    </w:p>
    <w:p w14:paraId="3AC4C068" w14:textId="779015E9" w:rsidR="003F13D9" w:rsidRDefault="008D6FF5" w:rsidP="003F13D9">
      <w:pPr>
        <w:rPr>
          <w:rFonts w:asciiTheme="minorHAnsi" w:hAnsiTheme="minorHAnsi"/>
        </w:rPr>
      </w:pPr>
      <w:r>
        <w:rPr>
          <w:rFonts w:asciiTheme="minorHAnsi" w:hAnsiTheme="minorHAnsi"/>
        </w:rPr>
        <w:t>The New Zealand Health Survey</w:t>
      </w:r>
      <w:r w:rsidR="007A79EF">
        <w:rPr>
          <w:rFonts w:asciiTheme="minorHAnsi" w:hAnsiTheme="minorHAnsi"/>
        </w:rPr>
        <w:t xml:space="preserve"> series</w:t>
      </w:r>
      <w:r>
        <w:rPr>
          <w:rFonts w:asciiTheme="minorHAnsi" w:hAnsiTheme="minorHAnsi"/>
        </w:rPr>
        <w:t xml:space="preserve"> is a valuable source of information on New Zealand adults’ health behaviours, lifestyles, health status, and healthcare access. </w:t>
      </w:r>
      <w:r w:rsidR="007A79EF">
        <w:rPr>
          <w:rFonts w:asciiTheme="minorHAnsi" w:hAnsiTheme="minorHAnsi"/>
        </w:rPr>
        <w:t xml:space="preserve"> The 2011/12 survey was </w:t>
      </w:r>
      <w:r>
        <w:rPr>
          <w:rFonts w:asciiTheme="minorHAnsi" w:hAnsiTheme="minorHAnsi"/>
        </w:rPr>
        <w:t xml:space="preserve">methodologically robust </w:t>
      </w:r>
      <w:r w:rsidR="007A79EF">
        <w:rPr>
          <w:rFonts w:asciiTheme="minorHAnsi" w:hAnsiTheme="minorHAnsi"/>
        </w:rPr>
        <w:t>and comprised</w:t>
      </w:r>
      <w:r w:rsidR="00F002B8">
        <w:rPr>
          <w:rFonts w:asciiTheme="minorHAnsi" w:hAnsiTheme="minorHAnsi"/>
        </w:rPr>
        <w:t xml:space="preserve"> of</w:t>
      </w:r>
      <w:r w:rsidR="007A79EF">
        <w:rPr>
          <w:rFonts w:asciiTheme="minorHAnsi" w:hAnsiTheme="minorHAnsi"/>
        </w:rPr>
        <w:t xml:space="preserve"> f</w:t>
      </w:r>
      <w:r>
        <w:rPr>
          <w:rFonts w:asciiTheme="minorHAnsi" w:hAnsiTheme="minorHAnsi"/>
        </w:rPr>
        <w:t>ace-to-face interviews with more than 12,000 randomly selected adults aged 15 years and over throughout New Zealand</w:t>
      </w:r>
      <w:r w:rsidR="00E75E87">
        <w:rPr>
          <w:rStyle w:val="FootnoteReference"/>
          <w:rFonts w:asciiTheme="minorHAnsi" w:hAnsiTheme="minorHAnsi"/>
        </w:rPr>
        <w:footnoteReference w:id="16"/>
      </w:r>
      <w:r w:rsidR="007A79EF">
        <w:rPr>
          <w:rFonts w:asciiTheme="minorHAnsi" w:hAnsiTheme="minorHAnsi"/>
        </w:rPr>
        <w:t xml:space="preserve">.  </w:t>
      </w:r>
      <w:r w:rsidR="007A2326">
        <w:rPr>
          <w:rFonts w:asciiTheme="minorHAnsi" w:hAnsiTheme="minorHAnsi"/>
        </w:rPr>
        <w:t xml:space="preserve"> The results are based on the usually resident population of New Zealand, which includes adults who are living in permanent dwellings, student accommodation, and aged-care facilities.  </w:t>
      </w:r>
      <w:r w:rsidR="009214E4">
        <w:rPr>
          <w:rFonts w:asciiTheme="minorHAnsi" w:hAnsiTheme="minorHAnsi"/>
        </w:rPr>
        <w:t>It should be noted that t</w:t>
      </w:r>
      <w:r w:rsidR="007A2326">
        <w:rPr>
          <w:rFonts w:asciiTheme="minorHAnsi" w:hAnsiTheme="minorHAnsi"/>
        </w:rPr>
        <w:t xml:space="preserve">he sample </w:t>
      </w:r>
      <w:r w:rsidR="00BC4128">
        <w:rPr>
          <w:rFonts w:asciiTheme="minorHAnsi" w:hAnsiTheme="minorHAnsi"/>
        </w:rPr>
        <w:t>did</w:t>
      </w:r>
      <w:r w:rsidR="007A2326">
        <w:rPr>
          <w:rFonts w:asciiTheme="minorHAnsi" w:hAnsiTheme="minorHAnsi"/>
        </w:rPr>
        <w:t xml:space="preserve"> not include people </w:t>
      </w:r>
      <w:r w:rsidR="00BC4128">
        <w:rPr>
          <w:rFonts w:asciiTheme="minorHAnsi" w:hAnsiTheme="minorHAnsi"/>
        </w:rPr>
        <w:t xml:space="preserve">who were </w:t>
      </w:r>
      <w:r w:rsidR="007A2326">
        <w:rPr>
          <w:rFonts w:asciiTheme="minorHAnsi" w:hAnsiTheme="minorHAnsi"/>
        </w:rPr>
        <w:t>living in institutions such as long-term hospital care (</w:t>
      </w:r>
      <w:r w:rsidR="00BC4128">
        <w:rPr>
          <w:rFonts w:asciiTheme="minorHAnsi" w:hAnsiTheme="minorHAnsi"/>
        </w:rPr>
        <w:t xml:space="preserve">i.e. </w:t>
      </w:r>
      <w:r w:rsidR="007A2326">
        <w:rPr>
          <w:rFonts w:asciiTheme="minorHAnsi" w:hAnsiTheme="minorHAnsi"/>
        </w:rPr>
        <w:t>hospital and dementia-level services in aged-care facilities)</w:t>
      </w:r>
      <w:r w:rsidR="00BC4128">
        <w:rPr>
          <w:rFonts w:asciiTheme="minorHAnsi" w:hAnsiTheme="minorHAnsi"/>
        </w:rPr>
        <w:t>,</w:t>
      </w:r>
      <w:r w:rsidR="007A2326">
        <w:rPr>
          <w:rFonts w:asciiTheme="minorHAnsi" w:hAnsiTheme="minorHAnsi"/>
        </w:rPr>
        <w:t xml:space="preserve"> prisons, the homeless, short-term visitors, and tourists. </w:t>
      </w:r>
      <w:r w:rsidR="003F13D9">
        <w:rPr>
          <w:rFonts w:asciiTheme="minorHAnsi" w:hAnsiTheme="minorHAnsi"/>
        </w:rPr>
        <w:t xml:space="preserve"> As such, the results reported here may not be fully representative of the New Zealand population, particularly as there is evidence that some of these populations </w:t>
      </w:r>
      <w:r w:rsidR="000A251B">
        <w:rPr>
          <w:rFonts w:asciiTheme="minorHAnsi" w:hAnsiTheme="minorHAnsi"/>
        </w:rPr>
        <w:t xml:space="preserve">(e.g. prisoners) </w:t>
      </w:r>
      <w:r w:rsidR="003F13D9">
        <w:rPr>
          <w:rFonts w:asciiTheme="minorHAnsi" w:hAnsiTheme="minorHAnsi"/>
        </w:rPr>
        <w:t xml:space="preserve">are disproportionately affected by gambling and problem gambling </w:t>
      </w:r>
      <w:r w:rsidR="00C42F7B">
        <w:rPr>
          <w:rFonts w:asciiTheme="minorHAnsi" w:hAnsiTheme="minorHAnsi"/>
        </w:rPr>
        <w:t xml:space="preserve">in New Zealand </w:t>
      </w:r>
      <w:r w:rsidR="00C42F7B">
        <w:rPr>
          <w:rFonts w:asciiTheme="minorHAnsi" w:hAnsiTheme="minorHAnsi"/>
        </w:rPr>
        <w:fldChar w:fldCharType="begin">
          <w:fldData xml:space="preserve">PEVuZE5vdGU+PENpdGU+PEF1dGhvcj5NY0tlbm5hPC9BdXRob3I+PFllYXI+MjAxMzwvWWVhcj48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PEVuZE5vdGU+PENpdGU+PEF1dGhvcj5NY0tlbm5hPC9BdXRob3I+PFllYXI+MjAxMzwvWWVhcj48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C42F7B">
        <w:rPr>
          <w:rFonts w:asciiTheme="minorHAnsi" w:hAnsiTheme="minorHAnsi"/>
        </w:rPr>
      </w:r>
      <w:r w:rsidR="00C42F7B">
        <w:rPr>
          <w:rFonts w:asciiTheme="minorHAnsi" w:hAnsiTheme="minorHAnsi"/>
        </w:rPr>
        <w:fldChar w:fldCharType="separate"/>
      </w:r>
      <w:r w:rsidR="00EF3CBD">
        <w:rPr>
          <w:rFonts w:asciiTheme="minorHAnsi" w:hAnsiTheme="minorHAnsi"/>
          <w:noProof/>
        </w:rPr>
        <w:t>(</w:t>
      </w:r>
      <w:hyperlink w:anchor="_ENREF_3" w:tooltip="Abbott, 2000 #931" w:history="1">
        <w:r w:rsidR="00765F46">
          <w:rPr>
            <w:rFonts w:asciiTheme="minorHAnsi" w:hAnsiTheme="minorHAnsi"/>
            <w:noProof/>
          </w:rPr>
          <w:t>Abbott &amp; McKenna, 2000</w:t>
        </w:r>
      </w:hyperlink>
      <w:r w:rsidR="00EF3CBD">
        <w:rPr>
          <w:rFonts w:asciiTheme="minorHAnsi" w:hAnsiTheme="minorHAnsi"/>
          <w:noProof/>
        </w:rPr>
        <w:t xml:space="preserve">; </w:t>
      </w:r>
      <w:hyperlink w:anchor="_ENREF_4" w:tooltip="Abbott, 2000 #932" w:history="1">
        <w:r w:rsidR="00765F46">
          <w:rPr>
            <w:rFonts w:asciiTheme="minorHAnsi" w:hAnsiTheme="minorHAnsi"/>
            <w:noProof/>
          </w:rPr>
          <w:t>Abbott, McKenna, &amp; Giles, 2000</w:t>
        </w:r>
      </w:hyperlink>
      <w:r w:rsidR="00EF3CBD">
        <w:rPr>
          <w:rFonts w:asciiTheme="minorHAnsi" w:hAnsiTheme="minorHAnsi"/>
          <w:noProof/>
        </w:rPr>
        <w:t xml:space="preserve">; </w:t>
      </w:r>
      <w:hyperlink w:anchor="_ENREF_33" w:tooltip="McKenna, 2013 #930" w:history="1">
        <w:r w:rsidR="00765F46">
          <w:rPr>
            <w:rFonts w:asciiTheme="minorHAnsi" w:hAnsiTheme="minorHAnsi"/>
            <w:noProof/>
          </w:rPr>
          <w:t>McKenna, Brown, Rossen, &amp; Gooder, 2013</w:t>
        </w:r>
      </w:hyperlink>
      <w:r w:rsidR="00EF3CBD">
        <w:rPr>
          <w:rFonts w:asciiTheme="minorHAnsi" w:hAnsiTheme="minorHAnsi"/>
          <w:noProof/>
        </w:rPr>
        <w:t>)</w:t>
      </w:r>
      <w:r w:rsidR="00C42F7B">
        <w:rPr>
          <w:rFonts w:asciiTheme="minorHAnsi" w:hAnsiTheme="minorHAnsi"/>
        </w:rPr>
        <w:fldChar w:fldCharType="end"/>
      </w:r>
      <w:r w:rsidR="00C42F7B">
        <w:rPr>
          <w:rFonts w:asciiTheme="minorHAnsi" w:hAnsiTheme="minorHAnsi"/>
        </w:rPr>
        <w:t>.</w:t>
      </w:r>
    </w:p>
    <w:p w14:paraId="291622CF" w14:textId="172D3DC3" w:rsidR="002C6F0D" w:rsidRDefault="007A79EF" w:rsidP="007A79EF">
      <w:pPr>
        <w:rPr>
          <w:rFonts w:asciiTheme="minorHAnsi" w:hAnsiTheme="minorHAnsi"/>
        </w:rPr>
      </w:pPr>
      <w:r>
        <w:rPr>
          <w:rFonts w:asciiTheme="minorHAnsi" w:hAnsiTheme="minorHAnsi"/>
        </w:rPr>
        <w:t>Questions on gambling and problem gambling have been included in the last three New Zealand Health Surveys (2002/03, 2006/07 and 2011/12), allowing for some analys</w:t>
      </w:r>
      <w:r w:rsidR="00CB5DF8">
        <w:rPr>
          <w:rFonts w:asciiTheme="minorHAnsi" w:hAnsiTheme="minorHAnsi"/>
        </w:rPr>
        <w:t>e</w:t>
      </w:r>
      <w:r>
        <w:rPr>
          <w:rFonts w:asciiTheme="minorHAnsi" w:hAnsiTheme="minorHAnsi"/>
        </w:rPr>
        <w:t>s of trends over time.</w:t>
      </w:r>
      <w:r w:rsidR="00CB5DF8">
        <w:rPr>
          <w:rFonts w:asciiTheme="minorHAnsi" w:hAnsiTheme="minorHAnsi"/>
        </w:rPr>
        <w:t xml:space="preserve">  The inclusion of the </w:t>
      </w:r>
      <w:r w:rsidR="001A33A8">
        <w:rPr>
          <w:rFonts w:asciiTheme="minorHAnsi" w:hAnsiTheme="minorHAnsi"/>
        </w:rPr>
        <w:t>PGSI</w:t>
      </w:r>
      <w:r w:rsidR="00CB5DF8">
        <w:rPr>
          <w:rFonts w:asciiTheme="minorHAnsi" w:hAnsiTheme="minorHAnsi"/>
        </w:rPr>
        <w:t xml:space="preserve">, which has been validated for use with New Zealand’s population </w:t>
      </w:r>
      <w:r w:rsidR="00CB5DF8">
        <w:rPr>
          <w:rFonts w:asciiTheme="minorHAnsi" w:hAnsiTheme="minorHAnsi"/>
        </w:rPr>
        <w:fldChar w:fldCharType="begin"/>
      </w:r>
      <w:r w:rsidR="00A34C5E">
        <w:rPr>
          <w:rFonts w:asciiTheme="minorHAnsi" w:hAnsiTheme="minorHAnsi"/>
        </w:rPr>
        <w:instrText xml:space="preserve"> ADDIN EN.CITE &lt;EndNote&gt;&lt;Cite&gt;&lt;Author&gt;Devlin&lt;/Author&gt;&lt;Year&gt;2012&lt;/Year&gt;&lt;RecNum&gt;918&lt;/RecNum&gt;&lt;DisplayText&gt;(Devlin &amp;amp; Walton, 2012)&lt;/DisplayText&gt;&lt;record&gt;&lt;rec-number&gt;918&lt;/rec-number&gt;&lt;foreign-keys&gt;&lt;key app="EN" db-id="9pzse05rcvx956etremxfzdh9fzdxvd95rp2"&gt;918&lt;/key&gt;&lt;/foreign-keys&gt;&lt;ref-type name="Journal Article"&gt;17&lt;/ref-type&gt;&lt;contributors&gt;&lt;authors&gt;&lt;author&gt;Devlin, M.&lt;/author&gt;&lt;author&gt;Walton, D.&lt;/author&gt;&lt;/authors&gt;&lt;/contributors&gt;&lt;titles&gt;&lt;title&gt;The prevalence of problem gambling in New Zealand as measured by the PGSI: Adjusting prevalence estimates using meta-analysis&lt;/title&gt;&lt;secondary-title&gt;International Gambling Studies&lt;/secondary-title&gt;&lt;/titles&gt;&lt;pages&gt;177-197&lt;/pages&gt;&lt;volume&gt;12&lt;/volume&gt;&lt;number&gt;2&lt;/number&gt;&lt;dates&gt;&lt;year&gt;2012&lt;/year&gt;&lt;/dates&gt;&lt;urls&gt;&lt;/urls&gt;&lt;/record&gt;&lt;/Cite&gt;&lt;/EndNote&gt;</w:instrText>
      </w:r>
      <w:r w:rsidR="00CB5DF8">
        <w:rPr>
          <w:rFonts w:asciiTheme="minorHAnsi" w:hAnsiTheme="minorHAnsi"/>
        </w:rPr>
        <w:fldChar w:fldCharType="separate"/>
      </w:r>
      <w:r w:rsidR="00CB5DF8">
        <w:rPr>
          <w:rFonts w:asciiTheme="minorHAnsi" w:hAnsiTheme="minorHAnsi"/>
          <w:noProof/>
        </w:rPr>
        <w:t>(</w:t>
      </w:r>
      <w:hyperlink w:anchor="_ENREF_20" w:tooltip="Devlin, 2012 #918" w:history="1">
        <w:r w:rsidR="00765F46">
          <w:rPr>
            <w:rFonts w:asciiTheme="minorHAnsi" w:hAnsiTheme="minorHAnsi"/>
            <w:noProof/>
          </w:rPr>
          <w:t>Devlin &amp; Walton, 2012</w:t>
        </w:r>
      </w:hyperlink>
      <w:r w:rsidR="00CB5DF8">
        <w:rPr>
          <w:rFonts w:asciiTheme="minorHAnsi" w:hAnsiTheme="minorHAnsi"/>
          <w:noProof/>
        </w:rPr>
        <w:t>)</w:t>
      </w:r>
      <w:r w:rsidR="00CB5DF8">
        <w:rPr>
          <w:rFonts w:asciiTheme="minorHAnsi" w:hAnsiTheme="minorHAnsi"/>
        </w:rPr>
        <w:fldChar w:fldCharType="end"/>
      </w:r>
      <w:r w:rsidR="00CB5DF8">
        <w:rPr>
          <w:rFonts w:asciiTheme="minorHAnsi" w:hAnsiTheme="minorHAnsi"/>
        </w:rPr>
        <w:t xml:space="preserve">, in both the 2006/07 and 2011/12 surveys </w:t>
      </w:r>
      <w:r w:rsidR="002C6F0D">
        <w:rPr>
          <w:rFonts w:asciiTheme="minorHAnsi" w:hAnsiTheme="minorHAnsi"/>
        </w:rPr>
        <w:t xml:space="preserve">enables problem gambling harm </w:t>
      </w:r>
      <w:r w:rsidR="00B527F2">
        <w:rPr>
          <w:rFonts w:asciiTheme="minorHAnsi" w:hAnsiTheme="minorHAnsi"/>
        </w:rPr>
        <w:t xml:space="preserve">to be monitored </w:t>
      </w:r>
      <w:r w:rsidR="002C6F0D">
        <w:rPr>
          <w:rFonts w:asciiTheme="minorHAnsi" w:hAnsiTheme="minorHAnsi"/>
        </w:rPr>
        <w:t xml:space="preserve">across time.  </w:t>
      </w:r>
    </w:p>
    <w:p w14:paraId="51422E8C" w14:textId="77777777" w:rsidR="00A56804" w:rsidRDefault="00B17B72" w:rsidP="007A79EF">
      <w:pPr>
        <w:rPr>
          <w:rFonts w:asciiTheme="minorHAnsi" w:hAnsiTheme="minorHAnsi"/>
        </w:rPr>
      </w:pPr>
      <w:r>
        <w:rPr>
          <w:rFonts w:asciiTheme="minorHAnsi" w:hAnsiTheme="minorHAnsi"/>
        </w:rPr>
        <w:t xml:space="preserve">As data from the New Zealand Health Survey is cross-sectional (i.e. data is collected at one point of time), </w:t>
      </w:r>
      <w:r w:rsidR="0001042C">
        <w:rPr>
          <w:rFonts w:asciiTheme="minorHAnsi" w:hAnsiTheme="minorHAnsi"/>
        </w:rPr>
        <w:t>associations and the co-existence of issues</w:t>
      </w:r>
      <w:r w:rsidR="00EF51A6" w:rsidRPr="00EF51A6">
        <w:rPr>
          <w:rFonts w:asciiTheme="minorHAnsi" w:hAnsiTheme="minorHAnsi"/>
        </w:rPr>
        <w:t xml:space="preserve"> </w:t>
      </w:r>
      <w:r w:rsidR="00EF51A6">
        <w:rPr>
          <w:rFonts w:asciiTheme="minorHAnsi" w:hAnsiTheme="minorHAnsi"/>
        </w:rPr>
        <w:t>can be identified</w:t>
      </w:r>
      <w:r w:rsidR="00956968">
        <w:rPr>
          <w:rFonts w:asciiTheme="minorHAnsi" w:hAnsiTheme="minorHAnsi"/>
        </w:rPr>
        <w:t xml:space="preserve">.  </w:t>
      </w:r>
      <w:r w:rsidR="00A56804">
        <w:rPr>
          <w:rFonts w:asciiTheme="minorHAnsi" w:hAnsiTheme="minorHAnsi"/>
        </w:rPr>
        <w:t>For example, we can identify that hazardous drinking and problematic gambling are significantly correlated</w:t>
      </w:r>
      <w:r w:rsidR="00A95BA4">
        <w:rPr>
          <w:rFonts w:asciiTheme="minorHAnsi" w:hAnsiTheme="minorHAnsi"/>
        </w:rPr>
        <w:t xml:space="preserve"> and that gambling on EGMs is significantly associated with problem gambling</w:t>
      </w:r>
      <w:r w:rsidR="00A56804">
        <w:rPr>
          <w:rFonts w:asciiTheme="minorHAnsi" w:hAnsiTheme="minorHAnsi"/>
        </w:rPr>
        <w:t>.  However, it is not possible to determine causality</w:t>
      </w:r>
      <w:r w:rsidR="00956968">
        <w:rPr>
          <w:rFonts w:asciiTheme="minorHAnsi" w:hAnsiTheme="minorHAnsi"/>
        </w:rPr>
        <w:t xml:space="preserve"> or the nature of co-morbidities </w:t>
      </w:r>
      <w:r w:rsidR="00A56804">
        <w:rPr>
          <w:rFonts w:asciiTheme="minorHAnsi" w:hAnsiTheme="minorHAnsi"/>
        </w:rPr>
        <w:t xml:space="preserve">with cross-sectional data. </w:t>
      </w:r>
    </w:p>
    <w:p w14:paraId="73009868" w14:textId="2AA3D41E" w:rsidR="004504DE" w:rsidRDefault="001713D8" w:rsidP="007A79EF">
      <w:pPr>
        <w:rPr>
          <w:rFonts w:asciiTheme="minorHAnsi" w:hAnsiTheme="minorHAnsi"/>
        </w:rPr>
      </w:pPr>
      <w:r>
        <w:rPr>
          <w:rFonts w:asciiTheme="minorHAnsi" w:hAnsiTheme="minorHAnsi"/>
        </w:rPr>
        <w:lastRenderedPageBreak/>
        <w:t xml:space="preserve">As with all studies that rely on </w:t>
      </w:r>
      <w:r w:rsidR="007E1524">
        <w:rPr>
          <w:rFonts w:asciiTheme="minorHAnsi" w:hAnsiTheme="minorHAnsi"/>
        </w:rPr>
        <w:t xml:space="preserve">self-report </w:t>
      </w:r>
      <w:r>
        <w:rPr>
          <w:rFonts w:asciiTheme="minorHAnsi" w:hAnsiTheme="minorHAnsi"/>
        </w:rPr>
        <w:t>f</w:t>
      </w:r>
      <w:r w:rsidR="005E23DB">
        <w:rPr>
          <w:rFonts w:asciiTheme="minorHAnsi" w:hAnsiTheme="minorHAnsi"/>
        </w:rPr>
        <w:t>or</w:t>
      </w:r>
      <w:r>
        <w:rPr>
          <w:rFonts w:asciiTheme="minorHAnsi" w:hAnsiTheme="minorHAnsi"/>
        </w:rPr>
        <w:t xml:space="preserve"> sensitive topics</w:t>
      </w:r>
      <w:r w:rsidR="007E1524">
        <w:rPr>
          <w:rFonts w:asciiTheme="minorHAnsi" w:hAnsiTheme="minorHAnsi"/>
        </w:rPr>
        <w:t>,</w:t>
      </w:r>
      <w:r>
        <w:rPr>
          <w:rFonts w:asciiTheme="minorHAnsi" w:hAnsiTheme="minorHAnsi"/>
        </w:rPr>
        <w:t xml:space="preserve"> such as problem gambling, it is possible that </w:t>
      </w:r>
      <w:r w:rsidR="007E1524">
        <w:rPr>
          <w:rFonts w:asciiTheme="minorHAnsi" w:hAnsiTheme="minorHAnsi"/>
        </w:rPr>
        <w:t>social responsibility response bias may have occurred</w:t>
      </w:r>
      <w:r w:rsidR="005E23DB">
        <w:rPr>
          <w:rFonts w:asciiTheme="minorHAnsi" w:hAnsiTheme="minorHAnsi"/>
        </w:rPr>
        <w:t xml:space="preserve"> in this research</w:t>
      </w:r>
      <w:r w:rsidR="007E1524">
        <w:rPr>
          <w:rFonts w:asciiTheme="minorHAnsi" w:hAnsiTheme="minorHAnsi"/>
        </w:rPr>
        <w:t>.  In essence, social responsibility bias is the tendency for people to deny traits and behaviours that are perceived as being socially undesirable and admit to those that are more acceptable</w:t>
      </w:r>
      <w:r w:rsidR="00F244D4">
        <w:rPr>
          <w:rFonts w:asciiTheme="minorHAnsi" w:hAnsiTheme="minorHAnsi"/>
        </w:rPr>
        <w:t xml:space="preserve"> </w:t>
      </w:r>
      <w:r w:rsidR="00F244D4">
        <w:rPr>
          <w:rFonts w:asciiTheme="minorHAnsi" w:hAnsiTheme="minorHAnsi"/>
        </w:rPr>
        <w:fldChar w:fldCharType="begin"/>
      </w:r>
      <w:r w:rsidR="00A34C5E">
        <w:rPr>
          <w:rFonts w:asciiTheme="minorHAnsi" w:hAnsiTheme="minorHAnsi"/>
        </w:rPr>
        <w:instrText xml:space="preserve"> ADDIN EN.CITE &lt;EndNote&gt;&lt;Cite&gt;&lt;Author&gt;Randall&lt;/Author&gt;&lt;Year&gt;1991&lt;/Year&gt;&lt;RecNum&gt;934&lt;/RecNum&gt;&lt;DisplayText&gt;(Randall &amp;amp; Fernandes, 1991)&lt;/DisplayText&gt;&lt;record&gt;&lt;rec-number&gt;934&lt;/rec-number&gt;&lt;foreign-keys&gt;&lt;key app="EN" db-id="9pzse05rcvx956etremxfzdh9fzdxvd95rp2"&gt;934&lt;/key&gt;&lt;/foreign-keys&gt;&lt;ref-type name="Journal Article"&gt;17&lt;/ref-type&gt;&lt;contributors&gt;&lt;authors&gt;&lt;author&gt;Randall, D. M.&lt;/author&gt;&lt;author&gt;Fernandes, M. F.&lt;/author&gt;&lt;/authors&gt;&lt;/contributors&gt;&lt;titles&gt;&lt;title&gt;The social desirability response bias in ethics research&lt;/title&gt;&lt;secondary-title&gt;Journal of Business Ethics&lt;/secondary-title&gt;&lt;/titles&gt;&lt;pages&gt;805-817&lt;/pages&gt;&lt;volume&gt;10&lt;/volume&gt;&lt;number&gt;11&lt;/number&gt;&lt;dates&gt;&lt;year&gt;1991&lt;/year&gt;&lt;/dates&gt;&lt;urls&gt;&lt;/urls&gt;&lt;/record&gt;&lt;/Cite&gt;&lt;/EndNote&gt;</w:instrText>
      </w:r>
      <w:r w:rsidR="00F244D4">
        <w:rPr>
          <w:rFonts w:asciiTheme="minorHAnsi" w:hAnsiTheme="minorHAnsi"/>
        </w:rPr>
        <w:fldChar w:fldCharType="separate"/>
      </w:r>
      <w:r w:rsidR="00F244D4">
        <w:rPr>
          <w:rFonts w:asciiTheme="minorHAnsi" w:hAnsiTheme="minorHAnsi"/>
          <w:noProof/>
        </w:rPr>
        <w:t>(</w:t>
      </w:r>
      <w:hyperlink w:anchor="_ENREF_50" w:tooltip="Randall, 1991 #934" w:history="1">
        <w:r w:rsidR="00765F46">
          <w:rPr>
            <w:rFonts w:asciiTheme="minorHAnsi" w:hAnsiTheme="minorHAnsi"/>
            <w:noProof/>
          </w:rPr>
          <w:t>Randall &amp; Fernandes, 1991</w:t>
        </w:r>
      </w:hyperlink>
      <w:r w:rsidR="00F244D4">
        <w:rPr>
          <w:rFonts w:asciiTheme="minorHAnsi" w:hAnsiTheme="minorHAnsi"/>
          <w:noProof/>
        </w:rPr>
        <w:t>)</w:t>
      </w:r>
      <w:r w:rsidR="00F244D4">
        <w:rPr>
          <w:rFonts w:asciiTheme="minorHAnsi" w:hAnsiTheme="minorHAnsi"/>
        </w:rPr>
        <w:fldChar w:fldCharType="end"/>
      </w:r>
      <w:r w:rsidR="007E1524">
        <w:rPr>
          <w:rFonts w:asciiTheme="minorHAnsi" w:hAnsiTheme="minorHAnsi"/>
        </w:rPr>
        <w:t>.</w:t>
      </w:r>
      <w:r w:rsidR="00A17DA0">
        <w:rPr>
          <w:rFonts w:asciiTheme="minorHAnsi" w:hAnsiTheme="minorHAnsi"/>
        </w:rPr>
        <w:t xml:space="preserve">  This type of response bias may be particularly evident in research where anonymity is not integrated into the research design </w:t>
      </w:r>
      <w:r w:rsidR="00A17DA0">
        <w:rPr>
          <w:rFonts w:asciiTheme="minorHAnsi" w:hAnsiTheme="minorHAnsi"/>
        </w:rPr>
        <w:fldChar w:fldCharType="begin"/>
      </w:r>
      <w:r w:rsidR="00A34C5E">
        <w:rPr>
          <w:rFonts w:asciiTheme="minorHAnsi" w:hAnsiTheme="minorHAnsi"/>
        </w:rPr>
        <w:instrText xml:space="preserve"> ADDIN EN.CITE &lt;EndNote&gt;&lt;Cite&gt;&lt;Author&gt;Marquis&lt;/Author&gt;&lt;Year&gt;1986&lt;/Year&gt;&lt;RecNum&gt;933&lt;/RecNum&gt;&lt;DisplayText&gt;(Marquis, Marquis, &amp;amp; Polich, 1986)&lt;/DisplayText&gt;&lt;record&gt;&lt;rec-number&gt;933&lt;/rec-number&gt;&lt;foreign-keys&gt;&lt;key app="EN" db-id="9pzse05rcvx956etremxfzdh9fzdxvd95rp2"&gt;933&lt;/key&gt;&lt;/foreign-keys&gt;&lt;ref-type name="Journal Article"&gt;17&lt;/ref-type&gt;&lt;contributors&gt;&lt;authors&gt;&lt;author&gt;Marquis, K. H. &lt;/author&gt;&lt;author&gt;Marquis, S.&lt;/author&gt;&lt;author&gt;Polich, J. M.&lt;/author&gt;&lt;/authors&gt;&lt;/contributors&gt;&lt;titles&gt;&lt;title&gt;Response Bias and Reliability in Sensitive Topic Surveys&lt;/title&gt;&lt;secondary-title&gt;Journal of the American Statistical Association&lt;/secondary-title&gt;&lt;/titles&gt;&lt;pages&gt;381-389&lt;/pages&gt;&lt;volume&gt;81&lt;/volume&gt;&lt;number&gt;394&lt;/number&gt;&lt;dates&gt;&lt;year&gt;1986&lt;/year&gt;&lt;/dates&gt;&lt;urls&gt;&lt;/urls&gt;&lt;/record&gt;&lt;/Cite&gt;&lt;/EndNote&gt;</w:instrText>
      </w:r>
      <w:r w:rsidR="00A17DA0">
        <w:rPr>
          <w:rFonts w:asciiTheme="minorHAnsi" w:hAnsiTheme="minorHAnsi"/>
        </w:rPr>
        <w:fldChar w:fldCharType="separate"/>
      </w:r>
      <w:r w:rsidR="00EE588D">
        <w:rPr>
          <w:rFonts w:asciiTheme="minorHAnsi" w:hAnsiTheme="minorHAnsi"/>
          <w:noProof/>
        </w:rPr>
        <w:t>(</w:t>
      </w:r>
      <w:hyperlink w:anchor="_ENREF_32" w:tooltip="Marquis, 1986 #933" w:history="1">
        <w:r w:rsidR="00765F46">
          <w:rPr>
            <w:rFonts w:asciiTheme="minorHAnsi" w:hAnsiTheme="minorHAnsi"/>
            <w:noProof/>
          </w:rPr>
          <w:t>Marquis, Marquis, &amp; Polich, 1986</w:t>
        </w:r>
      </w:hyperlink>
      <w:r w:rsidR="00EE588D">
        <w:rPr>
          <w:rFonts w:asciiTheme="minorHAnsi" w:hAnsiTheme="minorHAnsi"/>
          <w:noProof/>
        </w:rPr>
        <w:t>)</w:t>
      </w:r>
      <w:r w:rsidR="00A17DA0">
        <w:rPr>
          <w:rFonts w:asciiTheme="minorHAnsi" w:hAnsiTheme="minorHAnsi"/>
        </w:rPr>
        <w:fldChar w:fldCharType="end"/>
      </w:r>
      <w:r w:rsidR="00EE588D">
        <w:rPr>
          <w:rFonts w:asciiTheme="minorHAnsi" w:hAnsiTheme="minorHAnsi"/>
        </w:rPr>
        <w:t xml:space="preserve">, particularly in relation to sensitive topics such as gambling </w:t>
      </w:r>
      <w:r w:rsidR="00EE588D">
        <w:rPr>
          <w:rFonts w:asciiTheme="minorHAnsi" w:hAnsiTheme="minorHAnsi"/>
        </w:rPr>
        <w:fldChar w:fldCharType="begin"/>
      </w:r>
      <w:r w:rsidR="00A34C5E">
        <w:rPr>
          <w:rFonts w:asciiTheme="minorHAnsi" w:hAnsiTheme="minorHAnsi"/>
        </w:rPr>
        <w:instrText xml:space="preserve"> ADDIN EN.CITE &lt;EndNote&gt;&lt;Cite&gt;&lt;Author&gt;Williams&lt;/Author&gt;&lt;Year&gt;2010&lt;/Year&gt;&lt;RecNum&gt;970&lt;/RecNum&gt;&lt;DisplayText&gt;(Williams &amp;amp; Volberg, 2010)&lt;/DisplayText&gt;&lt;record&gt;&lt;rec-number&gt;970&lt;/rec-number&gt;&lt;foreign-keys&gt;&lt;key app="EN" db-id="9pzse05rcvx956etremxfzdh9fzdxvd95rp2"&gt;970&lt;/key&gt;&lt;/foreign-keys&gt;&lt;ref-type name="Report"&gt;27&lt;/ref-type&gt;&lt;contributors&gt;&lt;authors&gt;&lt;author&gt;Williams, R. J.&lt;/author&gt;&lt;author&gt;Volberg, R. A.&lt;/author&gt;&lt;/authors&gt;&lt;/contributors&gt;&lt;titles&gt;&lt;title&gt;Best Practices in the Population Assessment of Problem Gambling&lt;/title&gt;&lt;alt-title&gt;Williams, R. J., Volberg, R.A. (2010). Best Practices in the Population Assessment of Problem Gambling. Report prepared for the Ontario Problem Gambling Research Centre. Guelph, Ontario, CANADA. March 31, 2010.&lt;/alt-title&gt;&lt;/titles&gt;&lt;dates&gt;&lt;year&gt;2010&lt;/year&gt;&lt;/dates&gt;&lt;pub-location&gt;Report prepared for the Ontario Problem Gambling Research Centre&lt;/pub-location&gt;&lt;publisher&gt;Guelph, Ontario, CANADA. March 31, 2010.&lt;/publisher&gt;&lt;urls&gt;&lt;/urls&gt;&lt;/record&gt;&lt;/Cite&gt;&lt;/EndNote&gt;</w:instrText>
      </w:r>
      <w:r w:rsidR="00EE588D">
        <w:rPr>
          <w:rFonts w:asciiTheme="minorHAnsi" w:hAnsiTheme="minorHAnsi"/>
        </w:rPr>
        <w:fldChar w:fldCharType="separate"/>
      </w:r>
      <w:r w:rsidR="00EE588D">
        <w:rPr>
          <w:rFonts w:asciiTheme="minorHAnsi" w:hAnsiTheme="minorHAnsi"/>
          <w:noProof/>
        </w:rPr>
        <w:t>(</w:t>
      </w:r>
      <w:hyperlink w:anchor="_ENREF_64" w:tooltip="Williams, 2010 #970" w:history="1">
        <w:r w:rsidR="00765F46">
          <w:rPr>
            <w:rFonts w:asciiTheme="minorHAnsi" w:hAnsiTheme="minorHAnsi"/>
            <w:noProof/>
          </w:rPr>
          <w:t>Williams &amp; Volberg, 2010</w:t>
        </w:r>
      </w:hyperlink>
      <w:r w:rsidR="00EE588D">
        <w:rPr>
          <w:rFonts w:asciiTheme="minorHAnsi" w:hAnsiTheme="minorHAnsi"/>
          <w:noProof/>
        </w:rPr>
        <w:t>)</w:t>
      </w:r>
      <w:r w:rsidR="00EE588D">
        <w:rPr>
          <w:rFonts w:asciiTheme="minorHAnsi" w:hAnsiTheme="minorHAnsi"/>
        </w:rPr>
        <w:fldChar w:fldCharType="end"/>
      </w:r>
      <w:r w:rsidR="00A17DA0">
        <w:rPr>
          <w:rFonts w:asciiTheme="minorHAnsi" w:hAnsiTheme="minorHAnsi"/>
        </w:rPr>
        <w:t>.</w:t>
      </w:r>
      <w:r w:rsidR="004504DE">
        <w:rPr>
          <w:rFonts w:asciiTheme="minorHAnsi" w:hAnsiTheme="minorHAnsi"/>
        </w:rPr>
        <w:t xml:space="preserve">  It is also possible that recall bias may have impacted the ability of respondents to accurately report on gambling and other behaviours over the past 12 months </w:t>
      </w:r>
      <w:r w:rsidR="004504DE">
        <w:rPr>
          <w:rFonts w:asciiTheme="minorHAnsi" w:hAnsiTheme="minorHAnsi"/>
        </w:rPr>
        <w:fldChar w:fldCharType="begin"/>
      </w:r>
      <w:r w:rsidR="00A34C5E">
        <w:rPr>
          <w:rFonts w:asciiTheme="minorHAnsi" w:hAnsiTheme="minorHAnsi"/>
        </w:rPr>
        <w:instrText xml:space="preserve"> ADDIN EN.CITE &lt;EndNote&gt;&lt;Cite&gt;&lt;Author&gt;Choi&lt;/Author&gt;&lt;Year&gt;2005 Jan &lt;/Year&gt;&lt;RecNum&gt;935&lt;/RecNum&gt;&lt;DisplayText&gt;(Choi &amp;amp; Pak, 2005)&lt;/DisplayText&gt;&lt;record&gt;&lt;rec-number&gt;935&lt;/rec-number&gt;&lt;foreign-keys&gt;&lt;key app="EN" db-id="9pzse05rcvx956etremxfzdh9fzdxvd95rp2"&gt;935&lt;/key&gt;&lt;/foreign-keys&gt;&lt;ref-type name="Journal Article"&gt;17&lt;/ref-type&gt;&lt;contributors&gt;&lt;authors&gt;&lt;author&gt;Choi, B. C. K.&lt;/author&gt;&lt;author&gt;Pak, A. W. P.&lt;/author&gt;&lt;/authors&gt;&lt;/contributors&gt;&lt;titles&gt;&lt;title&gt;A Catalog of Biases in Questionnaires&lt;/title&gt;&lt;secondary-title&gt;Preventing Chronic Disease&lt;/secondary-title&gt;&lt;/titles&gt;&lt;pages&gt;http://www.cdc.gov/pcd/issues/2005/jan/04_0050.htm&lt;/pages&gt;&lt;volume&gt;2&lt;/volume&gt;&lt;number&gt;1&lt;/number&gt;&lt;dates&gt;&lt;year&gt;2005&lt;/year&gt;&lt;/dates&gt;&lt;urls&gt;&lt;/urls&gt;&lt;/record&gt;&lt;/Cite&gt;&lt;/EndNote&gt;</w:instrText>
      </w:r>
      <w:r w:rsidR="004504DE">
        <w:rPr>
          <w:rFonts w:asciiTheme="minorHAnsi" w:hAnsiTheme="minorHAnsi"/>
        </w:rPr>
        <w:fldChar w:fldCharType="separate"/>
      </w:r>
      <w:r w:rsidR="004504DE">
        <w:rPr>
          <w:rFonts w:asciiTheme="minorHAnsi" w:hAnsiTheme="minorHAnsi"/>
          <w:noProof/>
        </w:rPr>
        <w:t>(</w:t>
      </w:r>
      <w:hyperlink w:anchor="_ENREF_14" w:tooltip="Choi, 2005 #935" w:history="1">
        <w:r w:rsidR="00765F46">
          <w:rPr>
            <w:rFonts w:asciiTheme="minorHAnsi" w:hAnsiTheme="minorHAnsi"/>
            <w:noProof/>
          </w:rPr>
          <w:t>Choi &amp; Pak, 2005</w:t>
        </w:r>
      </w:hyperlink>
      <w:r w:rsidR="004504DE">
        <w:rPr>
          <w:rFonts w:asciiTheme="minorHAnsi" w:hAnsiTheme="minorHAnsi"/>
          <w:noProof/>
        </w:rPr>
        <w:t>)</w:t>
      </w:r>
      <w:r w:rsidR="004504DE">
        <w:rPr>
          <w:rFonts w:asciiTheme="minorHAnsi" w:hAnsiTheme="minorHAnsi"/>
        </w:rPr>
        <w:fldChar w:fldCharType="end"/>
      </w:r>
      <w:r w:rsidR="004504DE">
        <w:rPr>
          <w:rFonts w:asciiTheme="minorHAnsi" w:hAnsiTheme="minorHAnsi"/>
        </w:rPr>
        <w:t>.</w:t>
      </w:r>
    </w:p>
    <w:p w14:paraId="78E3CF08" w14:textId="5C29C0B5" w:rsidR="0007710C" w:rsidRDefault="002568CA" w:rsidP="0007710C">
      <w:pPr>
        <w:rPr>
          <w:rFonts w:asciiTheme="minorHAnsi" w:hAnsiTheme="minorHAnsi"/>
        </w:rPr>
      </w:pPr>
      <w:r>
        <w:rPr>
          <w:rFonts w:asciiTheme="minorHAnsi" w:hAnsiTheme="minorHAnsi"/>
        </w:rPr>
        <w:t>As outlined</w:t>
      </w:r>
      <w:r w:rsidR="00321F82">
        <w:rPr>
          <w:rFonts w:asciiTheme="minorHAnsi" w:hAnsiTheme="minorHAnsi"/>
        </w:rPr>
        <w:t xml:space="preserve"> previously</w:t>
      </w:r>
      <w:r>
        <w:rPr>
          <w:rFonts w:asciiTheme="minorHAnsi" w:hAnsiTheme="minorHAnsi"/>
        </w:rPr>
        <w:t>, a number of discrepancies were apparent between the results from this research and those gained via the National Gambling Study</w:t>
      </w:r>
      <w:r w:rsidR="00445BE5">
        <w:rPr>
          <w:rFonts w:asciiTheme="minorHAnsi" w:hAnsiTheme="minorHAnsi"/>
        </w:rPr>
        <w:t xml:space="preserve"> and the Health and Lifestyles Survey</w:t>
      </w:r>
      <w:r>
        <w:rPr>
          <w:rFonts w:asciiTheme="minorHAnsi" w:hAnsiTheme="minorHAnsi"/>
        </w:rPr>
        <w:t>.</w:t>
      </w:r>
      <w:r w:rsidR="00FE5313">
        <w:rPr>
          <w:rFonts w:asciiTheme="minorHAnsi" w:hAnsiTheme="minorHAnsi"/>
        </w:rPr>
        <w:t xml:space="preserve"> </w:t>
      </w:r>
      <w:r>
        <w:rPr>
          <w:rFonts w:asciiTheme="minorHAnsi" w:hAnsiTheme="minorHAnsi"/>
        </w:rPr>
        <w:t xml:space="preserve"> These may be partially</w:t>
      </w:r>
      <w:r w:rsidR="00A04F87">
        <w:rPr>
          <w:rFonts w:asciiTheme="minorHAnsi" w:hAnsiTheme="minorHAnsi"/>
        </w:rPr>
        <w:t>, but not fully,</w:t>
      </w:r>
      <w:r>
        <w:rPr>
          <w:rFonts w:asciiTheme="minorHAnsi" w:hAnsiTheme="minorHAnsi"/>
        </w:rPr>
        <w:t xml:space="preserve"> attributable to response</w:t>
      </w:r>
      <w:r w:rsidR="00321F82">
        <w:rPr>
          <w:rFonts w:asciiTheme="minorHAnsi" w:hAnsiTheme="minorHAnsi"/>
        </w:rPr>
        <w:t xml:space="preserve"> and/or sample</w:t>
      </w:r>
      <w:r>
        <w:rPr>
          <w:rFonts w:asciiTheme="minorHAnsi" w:hAnsiTheme="minorHAnsi"/>
        </w:rPr>
        <w:t xml:space="preserve"> biases </w:t>
      </w:r>
      <w:r w:rsidR="00321F82">
        <w:rPr>
          <w:rFonts w:asciiTheme="minorHAnsi" w:hAnsiTheme="minorHAnsi"/>
        </w:rPr>
        <w:t>bought about by the different foci of the research projects</w:t>
      </w:r>
      <w:r w:rsidR="00A04F87">
        <w:rPr>
          <w:rFonts w:asciiTheme="minorHAnsi" w:hAnsiTheme="minorHAnsi"/>
        </w:rPr>
        <w:t>:</w:t>
      </w:r>
      <w:r w:rsidR="00D5060E">
        <w:rPr>
          <w:rFonts w:asciiTheme="minorHAnsi" w:hAnsiTheme="minorHAnsi"/>
        </w:rPr>
        <w:t xml:space="preserve"> </w:t>
      </w:r>
      <w:r w:rsidR="00445BE5">
        <w:rPr>
          <w:rFonts w:asciiTheme="minorHAnsi" w:hAnsiTheme="minorHAnsi"/>
        </w:rPr>
        <w:t xml:space="preserve"> </w:t>
      </w:r>
      <w:r w:rsidR="00A04F87">
        <w:rPr>
          <w:rFonts w:asciiTheme="minorHAnsi" w:hAnsiTheme="minorHAnsi"/>
        </w:rPr>
        <w:t>The NZHS included gambling as one topic amongst a survey of numerous issues related to health and wellbeing</w:t>
      </w:r>
      <w:r w:rsidR="00D5060E">
        <w:rPr>
          <w:rFonts w:asciiTheme="minorHAnsi" w:hAnsiTheme="minorHAnsi"/>
        </w:rPr>
        <w:t>; and,</w:t>
      </w:r>
      <w:r w:rsidR="00A04F87">
        <w:rPr>
          <w:rFonts w:asciiTheme="minorHAnsi" w:hAnsiTheme="minorHAnsi"/>
        </w:rPr>
        <w:t xml:space="preserve"> </w:t>
      </w:r>
      <w:r w:rsidR="00321F82">
        <w:rPr>
          <w:rFonts w:asciiTheme="minorHAnsi" w:hAnsiTheme="minorHAnsi"/>
        </w:rPr>
        <w:t xml:space="preserve">The National Gambling Study maintained a </w:t>
      </w:r>
      <w:r w:rsidR="00CA66E4">
        <w:rPr>
          <w:rFonts w:asciiTheme="minorHAnsi" w:hAnsiTheme="minorHAnsi"/>
        </w:rPr>
        <w:t>primary</w:t>
      </w:r>
      <w:r w:rsidR="00321F82">
        <w:rPr>
          <w:rFonts w:asciiTheme="minorHAnsi" w:hAnsiTheme="minorHAnsi"/>
        </w:rPr>
        <w:t xml:space="preserve"> focus on gambling and </w:t>
      </w:r>
      <w:r w:rsidR="00445BE5">
        <w:rPr>
          <w:rFonts w:asciiTheme="minorHAnsi" w:hAnsiTheme="minorHAnsi"/>
        </w:rPr>
        <w:t>related behaviours and lifestyle factors</w:t>
      </w:r>
      <w:r w:rsidR="00321F82">
        <w:rPr>
          <w:rFonts w:asciiTheme="minorHAnsi" w:hAnsiTheme="minorHAnsi"/>
        </w:rPr>
        <w:t xml:space="preserve"> and was introduced </w:t>
      </w:r>
      <w:r w:rsidR="00CD0F58">
        <w:rPr>
          <w:rFonts w:asciiTheme="minorHAnsi" w:hAnsiTheme="minorHAnsi"/>
        </w:rPr>
        <w:t xml:space="preserve">to participants </w:t>
      </w:r>
      <w:r w:rsidR="00321F82">
        <w:rPr>
          <w:rFonts w:asciiTheme="minorHAnsi" w:hAnsiTheme="minorHAnsi"/>
        </w:rPr>
        <w:t xml:space="preserve">as </w:t>
      </w:r>
      <w:r w:rsidR="00445BE5" w:rsidRPr="00445BE5">
        <w:rPr>
          <w:rFonts w:asciiTheme="minorHAnsi" w:hAnsiTheme="minorHAnsi"/>
        </w:rPr>
        <w:t>“The national survey of lotteries,</w:t>
      </w:r>
      <w:r w:rsidR="00445BE5">
        <w:rPr>
          <w:rFonts w:asciiTheme="minorHAnsi" w:hAnsiTheme="minorHAnsi"/>
        </w:rPr>
        <w:t xml:space="preserve"> gaming and betting activities”</w:t>
      </w:r>
      <w:r w:rsidR="00321F82">
        <w:rPr>
          <w:rFonts w:asciiTheme="minorHAnsi" w:hAnsiTheme="minorHAnsi"/>
        </w:rPr>
        <w:t xml:space="preserve">. </w:t>
      </w:r>
      <w:r w:rsidR="004B21F1">
        <w:rPr>
          <w:rFonts w:asciiTheme="minorHAnsi" w:hAnsiTheme="minorHAnsi"/>
        </w:rPr>
        <w:t xml:space="preserve"> </w:t>
      </w:r>
      <w:r w:rsidR="00FE5313">
        <w:rPr>
          <w:rFonts w:asciiTheme="minorHAnsi" w:hAnsiTheme="minorHAnsi"/>
        </w:rPr>
        <w:t xml:space="preserve">As Williams and </w:t>
      </w:r>
      <w:proofErr w:type="spellStart"/>
      <w:r w:rsidR="00FE5313">
        <w:rPr>
          <w:rFonts w:asciiTheme="minorHAnsi" w:hAnsiTheme="minorHAnsi"/>
        </w:rPr>
        <w:t>Volberg</w:t>
      </w:r>
      <w:proofErr w:type="spellEnd"/>
      <w:r w:rsidR="00FE5313">
        <w:rPr>
          <w:rFonts w:asciiTheme="minorHAnsi" w:hAnsiTheme="minorHAnsi"/>
        </w:rPr>
        <w:t xml:space="preserve"> </w:t>
      </w:r>
      <w:r w:rsidR="00FE5313">
        <w:rPr>
          <w:rFonts w:asciiTheme="minorHAnsi" w:hAnsiTheme="minorHAnsi"/>
        </w:rPr>
        <w:fldChar w:fldCharType="begin"/>
      </w:r>
      <w:r w:rsidR="00A34C5E">
        <w:rPr>
          <w:rFonts w:asciiTheme="minorHAnsi" w:hAnsiTheme="minorHAnsi"/>
        </w:rPr>
        <w:instrText xml:space="preserve"> ADDIN EN.CITE &lt;EndNote&gt;&lt;Cite ExcludeAuth="1"&gt;&lt;Author&gt;Williams&lt;/Author&gt;&lt;Year&gt;2010&lt;/Year&gt;&lt;RecNum&gt;970&lt;/RecNum&gt;&lt;DisplayText&gt;(2010)&lt;/DisplayText&gt;&lt;record&gt;&lt;rec-number&gt;970&lt;/rec-number&gt;&lt;foreign-keys&gt;&lt;key app="EN" db-id="9pzse05rcvx956etremxfzdh9fzdxvd95rp2"&gt;970&lt;/key&gt;&lt;/foreign-keys&gt;&lt;ref-type name="Report"&gt;27&lt;/ref-type&gt;&lt;contributors&gt;&lt;authors&gt;&lt;author&gt;Williams, R. J.&lt;/author&gt;&lt;author&gt;Volberg, R. A.&lt;/author&gt;&lt;/authors&gt;&lt;/contributors&gt;&lt;titles&gt;&lt;title&gt;Best Practices in the Population Assessment of Problem Gambling&lt;/title&gt;&lt;alt-title&gt;Williams, R. J., Volberg, R.A. (2010). Best Practices in the Population Assessment of Problem Gambling. Report prepared for the Ontario Problem Gambling Research Centre. Guelph, Ontario, CANADA. March 31, 2010.&lt;/alt-title&gt;&lt;/titles&gt;&lt;dates&gt;&lt;year&gt;2010&lt;/year&gt;&lt;/dates&gt;&lt;pub-location&gt;Report prepared for the Ontario Problem Gambling Research Centre&lt;/pub-location&gt;&lt;publisher&gt;Guelph, Ontario, CANADA. March 31, 2010.&lt;/publisher&gt;&lt;urls&gt;&lt;/urls&gt;&lt;/record&gt;&lt;/Cite&gt;&lt;/EndNote&gt;</w:instrText>
      </w:r>
      <w:r w:rsidR="00FE5313">
        <w:rPr>
          <w:rFonts w:asciiTheme="minorHAnsi" w:hAnsiTheme="minorHAnsi"/>
        </w:rPr>
        <w:fldChar w:fldCharType="separate"/>
      </w:r>
      <w:r w:rsidR="00FE5313">
        <w:rPr>
          <w:rFonts w:asciiTheme="minorHAnsi" w:hAnsiTheme="minorHAnsi"/>
          <w:noProof/>
        </w:rPr>
        <w:t>(</w:t>
      </w:r>
      <w:hyperlink w:anchor="_ENREF_64" w:tooltip="Williams, 2010 #970" w:history="1">
        <w:r w:rsidR="00765F46">
          <w:rPr>
            <w:rFonts w:asciiTheme="minorHAnsi" w:hAnsiTheme="minorHAnsi"/>
            <w:noProof/>
          </w:rPr>
          <w:t>2010</w:t>
        </w:r>
      </w:hyperlink>
      <w:r w:rsidR="00FE5313">
        <w:rPr>
          <w:rFonts w:asciiTheme="minorHAnsi" w:hAnsiTheme="minorHAnsi"/>
          <w:noProof/>
        </w:rPr>
        <w:t>)</w:t>
      </w:r>
      <w:r w:rsidR="00FE5313">
        <w:rPr>
          <w:rFonts w:asciiTheme="minorHAnsi" w:hAnsiTheme="minorHAnsi"/>
        </w:rPr>
        <w:fldChar w:fldCharType="end"/>
      </w:r>
      <w:r w:rsidR="00FE5313">
        <w:rPr>
          <w:rFonts w:asciiTheme="minorHAnsi" w:hAnsiTheme="minorHAnsi"/>
        </w:rPr>
        <w:t xml:space="preserve"> point out</w:t>
      </w:r>
      <w:r w:rsidR="00A92A88">
        <w:rPr>
          <w:rFonts w:asciiTheme="minorHAnsi" w:hAnsiTheme="minorHAnsi"/>
        </w:rPr>
        <w:t xml:space="preserve"> in their report on best practice for obtaining population estimates of gambling and problem gambling</w:t>
      </w:r>
      <w:r w:rsidR="00FE5313">
        <w:rPr>
          <w:rFonts w:asciiTheme="minorHAnsi" w:hAnsiTheme="minorHAnsi"/>
        </w:rPr>
        <w:t xml:space="preserve">, a primary reason for people choosing to not participate in research is a lack of interest in the topic.  When comparing discrepancies </w:t>
      </w:r>
      <w:r w:rsidR="00A92A88">
        <w:rPr>
          <w:rFonts w:asciiTheme="minorHAnsi" w:hAnsiTheme="minorHAnsi"/>
        </w:rPr>
        <w:t>between gambling estimates in</w:t>
      </w:r>
      <w:r w:rsidR="00FE5313">
        <w:rPr>
          <w:rFonts w:asciiTheme="minorHAnsi" w:hAnsiTheme="minorHAnsi"/>
        </w:rPr>
        <w:t xml:space="preserve"> North American studies, they suggest that “</w:t>
      </w:r>
      <w:r w:rsidR="00FE5313" w:rsidRPr="00FE5313">
        <w:rPr>
          <w:rFonts w:asciiTheme="minorHAnsi" w:hAnsiTheme="minorHAnsi"/>
        </w:rPr>
        <w:t xml:space="preserve">it is quite possible that gamblers participated at a higher rate </w:t>
      </w:r>
      <w:r w:rsidR="00A92A88">
        <w:rPr>
          <w:rFonts w:asciiTheme="minorHAnsi" w:hAnsiTheme="minorHAnsi"/>
        </w:rPr>
        <w:t xml:space="preserve">[in studies with a primary focus on gambling] </w:t>
      </w:r>
      <w:r w:rsidR="00FE5313" w:rsidRPr="00FE5313">
        <w:rPr>
          <w:rFonts w:asciiTheme="minorHAnsi" w:hAnsiTheme="minorHAnsi"/>
        </w:rPr>
        <w:t xml:space="preserve">because of their greater interest in the topic, resulting in an </w:t>
      </w:r>
      <w:proofErr w:type="spellStart"/>
      <w:r w:rsidR="00FE5313" w:rsidRPr="00FE5313">
        <w:rPr>
          <w:rFonts w:asciiTheme="minorHAnsi" w:hAnsiTheme="minorHAnsi"/>
        </w:rPr>
        <w:t>artifactually</w:t>
      </w:r>
      <w:proofErr w:type="spellEnd"/>
      <w:r w:rsidR="00FE5313" w:rsidRPr="00FE5313">
        <w:rPr>
          <w:rFonts w:asciiTheme="minorHAnsi" w:hAnsiTheme="minorHAnsi"/>
        </w:rPr>
        <w:t xml:space="preserve"> high obtained prevalence of gambling (and consequently, problem gambling) among the participants</w:t>
      </w:r>
      <w:r w:rsidR="00CE2494">
        <w:rPr>
          <w:rFonts w:asciiTheme="minorHAnsi" w:hAnsiTheme="minorHAnsi"/>
        </w:rPr>
        <w:t>.” (p. 14)</w:t>
      </w:r>
      <w:r w:rsidR="00FE5313" w:rsidRPr="00FE5313">
        <w:rPr>
          <w:rFonts w:asciiTheme="minorHAnsi" w:hAnsiTheme="minorHAnsi"/>
        </w:rPr>
        <w:t xml:space="preserve">.  </w:t>
      </w:r>
      <w:r w:rsidR="00BB083A">
        <w:rPr>
          <w:rFonts w:asciiTheme="minorHAnsi" w:hAnsiTheme="minorHAnsi"/>
        </w:rPr>
        <w:t>As such, it could be argued that the 2011/12 NZHS may have</w:t>
      </w:r>
      <w:r w:rsidR="00BB083A" w:rsidRPr="0007710C">
        <w:rPr>
          <w:rFonts w:asciiTheme="minorHAnsi" w:hAnsiTheme="minorHAnsi"/>
        </w:rPr>
        <w:t xml:space="preserve"> </w:t>
      </w:r>
      <w:r w:rsidR="00BB083A">
        <w:rPr>
          <w:rFonts w:asciiTheme="minorHAnsi" w:hAnsiTheme="minorHAnsi"/>
        </w:rPr>
        <w:t>recruited a smaller proportion of people with an interest in gambling than the National Gambling Study and therefore underestimated gambling and problem gambling amongst adults in New Zealand.  However, the</w:t>
      </w:r>
      <w:r w:rsidR="00AA18BA">
        <w:rPr>
          <w:rFonts w:asciiTheme="minorHAnsi" w:hAnsiTheme="minorHAnsi"/>
        </w:rPr>
        <w:t xml:space="preserve"> discrepancies </w:t>
      </w:r>
      <w:r w:rsidR="00BB083A">
        <w:rPr>
          <w:rFonts w:asciiTheme="minorHAnsi" w:hAnsiTheme="minorHAnsi"/>
        </w:rPr>
        <w:t>discussed</w:t>
      </w:r>
      <w:r w:rsidR="00AA18BA">
        <w:rPr>
          <w:rFonts w:asciiTheme="minorHAnsi" w:hAnsiTheme="minorHAnsi"/>
        </w:rPr>
        <w:t xml:space="preserve"> by Williams and </w:t>
      </w:r>
      <w:proofErr w:type="spellStart"/>
      <w:r w:rsidR="00AA18BA">
        <w:rPr>
          <w:rFonts w:asciiTheme="minorHAnsi" w:hAnsiTheme="minorHAnsi"/>
        </w:rPr>
        <w:t>Volberg</w:t>
      </w:r>
      <w:proofErr w:type="spellEnd"/>
      <w:r w:rsidR="00AA18BA">
        <w:rPr>
          <w:rFonts w:asciiTheme="minorHAnsi" w:hAnsiTheme="minorHAnsi"/>
        </w:rPr>
        <w:t xml:space="preserve"> </w:t>
      </w:r>
      <w:r w:rsidR="00AA18BA">
        <w:rPr>
          <w:rFonts w:asciiTheme="minorHAnsi" w:hAnsiTheme="minorHAnsi"/>
        </w:rPr>
        <w:lastRenderedPageBreak/>
        <w:fldChar w:fldCharType="begin"/>
      </w:r>
      <w:r w:rsidR="00A34C5E">
        <w:rPr>
          <w:rFonts w:asciiTheme="minorHAnsi" w:hAnsiTheme="minorHAnsi"/>
        </w:rPr>
        <w:instrText xml:space="preserve"> ADDIN EN.CITE &lt;EndNote&gt;&lt;Cite ExcludeAuth="1"&gt;&lt;Author&gt;Williams&lt;/Author&gt;&lt;Year&gt;2010&lt;/Year&gt;&lt;RecNum&gt;970&lt;/RecNum&gt;&lt;DisplayText&gt;(2010)&lt;/DisplayText&gt;&lt;record&gt;&lt;rec-number&gt;970&lt;/rec-number&gt;&lt;foreign-keys&gt;&lt;key app="EN" db-id="9pzse05rcvx956etremxfzdh9fzdxvd95rp2"&gt;970&lt;/key&gt;&lt;/foreign-keys&gt;&lt;ref-type name="Report"&gt;27&lt;/ref-type&gt;&lt;contributors&gt;&lt;authors&gt;&lt;author&gt;Williams, R. J.&lt;/author&gt;&lt;author&gt;Volberg, R. A.&lt;/author&gt;&lt;/authors&gt;&lt;/contributors&gt;&lt;titles&gt;&lt;title&gt;Best Practices in the Population Assessment of Problem Gambling&lt;/title&gt;&lt;alt-title&gt;Williams, R. J., Volberg, R.A. (2010). Best Practices in the Population Assessment of Problem Gambling. Report prepared for the Ontario Problem Gambling Research Centre. Guelph, Ontario, CANADA. March 31, 2010.&lt;/alt-title&gt;&lt;/titles&gt;&lt;dates&gt;&lt;year&gt;2010&lt;/year&gt;&lt;/dates&gt;&lt;pub-location&gt;Report prepared for the Ontario Problem Gambling Research Centre&lt;/pub-location&gt;&lt;publisher&gt;Guelph, Ontario, CANADA. March 31, 2010.&lt;/publisher&gt;&lt;urls&gt;&lt;/urls&gt;&lt;/record&gt;&lt;/Cite&gt;&lt;/EndNote&gt;</w:instrText>
      </w:r>
      <w:r w:rsidR="00AA18BA">
        <w:rPr>
          <w:rFonts w:asciiTheme="minorHAnsi" w:hAnsiTheme="minorHAnsi"/>
        </w:rPr>
        <w:fldChar w:fldCharType="separate"/>
      </w:r>
      <w:r w:rsidR="00AA18BA">
        <w:rPr>
          <w:rFonts w:asciiTheme="minorHAnsi" w:hAnsiTheme="minorHAnsi"/>
          <w:noProof/>
        </w:rPr>
        <w:t>(</w:t>
      </w:r>
      <w:hyperlink w:anchor="_ENREF_64" w:tooltip="Williams, 2010 #970" w:history="1">
        <w:r w:rsidR="00765F46">
          <w:rPr>
            <w:rFonts w:asciiTheme="minorHAnsi" w:hAnsiTheme="minorHAnsi"/>
            <w:noProof/>
          </w:rPr>
          <w:t>2010</w:t>
        </w:r>
      </w:hyperlink>
      <w:r w:rsidR="00AA18BA">
        <w:rPr>
          <w:rFonts w:asciiTheme="minorHAnsi" w:hAnsiTheme="minorHAnsi"/>
          <w:noProof/>
        </w:rPr>
        <w:t>)</w:t>
      </w:r>
      <w:r w:rsidR="00AA18BA">
        <w:rPr>
          <w:rFonts w:asciiTheme="minorHAnsi" w:hAnsiTheme="minorHAnsi"/>
        </w:rPr>
        <w:fldChar w:fldCharType="end"/>
      </w:r>
      <w:r w:rsidR="00AA18BA">
        <w:rPr>
          <w:rFonts w:asciiTheme="minorHAnsi" w:hAnsiTheme="minorHAnsi"/>
        </w:rPr>
        <w:t xml:space="preserve"> were </w:t>
      </w:r>
      <w:r w:rsidR="00BB083A">
        <w:rPr>
          <w:rFonts w:asciiTheme="minorHAnsi" w:hAnsiTheme="minorHAnsi"/>
        </w:rPr>
        <w:t xml:space="preserve">significantly </w:t>
      </w:r>
      <w:r w:rsidR="00AA18BA">
        <w:rPr>
          <w:rFonts w:asciiTheme="minorHAnsi" w:hAnsiTheme="minorHAnsi"/>
        </w:rPr>
        <w:t>smaller</w:t>
      </w:r>
      <w:r w:rsidR="00BB083A">
        <w:rPr>
          <w:rFonts w:asciiTheme="minorHAnsi" w:hAnsiTheme="minorHAnsi"/>
        </w:rPr>
        <w:t xml:space="preserve"> and it seems likely that other unknown factors have contributed to the reduced rates found by the 2011/12 NZHS. </w:t>
      </w:r>
      <w:r w:rsidR="0007710C">
        <w:rPr>
          <w:rFonts w:asciiTheme="minorHAnsi" w:hAnsiTheme="minorHAnsi"/>
        </w:rPr>
        <w:t xml:space="preserve">  </w:t>
      </w:r>
    </w:p>
    <w:p w14:paraId="12A4FE27" w14:textId="77777777" w:rsidR="00193B49" w:rsidRPr="00193B49" w:rsidRDefault="00193B49" w:rsidP="00193B49">
      <w:pPr>
        <w:rPr>
          <w:rFonts w:asciiTheme="minorHAnsi" w:hAnsiTheme="minorHAnsi"/>
        </w:rPr>
      </w:pPr>
      <w:r w:rsidRPr="00193B49">
        <w:rPr>
          <w:rFonts w:asciiTheme="minorHAnsi" w:hAnsiTheme="minorHAnsi"/>
        </w:rPr>
        <w:t>A number of results</w:t>
      </w:r>
      <w:r w:rsidR="00D5060E">
        <w:rPr>
          <w:rFonts w:asciiTheme="minorHAnsi" w:hAnsiTheme="minorHAnsi"/>
        </w:rPr>
        <w:t xml:space="preserve"> in this report</w:t>
      </w:r>
      <w:r w:rsidRPr="00193B49">
        <w:rPr>
          <w:rFonts w:asciiTheme="minorHAnsi" w:hAnsiTheme="minorHAnsi"/>
        </w:rPr>
        <w:t xml:space="preserve"> </w:t>
      </w:r>
      <w:r>
        <w:rPr>
          <w:rFonts w:asciiTheme="minorHAnsi" w:hAnsiTheme="minorHAnsi"/>
        </w:rPr>
        <w:t>have been</w:t>
      </w:r>
      <w:r w:rsidRPr="00193B49">
        <w:rPr>
          <w:rFonts w:asciiTheme="minorHAnsi" w:hAnsiTheme="minorHAnsi"/>
        </w:rPr>
        <w:t xml:space="preserve"> presented </w:t>
      </w:r>
      <w:r w:rsidR="00B85E87">
        <w:rPr>
          <w:rFonts w:asciiTheme="minorHAnsi" w:hAnsiTheme="minorHAnsi"/>
        </w:rPr>
        <w:t xml:space="preserve">separately </w:t>
      </w:r>
      <w:r w:rsidRPr="00193B49">
        <w:rPr>
          <w:rFonts w:asciiTheme="minorHAnsi" w:hAnsiTheme="minorHAnsi"/>
        </w:rPr>
        <w:t xml:space="preserve">for Pacific and Asian adults.  It should be </w:t>
      </w:r>
      <w:r>
        <w:rPr>
          <w:rFonts w:asciiTheme="minorHAnsi" w:hAnsiTheme="minorHAnsi"/>
        </w:rPr>
        <w:t>noted</w:t>
      </w:r>
      <w:r w:rsidRPr="00193B49">
        <w:rPr>
          <w:rFonts w:asciiTheme="minorHAnsi" w:hAnsiTheme="minorHAnsi"/>
        </w:rPr>
        <w:t xml:space="preserve"> that Pacific participants included those who identified as Samoan, Cook I</w:t>
      </w:r>
      <w:r>
        <w:rPr>
          <w:rFonts w:asciiTheme="minorHAnsi" w:hAnsiTheme="minorHAnsi"/>
        </w:rPr>
        <w:t xml:space="preserve">sland Māori, Tongan, and Niuean.  </w:t>
      </w:r>
      <w:r w:rsidRPr="00193B49">
        <w:rPr>
          <w:rFonts w:asciiTheme="minorHAnsi" w:hAnsiTheme="minorHAnsi"/>
        </w:rPr>
        <w:t xml:space="preserve">Asian adults included respondents who identified as Chinese and Indian. </w:t>
      </w:r>
      <w:r w:rsidR="00ED1838">
        <w:rPr>
          <w:rFonts w:asciiTheme="minorHAnsi" w:hAnsiTheme="minorHAnsi"/>
        </w:rPr>
        <w:t xml:space="preserve"> </w:t>
      </w:r>
      <w:r w:rsidR="000730C5">
        <w:rPr>
          <w:rFonts w:asciiTheme="minorHAnsi" w:hAnsiTheme="minorHAnsi"/>
        </w:rPr>
        <w:t xml:space="preserve">Despite being categorised as either Pacific or Asian, these categories constitute a range of different ethnicities and cultures.  </w:t>
      </w:r>
      <w:r w:rsidRPr="00193B49">
        <w:rPr>
          <w:rFonts w:asciiTheme="minorHAnsi" w:hAnsiTheme="minorHAnsi"/>
        </w:rPr>
        <w:t xml:space="preserve">However, due to the small numbers of participants from certain Pacific and Asian ethnic groups, further sub-group analyses were not possible. </w:t>
      </w:r>
    </w:p>
    <w:p w14:paraId="5EB6CE1F" w14:textId="77777777" w:rsidR="008E7B01" w:rsidRPr="00C621EC" w:rsidRDefault="008E7B01" w:rsidP="00F06924">
      <w:pPr>
        <w:rPr>
          <w:rFonts w:asciiTheme="minorHAnsi" w:hAnsiTheme="minorHAnsi"/>
        </w:rPr>
      </w:pPr>
    </w:p>
    <w:p w14:paraId="260E5EB2" w14:textId="77777777" w:rsidR="00F90F1D" w:rsidRPr="00106037" w:rsidRDefault="00F90F1D" w:rsidP="004F129A">
      <w:pPr>
        <w:pStyle w:val="Heading2"/>
        <w:numPr>
          <w:ilvl w:val="1"/>
          <w:numId w:val="63"/>
        </w:numPr>
      </w:pPr>
      <w:bookmarkStart w:id="196" w:name="_Toc403833208"/>
      <w:r w:rsidRPr="00106037">
        <w:t>Conclusion</w:t>
      </w:r>
      <w:r w:rsidR="00E81DC2" w:rsidRPr="00106037">
        <w:t>s</w:t>
      </w:r>
      <w:bookmarkEnd w:id="196"/>
    </w:p>
    <w:p w14:paraId="10538791" w14:textId="7BF822FC" w:rsidR="00F20356" w:rsidRPr="00F20356" w:rsidRDefault="00523E73" w:rsidP="00F20356">
      <w:pPr>
        <w:rPr>
          <w:rFonts w:asciiTheme="minorHAnsi" w:hAnsiTheme="minorHAnsi"/>
        </w:rPr>
      </w:pPr>
      <w:r>
        <w:rPr>
          <w:rFonts w:asciiTheme="minorHAnsi" w:hAnsiTheme="minorHAnsi"/>
        </w:rPr>
        <w:t xml:space="preserve">Overall, this research indicates that adult participation in gambling </w:t>
      </w:r>
      <w:r w:rsidR="00DE2563">
        <w:rPr>
          <w:rFonts w:asciiTheme="minorHAnsi" w:hAnsiTheme="minorHAnsi"/>
        </w:rPr>
        <w:t>has</w:t>
      </w:r>
      <w:r>
        <w:rPr>
          <w:rFonts w:asciiTheme="minorHAnsi" w:hAnsiTheme="minorHAnsi"/>
        </w:rPr>
        <w:t xml:space="preserve"> decreas</w:t>
      </w:r>
      <w:r w:rsidR="00DE2563">
        <w:rPr>
          <w:rFonts w:asciiTheme="minorHAnsi" w:hAnsiTheme="minorHAnsi"/>
        </w:rPr>
        <w:t>ed</w:t>
      </w:r>
      <w:r>
        <w:rPr>
          <w:rFonts w:asciiTheme="minorHAnsi" w:hAnsiTheme="minorHAnsi"/>
        </w:rPr>
        <w:t xml:space="preserve">.  However, </w:t>
      </w:r>
      <w:r w:rsidR="00DE2563">
        <w:rPr>
          <w:rFonts w:asciiTheme="minorHAnsi" w:hAnsiTheme="minorHAnsi"/>
        </w:rPr>
        <w:t xml:space="preserve">problem gambling continues to be a significant public health issue in New Zealand, with stable </w:t>
      </w:r>
      <w:r>
        <w:rPr>
          <w:rFonts w:asciiTheme="minorHAnsi" w:hAnsiTheme="minorHAnsi"/>
        </w:rPr>
        <w:t>proportion</w:t>
      </w:r>
      <w:r w:rsidR="002E5F6F">
        <w:rPr>
          <w:rFonts w:asciiTheme="minorHAnsi" w:hAnsiTheme="minorHAnsi"/>
        </w:rPr>
        <w:t>s</w:t>
      </w:r>
      <w:r>
        <w:rPr>
          <w:rFonts w:asciiTheme="minorHAnsi" w:hAnsiTheme="minorHAnsi"/>
        </w:rPr>
        <w:t xml:space="preserve"> of the population </w:t>
      </w:r>
      <w:r w:rsidR="002E5F6F">
        <w:rPr>
          <w:rFonts w:asciiTheme="minorHAnsi" w:hAnsiTheme="minorHAnsi"/>
        </w:rPr>
        <w:t xml:space="preserve">gambling at </w:t>
      </w:r>
      <w:r>
        <w:rPr>
          <w:rFonts w:asciiTheme="minorHAnsi" w:hAnsiTheme="minorHAnsi"/>
        </w:rPr>
        <w:t>problem</w:t>
      </w:r>
      <w:r w:rsidR="002E5F6F">
        <w:rPr>
          <w:rFonts w:asciiTheme="minorHAnsi" w:hAnsiTheme="minorHAnsi"/>
        </w:rPr>
        <w:t xml:space="preserve"> and moderate-risk levels</w:t>
      </w:r>
      <w:r w:rsidR="00DE2563">
        <w:rPr>
          <w:rFonts w:asciiTheme="minorHAnsi" w:hAnsiTheme="minorHAnsi"/>
        </w:rPr>
        <w:t xml:space="preserve">. </w:t>
      </w:r>
      <w:r w:rsidR="00F20356">
        <w:rPr>
          <w:rFonts w:asciiTheme="minorHAnsi" w:hAnsiTheme="minorHAnsi"/>
        </w:rPr>
        <w:t xml:space="preserve"> In total, 2.0% satisfied the criteria for low-risk gambling, 1.0% for moderate-risk gambling, and 0.2% for problem gambling; approximately 112,800 New Zealand adults are experiencing negative impacts as a result of their own gambling.  A further 2.5%, or </w:t>
      </w:r>
      <w:r w:rsidR="00F20356">
        <w:rPr>
          <w:rFonts w:asciiTheme="minorHAnsi" w:hAnsiTheme="minorHAnsi" w:cstheme="minorHAnsi"/>
          <w:lang w:val="en-GB"/>
        </w:rPr>
        <w:t>approximately</w:t>
      </w:r>
      <w:r w:rsidR="00F20356" w:rsidRPr="00AF3A24">
        <w:rPr>
          <w:rFonts w:asciiTheme="minorHAnsi" w:hAnsiTheme="minorHAnsi" w:cstheme="minorHAnsi"/>
          <w:lang w:val="en-GB"/>
        </w:rPr>
        <w:t xml:space="preserve"> 89,100</w:t>
      </w:r>
      <w:r w:rsidR="00F20356">
        <w:rPr>
          <w:rFonts w:asciiTheme="minorHAnsi" w:hAnsiTheme="minorHAnsi" w:cstheme="minorHAnsi"/>
          <w:lang w:val="en-GB"/>
        </w:rPr>
        <w:t xml:space="preserve"> adults, had experienced negative impacts due to someone else’s gambling in the past year.  </w:t>
      </w:r>
    </w:p>
    <w:p w14:paraId="6F84824A" w14:textId="3CE30671" w:rsidR="00044621" w:rsidRDefault="0001042C" w:rsidP="00EB5023">
      <w:pPr>
        <w:rPr>
          <w:rFonts w:asciiTheme="minorHAnsi" w:hAnsiTheme="minorHAnsi" w:cstheme="minorHAnsi"/>
          <w:lang w:val="en-GB"/>
        </w:rPr>
      </w:pPr>
      <w:r>
        <w:rPr>
          <w:rFonts w:asciiTheme="minorHAnsi" w:hAnsiTheme="minorHAnsi" w:cstheme="minorHAnsi"/>
          <w:lang w:val="en-GB"/>
        </w:rPr>
        <w:t>Problematic gambling was associated with a number of co-existing issues</w:t>
      </w:r>
      <w:r w:rsidR="0030144A">
        <w:rPr>
          <w:rFonts w:asciiTheme="minorHAnsi" w:hAnsiTheme="minorHAnsi" w:cstheme="minorHAnsi"/>
          <w:lang w:val="en-GB"/>
        </w:rPr>
        <w:t xml:space="preserve">, </w:t>
      </w:r>
      <w:r w:rsidR="00044621">
        <w:rPr>
          <w:rFonts w:asciiTheme="minorHAnsi" w:hAnsiTheme="minorHAnsi" w:cstheme="minorHAnsi"/>
          <w:lang w:val="en-GB"/>
        </w:rPr>
        <w:t>including</w:t>
      </w:r>
      <w:r w:rsidR="0030144A">
        <w:rPr>
          <w:rFonts w:asciiTheme="minorHAnsi" w:hAnsiTheme="minorHAnsi" w:cstheme="minorHAnsi"/>
          <w:lang w:val="en-GB"/>
        </w:rPr>
        <w:t xml:space="preserve"> hazardous drinking, smoking, drug use, and psychological distress/disorders.  While people experiencing problem gambling were more likely to have accessed healthcare in the past year they were also more likely to say that they had been unable to access such help due to</w:t>
      </w:r>
      <w:r w:rsidR="00065401">
        <w:rPr>
          <w:rFonts w:asciiTheme="minorHAnsi" w:hAnsiTheme="minorHAnsi" w:cstheme="minorHAnsi"/>
          <w:lang w:val="en-GB"/>
        </w:rPr>
        <w:t xml:space="preserve"> financial difficulties</w:t>
      </w:r>
      <w:r w:rsidR="0030144A">
        <w:rPr>
          <w:rFonts w:asciiTheme="minorHAnsi" w:hAnsiTheme="minorHAnsi" w:cstheme="minorHAnsi"/>
          <w:lang w:val="en-GB"/>
        </w:rPr>
        <w:t xml:space="preserve">. </w:t>
      </w:r>
      <w:r w:rsidR="00065401">
        <w:rPr>
          <w:rFonts w:asciiTheme="minorHAnsi" w:hAnsiTheme="minorHAnsi" w:cstheme="minorHAnsi"/>
          <w:lang w:val="en-GB"/>
        </w:rPr>
        <w:t xml:space="preserve"> These findings have important implications for the </w:t>
      </w:r>
      <w:r w:rsidR="00044621">
        <w:rPr>
          <w:rFonts w:asciiTheme="minorHAnsi" w:hAnsiTheme="minorHAnsi" w:cstheme="minorHAnsi"/>
          <w:lang w:val="en-GB"/>
        </w:rPr>
        <w:t xml:space="preserve">delivery of assistance to those with problem gambling issues and support the need for </w:t>
      </w:r>
      <w:r w:rsidR="00156892">
        <w:rPr>
          <w:rFonts w:asciiTheme="minorHAnsi" w:hAnsiTheme="minorHAnsi" w:cstheme="minorHAnsi"/>
          <w:lang w:val="en-GB"/>
        </w:rPr>
        <w:t xml:space="preserve">facilitation and </w:t>
      </w:r>
      <w:r w:rsidR="00044621">
        <w:rPr>
          <w:rFonts w:asciiTheme="minorHAnsi" w:hAnsiTheme="minorHAnsi" w:cstheme="minorHAnsi"/>
          <w:lang w:val="en-GB"/>
        </w:rPr>
        <w:t>strong inter-agency communication and cooperation between those working in</w:t>
      </w:r>
      <w:r w:rsidR="000D2B1B">
        <w:rPr>
          <w:rFonts w:asciiTheme="minorHAnsi" w:hAnsiTheme="minorHAnsi" w:cstheme="minorHAnsi"/>
          <w:lang w:val="en-GB"/>
        </w:rPr>
        <w:t xml:space="preserve"> the areas of </w:t>
      </w:r>
      <w:r w:rsidR="00044621">
        <w:rPr>
          <w:rFonts w:asciiTheme="minorHAnsi" w:hAnsiTheme="minorHAnsi" w:cstheme="minorHAnsi"/>
          <w:lang w:val="en-GB"/>
        </w:rPr>
        <w:t>problem gambling, alcohol and drug</w:t>
      </w:r>
      <w:r w:rsidR="000D2B1B">
        <w:rPr>
          <w:rFonts w:asciiTheme="minorHAnsi" w:hAnsiTheme="minorHAnsi" w:cstheme="minorHAnsi"/>
          <w:lang w:val="en-GB"/>
        </w:rPr>
        <w:t xml:space="preserve"> treatment</w:t>
      </w:r>
      <w:r w:rsidR="00044621">
        <w:rPr>
          <w:rFonts w:asciiTheme="minorHAnsi" w:hAnsiTheme="minorHAnsi" w:cstheme="minorHAnsi"/>
          <w:lang w:val="en-GB"/>
        </w:rPr>
        <w:t>, and primary-care</w:t>
      </w:r>
      <w:r w:rsidR="000D2B1B">
        <w:rPr>
          <w:rFonts w:asciiTheme="minorHAnsi" w:hAnsiTheme="minorHAnsi" w:cstheme="minorHAnsi"/>
          <w:lang w:val="en-GB"/>
        </w:rPr>
        <w:t xml:space="preserve"> health services.</w:t>
      </w:r>
    </w:p>
    <w:p w14:paraId="49874F10" w14:textId="4CED9115" w:rsidR="00F20356" w:rsidRDefault="00DD3065" w:rsidP="00B7468E">
      <w:pPr>
        <w:rPr>
          <w:rFonts w:asciiTheme="minorHAnsi" w:hAnsiTheme="minorHAnsi"/>
        </w:rPr>
      </w:pPr>
      <w:r w:rsidRPr="00A95BA4">
        <w:rPr>
          <w:rFonts w:asciiTheme="minorHAnsi" w:hAnsiTheme="minorHAnsi"/>
        </w:rPr>
        <w:lastRenderedPageBreak/>
        <w:t xml:space="preserve">This report found that EGMs, both in and out of casinos, are associated with the most harm from gambling and that Māori, Pacific people and those living in neighbourhoods with higher levels of deprivation are more likely to satisfy problem gambling criteria and to be affected by someone else’s gambling.  </w:t>
      </w:r>
      <w:r w:rsidR="00D16F43" w:rsidRPr="00A95BA4">
        <w:rPr>
          <w:rFonts w:asciiTheme="minorHAnsi" w:hAnsiTheme="minorHAnsi"/>
        </w:rPr>
        <w:t>T</w:t>
      </w:r>
      <w:r w:rsidRPr="00A95BA4">
        <w:rPr>
          <w:rFonts w:asciiTheme="minorHAnsi" w:hAnsiTheme="minorHAnsi"/>
        </w:rPr>
        <w:t xml:space="preserve">hese findings are consistent with those documented elsewhere </w:t>
      </w:r>
      <w:r w:rsidRPr="00A95BA4">
        <w:rPr>
          <w:rFonts w:asciiTheme="minorHAnsi" w:hAnsiTheme="minorHAnsi"/>
        </w:rPr>
        <w:fldChar w:fldCharType="begin">
          <w:fldData xml:space="preserve">PEVuZE5vdGU+PENpdGU+PEF1dGhvcj5BYmJvdHQ8L0F1dGhvcj48WWVhcj4yMDE0PC9ZZWFyPjxS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PEVuZE5vdGU+PENpdGU+PEF1dGhvcj5BYmJvdHQ8L0F1dGhvcj48WWVhcj4yMDE0PC9ZZWFyPjxS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Pr="00A95BA4">
        <w:rPr>
          <w:rFonts w:asciiTheme="minorHAnsi" w:hAnsiTheme="minorHAnsi"/>
        </w:rPr>
      </w:r>
      <w:r w:rsidRPr="00A95BA4">
        <w:rPr>
          <w:rFonts w:asciiTheme="minorHAnsi" w:hAnsiTheme="minorHAnsi"/>
        </w:rPr>
        <w:fldChar w:fldCharType="separate"/>
      </w:r>
      <w:r w:rsidR="005E495C">
        <w:rPr>
          <w:rFonts w:asciiTheme="minorHAnsi" w:hAnsiTheme="minorHAnsi"/>
          <w:noProof/>
        </w:rPr>
        <w:t xml:space="preserve">(e.g. </w:t>
      </w:r>
      <w:hyperlink w:anchor="_ENREF_1" w:tooltip="Abbott, 2014 #921" w:history="1">
        <w:r w:rsidR="00765F46">
          <w:rPr>
            <w:rFonts w:asciiTheme="minorHAnsi" w:hAnsiTheme="minorHAnsi"/>
            <w:noProof/>
          </w:rPr>
          <w:t>Abbott et al., 2014a</w:t>
        </w:r>
      </w:hyperlink>
      <w:r w:rsidR="005E495C">
        <w:rPr>
          <w:rFonts w:asciiTheme="minorHAnsi" w:hAnsiTheme="minorHAnsi"/>
          <w:noProof/>
        </w:rPr>
        <w:t xml:space="preserve">; </w:t>
      </w:r>
      <w:hyperlink w:anchor="_ENREF_5" w:tooltip="Abbott, 1991 #937" w:history="1">
        <w:r w:rsidR="00765F46">
          <w:rPr>
            <w:rFonts w:asciiTheme="minorHAnsi" w:hAnsiTheme="minorHAnsi"/>
            <w:noProof/>
          </w:rPr>
          <w:t>Abbott &amp; Volberg, 1991</w:t>
        </w:r>
      </w:hyperlink>
      <w:r w:rsidR="005E495C">
        <w:rPr>
          <w:rFonts w:asciiTheme="minorHAnsi" w:hAnsiTheme="minorHAnsi"/>
          <w:noProof/>
        </w:rPr>
        <w:t xml:space="preserve">, </w:t>
      </w:r>
      <w:hyperlink w:anchor="_ENREF_6" w:tooltip="Abbott, 1996 #321" w:history="1">
        <w:r w:rsidR="00765F46">
          <w:rPr>
            <w:rFonts w:asciiTheme="minorHAnsi" w:hAnsiTheme="minorHAnsi"/>
            <w:noProof/>
          </w:rPr>
          <w:t>1996</w:t>
        </w:r>
      </w:hyperlink>
      <w:r w:rsidR="005E495C">
        <w:rPr>
          <w:rFonts w:asciiTheme="minorHAnsi" w:hAnsiTheme="minorHAnsi"/>
          <w:noProof/>
        </w:rPr>
        <w:t xml:space="preserve">; </w:t>
      </w:r>
      <w:hyperlink w:anchor="_ENREF_36" w:tooltip="Ministry of Health, 2009 #33" w:history="1">
        <w:r w:rsidR="00765F46">
          <w:rPr>
            <w:rFonts w:asciiTheme="minorHAnsi" w:hAnsiTheme="minorHAnsi"/>
            <w:noProof/>
          </w:rPr>
          <w:t>Ministry of Health, 2009</w:t>
        </w:r>
      </w:hyperlink>
      <w:r w:rsidR="005E495C">
        <w:rPr>
          <w:rFonts w:asciiTheme="minorHAnsi" w:hAnsiTheme="minorHAnsi"/>
          <w:noProof/>
        </w:rPr>
        <w:t xml:space="preserve">; </w:t>
      </w:r>
      <w:hyperlink w:anchor="_ENREF_52" w:tooltip="Rossen, 2013 #920" w:history="1">
        <w:r w:rsidR="00765F46">
          <w:rPr>
            <w:rFonts w:asciiTheme="minorHAnsi" w:hAnsiTheme="minorHAnsi"/>
            <w:noProof/>
          </w:rPr>
          <w:t>Rossen et al., 2013</w:t>
        </w:r>
      </w:hyperlink>
      <w:r w:rsidR="005E495C">
        <w:rPr>
          <w:rFonts w:asciiTheme="minorHAnsi" w:hAnsiTheme="minorHAnsi"/>
          <w:noProof/>
        </w:rPr>
        <w:t>)</w:t>
      </w:r>
      <w:r w:rsidRPr="00A95BA4">
        <w:rPr>
          <w:rFonts w:asciiTheme="minorHAnsi" w:hAnsiTheme="minorHAnsi"/>
        </w:rPr>
        <w:fldChar w:fldCharType="end"/>
      </w:r>
      <w:r w:rsidR="005E495C">
        <w:rPr>
          <w:rFonts w:asciiTheme="minorHAnsi" w:hAnsiTheme="minorHAnsi"/>
        </w:rPr>
        <w:t>, and are reflected in t</w:t>
      </w:r>
      <w:r w:rsidR="000F6E54">
        <w:rPr>
          <w:rFonts w:asciiTheme="minorHAnsi" w:hAnsiTheme="minorHAnsi"/>
        </w:rPr>
        <w:t xml:space="preserve">he Ministry of Health’s </w:t>
      </w:r>
      <w:r w:rsidR="005E495C">
        <w:rPr>
          <w:rFonts w:asciiTheme="minorHAnsi" w:hAnsiTheme="minorHAnsi"/>
        </w:rPr>
        <w:t xml:space="preserve">2010/11 - 2015/16 </w:t>
      </w:r>
      <w:r w:rsidR="000F6E54">
        <w:rPr>
          <w:rFonts w:asciiTheme="minorHAnsi" w:hAnsiTheme="minorHAnsi"/>
        </w:rPr>
        <w:t>strategic plan</w:t>
      </w:r>
      <w:r w:rsidR="00E842F0">
        <w:rPr>
          <w:rFonts w:asciiTheme="minorHAnsi" w:hAnsiTheme="minorHAnsi"/>
        </w:rPr>
        <w:t xml:space="preserve"> </w:t>
      </w:r>
      <w:r w:rsidR="005E495C">
        <w:rPr>
          <w:rFonts w:asciiTheme="minorHAnsi" w:hAnsiTheme="minorHAnsi"/>
        </w:rPr>
        <w:t>which</w:t>
      </w:r>
      <w:r w:rsidR="00E842F0">
        <w:rPr>
          <w:rFonts w:asciiTheme="minorHAnsi" w:hAnsiTheme="minorHAnsi"/>
        </w:rPr>
        <w:t xml:space="preserve"> </w:t>
      </w:r>
      <w:r w:rsidR="008A3660">
        <w:rPr>
          <w:rFonts w:asciiTheme="minorHAnsi" w:hAnsiTheme="minorHAnsi"/>
        </w:rPr>
        <w:t>recognises</w:t>
      </w:r>
      <w:r w:rsidR="000F6E54">
        <w:rPr>
          <w:rFonts w:asciiTheme="minorHAnsi" w:hAnsiTheme="minorHAnsi"/>
        </w:rPr>
        <w:t xml:space="preserve"> h</w:t>
      </w:r>
      <w:r w:rsidR="00070B07">
        <w:rPr>
          <w:rFonts w:asciiTheme="minorHAnsi" w:hAnsiTheme="minorHAnsi"/>
        </w:rPr>
        <w:t>ealth inequalities between Māori and Pacific peoples and non-Māori non-Pacific peoples, and peoples with low socioeconomic</w:t>
      </w:r>
      <w:r w:rsidR="000F6E54">
        <w:rPr>
          <w:rFonts w:asciiTheme="minorHAnsi" w:hAnsiTheme="minorHAnsi"/>
        </w:rPr>
        <w:t xml:space="preserve"> status</w:t>
      </w:r>
      <w:r w:rsidR="008A3660">
        <w:rPr>
          <w:rFonts w:asciiTheme="minorHAnsi" w:hAnsiTheme="minorHAnsi"/>
        </w:rPr>
        <w:t xml:space="preserve"> in relation to gambling harms</w:t>
      </w:r>
      <w:r w:rsidR="000F6E54">
        <w:rPr>
          <w:rFonts w:asciiTheme="minorHAnsi" w:hAnsiTheme="minorHAnsi"/>
        </w:rPr>
        <w:t xml:space="preserve"> </w:t>
      </w:r>
      <w:r w:rsidR="000F6E54">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Health&lt;/Author&gt;&lt;Year&gt;2010&lt;/Year&gt;&lt;RecNum&gt;947&lt;/RecNum&gt;&lt;DisplayText&gt;(Ministry of Health, 2010a)&lt;/DisplayText&gt;&lt;record&gt;&lt;rec-number&gt;947&lt;/rec-number&gt;&lt;foreign-keys&gt;&lt;key app="EN" db-id="9pzse05rcvx956etremxfzdh9fzdxvd95rp2"&gt;947&lt;/key&gt;&lt;/foreign-keys&gt;&lt;ref-type name="Report"&gt;27&lt;/ref-type&gt;&lt;contributors&gt;&lt;authors&gt;&lt;author&gt;Ministry of Health,&lt;/author&gt;&lt;/authors&gt;&lt;/contributors&gt;&lt;titles&gt;&lt;title&gt;Preventing and Minimising Gambling Harm: Six-year strategic plan 2010/11-2015/16&lt;/title&gt;&lt;/titles&gt;&lt;dates&gt;&lt;year&gt;2010&lt;/year&gt;&lt;/dates&gt;&lt;pub-location&gt;Wellington&lt;/pub-location&gt;&lt;publisher&gt;Ministry of Health&lt;/publisher&gt;&lt;urls&gt;&lt;/urls&gt;&lt;/record&gt;&lt;/Cite&gt;&lt;/EndNote&gt;</w:instrText>
      </w:r>
      <w:r w:rsidR="000F6E54">
        <w:rPr>
          <w:rFonts w:asciiTheme="minorHAnsi" w:hAnsiTheme="minorHAnsi"/>
        </w:rPr>
        <w:fldChar w:fldCharType="separate"/>
      </w:r>
      <w:r w:rsidR="000F6E54">
        <w:rPr>
          <w:rFonts w:asciiTheme="minorHAnsi" w:hAnsiTheme="minorHAnsi"/>
          <w:noProof/>
        </w:rPr>
        <w:t>(</w:t>
      </w:r>
      <w:hyperlink w:anchor="_ENREF_37" w:tooltip="Ministry of Health, 2010 #947" w:history="1">
        <w:r w:rsidR="00765F46">
          <w:rPr>
            <w:rFonts w:asciiTheme="minorHAnsi" w:hAnsiTheme="minorHAnsi"/>
            <w:noProof/>
          </w:rPr>
          <w:t>Ministry of Health, 2010a</w:t>
        </w:r>
      </w:hyperlink>
      <w:r w:rsidR="000F6E54">
        <w:rPr>
          <w:rFonts w:asciiTheme="minorHAnsi" w:hAnsiTheme="minorHAnsi"/>
          <w:noProof/>
        </w:rPr>
        <w:t>)</w:t>
      </w:r>
      <w:r w:rsidR="000F6E54">
        <w:rPr>
          <w:rFonts w:asciiTheme="minorHAnsi" w:hAnsiTheme="minorHAnsi"/>
        </w:rPr>
        <w:fldChar w:fldCharType="end"/>
      </w:r>
      <w:r w:rsidR="000F6E54">
        <w:rPr>
          <w:rFonts w:asciiTheme="minorHAnsi" w:hAnsiTheme="minorHAnsi"/>
        </w:rPr>
        <w:t xml:space="preserve">.  </w:t>
      </w:r>
    </w:p>
    <w:p w14:paraId="66F0EE27" w14:textId="57CBA64B" w:rsidR="00E4705B" w:rsidRDefault="0061041C" w:rsidP="00B7468E">
      <w:pPr>
        <w:rPr>
          <w:rFonts w:asciiTheme="minorHAnsi" w:hAnsiTheme="minorHAnsi"/>
        </w:rPr>
      </w:pPr>
      <w:r w:rsidRPr="0061041C">
        <w:rPr>
          <w:rFonts w:asciiTheme="minorHAnsi" w:hAnsiTheme="minorHAnsi"/>
        </w:rPr>
        <w:t xml:space="preserve">While more research is required on </w:t>
      </w:r>
      <w:r w:rsidR="00A065DD" w:rsidRPr="00A95BA4">
        <w:rPr>
          <w:rFonts w:asciiTheme="minorHAnsi" w:hAnsiTheme="minorHAnsi"/>
        </w:rPr>
        <w:t>gambling and problem gambling amongst Māori</w:t>
      </w:r>
      <w:r w:rsidR="00994392">
        <w:rPr>
          <w:rFonts w:asciiTheme="minorHAnsi" w:hAnsiTheme="minorHAnsi"/>
        </w:rPr>
        <w:t>,</w:t>
      </w:r>
      <w:r w:rsidR="00070B07">
        <w:rPr>
          <w:rFonts w:asciiTheme="minorHAnsi" w:hAnsiTheme="minorHAnsi"/>
        </w:rPr>
        <w:t xml:space="preserve"> Pacific peoples</w:t>
      </w:r>
      <w:r w:rsidR="00A065DD" w:rsidRPr="00A95BA4">
        <w:rPr>
          <w:rFonts w:asciiTheme="minorHAnsi" w:hAnsiTheme="minorHAnsi"/>
        </w:rPr>
        <w:t>,</w:t>
      </w:r>
      <w:r w:rsidR="00994392">
        <w:rPr>
          <w:rFonts w:asciiTheme="minorHAnsi" w:hAnsiTheme="minorHAnsi"/>
        </w:rPr>
        <w:t xml:space="preserve"> and people living in neighbourhoods with higher levels of deprivation,</w:t>
      </w:r>
      <w:r w:rsidR="00A065DD" w:rsidRPr="00A95BA4">
        <w:rPr>
          <w:rFonts w:asciiTheme="minorHAnsi" w:hAnsiTheme="minorHAnsi"/>
        </w:rPr>
        <w:t xml:space="preserve"> </w:t>
      </w:r>
      <w:r>
        <w:rPr>
          <w:rFonts w:asciiTheme="minorHAnsi" w:hAnsiTheme="minorHAnsi"/>
        </w:rPr>
        <w:t xml:space="preserve">current evidence suggests that gambling and problem gambling </w:t>
      </w:r>
      <w:proofErr w:type="gramStart"/>
      <w:r>
        <w:rPr>
          <w:rFonts w:asciiTheme="minorHAnsi" w:hAnsiTheme="minorHAnsi"/>
        </w:rPr>
        <w:t xml:space="preserve">are usually </w:t>
      </w:r>
      <w:r w:rsidR="00A065DD" w:rsidRPr="00A95BA4">
        <w:rPr>
          <w:rFonts w:asciiTheme="minorHAnsi" w:hAnsiTheme="minorHAnsi"/>
        </w:rPr>
        <w:t>part</w:t>
      </w:r>
      <w:proofErr w:type="gramEnd"/>
      <w:r w:rsidR="00A065DD" w:rsidRPr="00A95BA4">
        <w:rPr>
          <w:rFonts w:asciiTheme="minorHAnsi" w:hAnsiTheme="minorHAnsi"/>
        </w:rPr>
        <w:t xml:space="preserve"> of a larger set of social problems</w:t>
      </w:r>
      <w:r>
        <w:rPr>
          <w:rFonts w:asciiTheme="minorHAnsi" w:hAnsiTheme="minorHAnsi"/>
        </w:rPr>
        <w:t xml:space="preserve">. </w:t>
      </w:r>
      <w:r w:rsidR="00994392">
        <w:rPr>
          <w:rFonts w:asciiTheme="minorHAnsi" w:hAnsiTheme="minorHAnsi"/>
        </w:rPr>
        <w:t xml:space="preserve"> </w:t>
      </w:r>
      <w:r>
        <w:rPr>
          <w:rFonts w:asciiTheme="minorHAnsi" w:hAnsiTheme="minorHAnsi"/>
        </w:rPr>
        <w:t>As such</w:t>
      </w:r>
      <w:r w:rsidR="00994392">
        <w:rPr>
          <w:rFonts w:asciiTheme="minorHAnsi" w:hAnsiTheme="minorHAnsi"/>
        </w:rPr>
        <w:t>,</w:t>
      </w:r>
      <w:r>
        <w:rPr>
          <w:rFonts w:asciiTheme="minorHAnsi" w:hAnsiTheme="minorHAnsi"/>
        </w:rPr>
        <w:t xml:space="preserve"> gambling </w:t>
      </w:r>
      <w:r w:rsidR="00A065DD" w:rsidRPr="00A95BA4">
        <w:rPr>
          <w:rFonts w:asciiTheme="minorHAnsi" w:hAnsiTheme="minorHAnsi"/>
        </w:rPr>
        <w:t xml:space="preserve">must be viewed </w:t>
      </w:r>
      <w:r>
        <w:rPr>
          <w:rFonts w:asciiTheme="minorHAnsi" w:hAnsiTheme="minorHAnsi"/>
        </w:rPr>
        <w:t xml:space="preserve">through an inequalities framework that takes  into account </w:t>
      </w:r>
      <w:r w:rsidR="00A065DD" w:rsidRPr="00A95BA4">
        <w:rPr>
          <w:rFonts w:asciiTheme="minorHAnsi" w:hAnsiTheme="minorHAnsi"/>
        </w:rPr>
        <w:t xml:space="preserve">the </w:t>
      </w:r>
      <w:r w:rsidR="008B6480">
        <w:rPr>
          <w:rFonts w:asciiTheme="minorHAnsi" w:hAnsiTheme="minorHAnsi"/>
        </w:rPr>
        <w:t xml:space="preserve">wider </w:t>
      </w:r>
      <w:r w:rsidR="00070B07">
        <w:rPr>
          <w:rFonts w:asciiTheme="minorHAnsi" w:hAnsiTheme="minorHAnsi"/>
        </w:rPr>
        <w:t xml:space="preserve">social </w:t>
      </w:r>
      <w:r w:rsidR="00A065DD" w:rsidRPr="00A95BA4">
        <w:rPr>
          <w:rFonts w:asciiTheme="minorHAnsi" w:hAnsiTheme="minorHAnsi"/>
        </w:rPr>
        <w:t>context</w:t>
      </w:r>
      <w:r w:rsidR="008B6480">
        <w:rPr>
          <w:rFonts w:asciiTheme="minorHAnsi" w:hAnsiTheme="minorHAnsi"/>
        </w:rPr>
        <w:t xml:space="preserve">, including the roles </w:t>
      </w:r>
      <w:r w:rsidR="00A065DD" w:rsidRPr="00A95BA4">
        <w:rPr>
          <w:rFonts w:asciiTheme="minorHAnsi" w:hAnsiTheme="minorHAnsi"/>
        </w:rPr>
        <w:t xml:space="preserve">of </w:t>
      </w:r>
      <w:r w:rsidR="008B6480">
        <w:rPr>
          <w:rFonts w:asciiTheme="minorHAnsi" w:hAnsiTheme="minorHAnsi"/>
        </w:rPr>
        <w:t xml:space="preserve">family and </w:t>
      </w:r>
      <w:r w:rsidR="00A065DD" w:rsidRPr="00A95BA4">
        <w:rPr>
          <w:rFonts w:asciiTheme="minorHAnsi" w:hAnsiTheme="minorHAnsi"/>
        </w:rPr>
        <w:t>whānau</w:t>
      </w:r>
      <w:r>
        <w:rPr>
          <w:rFonts w:asciiTheme="minorHAnsi" w:hAnsiTheme="minorHAnsi"/>
        </w:rPr>
        <w:t xml:space="preserve"> </w:t>
      </w:r>
      <w:r w:rsidR="0038144D" w:rsidRPr="00A95BA4">
        <w:rPr>
          <w:rFonts w:asciiTheme="minorHAnsi" w:hAnsiTheme="minorHAnsi"/>
        </w:rPr>
        <w:fldChar w:fldCharType="begin">
          <w:fldData xml:space="preserve">PEVuZE5vdGU+PENpdGU+PEF1dGhvcj5EeWFsbDwvQXV0aG9yPjxZZWFyPjIwMDk8L1llYXI+PFJl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</w:fldData>
        </w:fldChar>
      </w:r>
      <w:r w:rsidR="00A34C5E">
        <w:rPr>
          <w:rFonts w:asciiTheme="minorHAnsi" w:hAnsiTheme="minorHAnsi"/>
        </w:rPr>
        <w:instrText xml:space="preserve"> ADDIN EN.CITE </w:instrText>
      </w:r>
      <w:r w:rsidR="00A34C5E">
        <w:rPr>
          <w:rFonts w:asciiTheme="minorHAnsi" w:hAnsiTheme="minorHAnsi"/>
        </w:rPr>
        <w:fldChar w:fldCharType="begin">
          <w:fldData xml:space="preserve">PEVuZE5vdGU+PENpdGU+PEF1dGhvcj5EeWFsbDwvQXV0aG9yPjxZZWFyPjIwMDk8L1llYXI+PFJl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</w:fldData>
        </w:fldChar>
      </w:r>
      <w:r w:rsidR="00A34C5E">
        <w:rPr>
          <w:rFonts w:asciiTheme="minorHAnsi" w:hAnsiTheme="minorHAnsi"/>
        </w:rPr>
        <w:instrText xml:space="preserve"> ADDIN EN.CITE.DATA </w:instrText>
      </w:r>
      <w:r w:rsidR="00A34C5E">
        <w:rPr>
          <w:rFonts w:asciiTheme="minorHAnsi" w:hAnsiTheme="minorHAnsi"/>
        </w:rPr>
      </w:r>
      <w:r w:rsidR="00A34C5E">
        <w:rPr>
          <w:rFonts w:asciiTheme="minorHAnsi" w:hAnsiTheme="minorHAnsi"/>
        </w:rPr>
        <w:fldChar w:fldCharType="end"/>
      </w:r>
      <w:r w:rsidR="0038144D" w:rsidRPr="00A95BA4">
        <w:rPr>
          <w:rFonts w:asciiTheme="minorHAnsi" w:hAnsiTheme="minorHAnsi"/>
        </w:rPr>
      </w:r>
      <w:r w:rsidR="0038144D" w:rsidRPr="00A95BA4">
        <w:rPr>
          <w:rFonts w:asciiTheme="minorHAnsi" w:hAnsiTheme="minorHAnsi"/>
        </w:rPr>
        <w:fldChar w:fldCharType="separate"/>
      </w:r>
      <w:r w:rsidR="00903E1F">
        <w:rPr>
          <w:rFonts w:asciiTheme="minorHAnsi" w:hAnsiTheme="minorHAnsi"/>
          <w:noProof/>
        </w:rPr>
        <w:t>(</w:t>
      </w:r>
      <w:hyperlink w:anchor="_ENREF_1" w:tooltip="Abbott, 2014 #921" w:history="1">
        <w:r w:rsidR="00765F46">
          <w:rPr>
            <w:rFonts w:asciiTheme="minorHAnsi" w:hAnsiTheme="minorHAnsi"/>
            <w:noProof/>
          </w:rPr>
          <w:t>Abbott et al., 2014a</w:t>
        </w:r>
      </w:hyperlink>
      <w:r w:rsidR="00903E1F">
        <w:rPr>
          <w:rFonts w:asciiTheme="minorHAnsi" w:hAnsiTheme="minorHAnsi"/>
          <w:noProof/>
        </w:rPr>
        <w:t xml:space="preserve">, </w:t>
      </w:r>
      <w:hyperlink w:anchor="_ENREF_2" w:tooltip="Abbott, 2014 #917" w:history="1">
        <w:r w:rsidR="00765F46">
          <w:rPr>
            <w:rFonts w:asciiTheme="minorHAnsi" w:hAnsiTheme="minorHAnsi"/>
            <w:noProof/>
          </w:rPr>
          <w:t>2014b</w:t>
        </w:r>
      </w:hyperlink>
      <w:r w:rsidR="00903E1F">
        <w:rPr>
          <w:rFonts w:asciiTheme="minorHAnsi" w:hAnsiTheme="minorHAnsi"/>
          <w:noProof/>
        </w:rPr>
        <w:t xml:space="preserve">; </w:t>
      </w:r>
      <w:hyperlink w:anchor="_ENREF_13" w:tooltip="Bellringer, 2013 #156" w:history="1">
        <w:r w:rsidR="00765F46">
          <w:rPr>
            <w:rFonts w:asciiTheme="minorHAnsi" w:hAnsiTheme="minorHAnsi"/>
            <w:noProof/>
          </w:rPr>
          <w:t>Bellringer et al., 2013</w:t>
        </w:r>
      </w:hyperlink>
      <w:r w:rsidR="00903E1F">
        <w:rPr>
          <w:rFonts w:asciiTheme="minorHAnsi" w:hAnsiTheme="minorHAnsi"/>
          <w:noProof/>
        </w:rPr>
        <w:t xml:space="preserve">; </w:t>
      </w:r>
      <w:hyperlink w:anchor="_ENREF_22" w:tooltip="Dyall, 2003 #965" w:history="1">
        <w:r w:rsidR="00765F46">
          <w:rPr>
            <w:rFonts w:asciiTheme="minorHAnsi" w:hAnsiTheme="minorHAnsi"/>
            <w:noProof/>
          </w:rPr>
          <w:t>L. Dyall, 2003</w:t>
        </w:r>
      </w:hyperlink>
      <w:r w:rsidR="00903E1F">
        <w:rPr>
          <w:rFonts w:asciiTheme="minorHAnsi" w:hAnsiTheme="minorHAnsi"/>
          <w:noProof/>
        </w:rPr>
        <w:t xml:space="preserve">; </w:t>
      </w:r>
      <w:hyperlink w:anchor="_ENREF_23" w:tooltip="Dyall, 2009 #960" w:history="1">
        <w:r w:rsidR="00765F46">
          <w:rPr>
            <w:rFonts w:asciiTheme="minorHAnsi" w:hAnsiTheme="minorHAnsi"/>
            <w:noProof/>
          </w:rPr>
          <w:t>L.  Dyall, Thomas, &amp; Thomas, 2009</w:t>
        </w:r>
      </w:hyperlink>
      <w:r w:rsidR="00903E1F">
        <w:rPr>
          <w:rFonts w:asciiTheme="minorHAnsi" w:hAnsiTheme="minorHAnsi"/>
          <w:noProof/>
        </w:rPr>
        <w:t xml:space="preserve">; </w:t>
      </w:r>
      <w:hyperlink w:anchor="_ENREF_47" w:tooltip="Perese, 2009 #972" w:history="1">
        <w:r w:rsidR="00765F46">
          <w:rPr>
            <w:rFonts w:asciiTheme="minorHAnsi" w:hAnsiTheme="minorHAnsi"/>
            <w:noProof/>
          </w:rPr>
          <w:t>Perese, 2009</w:t>
        </w:r>
      </w:hyperlink>
      <w:r w:rsidR="00903E1F">
        <w:rPr>
          <w:rFonts w:asciiTheme="minorHAnsi" w:hAnsiTheme="minorHAnsi"/>
          <w:noProof/>
        </w:rPr>
        <w:t xml:space="preserve">; </w:t>
      </w:r>
      <w:hyperlink w:anchor="_ENREF_51" w:tooltip="Rossen, 2011 #120" w:history="1">
        <w:r w:rsidR="00765F46">
          <w:rPr>
            <w:rFonts w:asciiTheme="minorHAnsi" w:hAnsiTheme="minorHAnsi"/>
            <w:noProof/>
          </w:rPr>
          <w:t>Rossen, Butler, &amp; Denny, 2011</w:t>
        </w:r>
      </w:hyperlink>
      <w:r w:rsidR="00903E1F">
        <w:rPr>
          <w:rFonts w:asciiTheme="minorHAnsi" w:hAnsiTheme="minorHAnsi"/>
          <w:noProof/>
        </w:rPr>
        <w:t xml:space="preserve">; </w:t>
      </w:r>
      <w:hyperlink w:anchor="_ENREF_52" w:tooltip="Rossen, 2013 #920" w:history="1">
        <w:r w:rsidR="00765F46">
          <w:rPr>
            <w:rFonts w:asciiTheme="minorHAnsi" w:hAnsiTheme="minorHAnsi"/>
            <w:noProof/>
          </w:rPr>
          <w:t>Rossen et al., 2013</w:t>
        </w:r>
      </w:hyperlink>
      <w:r w:rsidR="00903E1F">
        <w:rPr>
          <w:rFonts w:asciiTheme="minorHAnsi" w:hAnsiTheme="minorHAnsi"/>
          <w:noProof/>
        </w:rPr>
        <w:t xml:space="preserve">; </w:t>
      </w:r>
      <w:hyperlink w:anchor="_ENREF_59" w:tooltip="Tse, 2012 #963" w:history="1">
        <w:r w:rsidR="00765F46">
          <w:rPr>
            <w:rFonts w:asciiTheme="minorHAnsi" w:hAnsiTheme="minorHAnsi"/>
            <w:noProof/>
          </w:rPr>
          <w:t>Tse et al., 2012</w:t>
        </w:r>
      </w:hyperlink>
      <w:r w:rsidR="00903E1F">
        <w:rPr>
          <w:rFonts w:asciiTheme="minorHAnsi" w:hAnsiTheme="minorHAnsi"/>
          <w:noProof/>
        </w:rPr>
        <w:t>)</w:t>
      </w:r>
      <w:r w:rsidR="0038144D" w:rsidRPr="00A95BA4">
        <w:rPr>
          <w:rFonts w:asciiTheme="minorHAnsi" w:hAnsiTheme="minorHAnsi"/>
        </w:rPr>
        <w:fldChar w:fldCharType="end"/>
      </w:r>
      <w:r w:rsidR="00A065DD" w:rsidRPr="00A95BA4">
        <w:rPr>
          <w:rFonts w:asciiTheme="minorHAnsi" w:hAnsiTheme="minorHAnsi"/>
        </w:rPr>
        <w:t xml:space="preserve">. </w:t>
      </w:r>
      <w:r w:rsidR="005E495C">
        <w:rPr>
          <w:rFonts w:asciiTheme="minorHAnsi" w:hAnsiTheme="minorHAnsi"/>
        </w:rPr>
        <w:t xml:space="preserve"> T</w:t>
      </w:r>
      <w:r w:rsidR="00994392">
        <w:rPr>
          <w:rFonts w:asciiTheme="minorHAnsi" w:hAnsiTheme="minorHAnsi"/>
        </w:rPr>
        <w:t>his corresponds with the</w:t>
      </w:r>
      <w:r w:rsidR="006625F5" w:rsidRPr="005E0DCB">
        <w:rPr>
          <w:rFonts w:asciiTheme="minorHAnsi" w:hAnsiTheme="minorHAnsi"/>
        </w:rPr>
        <w:t xml:space="preserve"> Ministry’s strategic plan</w:t>
      </w:r>
      <w:r w:rsidR="00994392">
        <w:rPr>
          <w:rFonts w:asciiTheme="minorHAnsi" w:hAnsiTheme="minorHAnsi"/>
        </w:rPr>
        <w:t>, which</w:t>
      </w:r>
      <w:r w:rsidR="006625F5" w:rsidRPr="005E0DCB">
        <w:rPr>
          <w:rFonts w:asciiTheme="minorHAnsi" w:hAnsiTheme="minorHAnsi"/>
        </w:rPr>
        <w:t xml:space="preserve"> emphasises</w:t>
      </w:r>
      <w:r w:rsidR="00E4705B">
        <w:rPr>
          <w:rFonts w:asciiTheme="minorHAnsi" w:hAnsiTheme="minorHAnsi"/>
        </w:rPr>
        <w:t xml:space="preserve"> a public health approach and</w:t>
      </w:r>
      <w:r w:rsidR="006625F5" w:rsidRPr="005E0DCB">
        <w:rPr>
          <w:rFonts w:asciiTheme="minorHAnsi" w:hAnsiTheme="minorHAnsi"/>
        </w:rPr>
        <w:t xml:space="preserve"> the importance of whānau </w:t>
      </w:r>
      <w:proofErr w:type="spellStart"/>
      <w:r w:rsidR="006625F5" w:rsidRPr="005E0DCB">
        <w:rPr>
          <w:rFonts w:asciiTheme="minorHAnsi" w:hAnsiTheme="minorHAnsi"/>
        </w:rPr>
        <w:t>ora</w:t>
      </w:r>
      <w:proofErr w:type="spellEnd"/>
      <w:r w:rsidR="006625F5" w:rsidRPr="005E0DCB">
        <w:rPr>
          <w:rFonts w:asciiTheme="minorHAnsi" w:hAnsiTheme="minorHAnsi"/>
        </w:rPr>
        <w:t xml:space="preserve"> in addressing health inequalities; “Whānau </w:t>
      </w:r>
      <w:proofErr w:type="spellStart"/>
      <w:r w:rsidR="006625F5" w:rsidRPr="005E0DCB">
        <w:rPr>
          <w:rFonts w:asciiTheme="minorHAnsi" w:hAnsiTheme="minorHAnsi"/>
        </w:rPr>
        <w:t>ora</w:t>
      </w:r>
      <w:proofErr w:type="spellEnd"/>
      <w:r w:rsidR="006625F5" w:rsidRPr="005E0DCB">
        <w:rPr>
          <w:rFonts w:asciiTheme="minorHAnsi" w:hAnsiTheme="minorHAnsi"/>
        </w:rPr>
        <w:t xml:space="preserve"> involves facilitating positive and adaptive relationships within whānau and recognising the interconnectedness of health, education, housing, justice, welfare and lifestyle as elements of whānau wellbeing” </w:t>
      </w:r>
      <w:r w:rsidR="006625F5" w:rsidRPr="005E0DCB">
        <w:rPr>
          <w:rFonts w:asciiTheme="minorHAnsi" w:hAnsiTheme="minorHAnsi"/>
        </w:rPr>
        <w:fldChar w:fldCharType="begin"/>
      </w:r>
      <w:r w:rsidR="00A34C5E">
        <w:rPr>
          <w:rFonts w:asciiTheme="minorHAnsi" w:hAnsiTheme="minorHAnsi"/>
        </w:rPr>
        <w:instrText xml:space="preserve"> ADDIN EN.CITE &lt;EndNote&gt;&lt;Cite&gt;&lt;Author&gt;Ministry of Health&lt;/Author&gt;&lt;Year&gt;2010&lt;/Year&gt;&lt;RecNum&gt;947&lt;/RecNum&gt;&lt;Suffix&gt;`, p.6&lt;/Suffix&gt;&lt;DisplayText&gt;(Ministry of Health, 2010a, p.6)&lt;/DisplayText&gt;&lt;record&gt;&lt;rec-number&gt;947&lt;/rec-number&gt;&lt;foreign-keys&gt;&lt;key app="EN" db-id="9pzse05rcvx956etremxfzdh9fzdxvd95rp2"&gt;947&lt;/key&gt;&lt;/foreign-keys&gt;&lt;ref-type name="Report"&gt;27&lt;/ref-type&gt;&lt;contributors&gt;&lt;authors&gt;&lt;author&gt;Ministry of Health,&lt;/author&gt;&lt;/authors&gt;&lt;/contributors&gt;&lt;titles&gt;&lt;title&gt;Preventing and Minimising Gambling Harm: Six-year strategic plan 2010/11-2015/16&lt;/title&gt;&lt;/titles&gt;&lt;dates&gt;&lt;year&gt;2010&lt;/year&gt;&lt;/dates&gt;&lt;pub-location&gt;Wellington&lt;/pub-location&gt;&lt;publisher&gt;Ministry of Health&lt;/publisher&gt;&lt;urls&gt;&lt;/urls&gt;&lt;/record&gt;&lt;/Cite&gt;&lt;/EndNote&gt;</w:instrText>
      </w:r>
      <w:r w:rsidR="006625F5" w:rsidRPr="005E0DCB">
        <w:rPr>
          <w:rFonts w:asciiTheme="minorHAnsi" w:hAnsiTheme="minorHAnsi"/>
        </w:rPr>
        <w:fldChar w:fldCharType="separate"/>
      </w:r>
      <w:r w:rsidR="002C65DA" w:rsidRPr="005E0DCB">
        <w:rPr>
          <w:rFonts w:asciiTheme="minorHAnsi" w:hAnsiTheme="minorHAnsi"/>
          <w:noProof/>
        </w:rPr>
        <w:t>(</w:t>
      </w:r>
      <w:hyperlink w:anchor="_ENREF_37" w:tooltip="Ministry of Health, 2010 #947" w:history="1">
        <w:r w:rsidR="00765F46" w:rsidRPr="005E0DCB">
          <w:rPr>
            <w:rFonts w:asciiTheme="minorHAnsi" w:hAnsiTheme="minorHAnsi"/>
            <w:noProof/>
          </w:rPr>
          <w:t>Ministry of Health, 2010a, p.6</w:t>
        </w:r>
      </w:hyperlink>
      <w:r w:rsidR="002C65DA" w:rsidRPr="005E0DCB">
        <w:rPr>
          <w:rFonts w:asciiTheme="minorHAnsi" w:hAnsiTheme="minorHAnsi"/>
          <w:noProof/>
        </w:rPr>
        <w:t>)</w:t>
      </w:r>
      <w:r w:rsidR="006625F5" w:rsidRPr="005E0DCB">
        <w:rPr>
          <w:rFonts w:asciiTheme="minorHAnsi" w:hAnsiTheme="minorHAnsi"/>
        </w:rPr>
        <w:fldChar w:fldCharType="end"/>
      </w:r>
      <w:r w:rsidR="006625F5" w:rsidRPr="005E0DCB">
        <w:rPr>
          <w:rFonts w:asciiTheme="minorHAnsi" w:hAnsiTheme="minorHAnsi"/>
        </w:rPr>
        <w:t>.</w:t>
      </w:r>
      <w:r w:rsidR="006625F5" w:rsidRPr="00A95BA4">
        <w:rPr>
          <w:rFonts w:asciiTheme="minorHAnsi" w:hAnsiTheme="minorHAnsi"/>
        </w:rPr>
        <w:t xml:space="preserve"> </w:t>
      </w:r>
      <w:r w:rsidR="0009194B">
        <w:rPr>
          <w:rFonts w:asciiTheme="minorHAnsi" w:hAnsiTheme="minorHAnsi"/>
        </w:rPr>
        <w:t xml:space="preserve"> </w:t>
      </w:r>
    </w:p>
    <w:p w14:paraId="2436A4B3" w14:textId="77777777" w:rsidR="00697C63" w:rsidRPr="000A1A24" w:rsidRDefault="00697C63" w:rsidP="00697C63">
      <w:pPr>
        <w:pStyle w:val="Heading1"/>
        <w:numPr>
          <w:ilvl w:val="0"/>
          <w:numId w:val="0"/>
        </w:numPr>
        <w:ind w:left="360" w:hanging="360"/>
        <w:rPr>
          <w:rFonts w:asciiTheme="minorHAnsi" w:hAnsiTheme="minorHAnsi" w:cstheme="minorHAnsi"/>
          <w:caps w:val="0"/>
        </w:rPr>
      </w:pPr>
      <w:bookmarkStart w:id="197" w:name="_Toc403833209"/>
      <w:r w:rsidRPr="000A1A24">
        <w:rPr>
          <w:rFonts w:asciiTheme="minorHAnsi" w:hAnsiTheme="minorHAnsi" w:cstheme="minorHAnsi"/>
          <w:caps w:val="0"/>
        </w:rPr>
        <w:lastRenderedPageBreak/>
        <w:t>REFERENCES</w:t>
      </w:r>
      <w:bookmarkEnd w:id="197"/>
    </w:p>
    <w:p w14:paraId="51FBB7CE" w14:textId="77777777" w:rsidR="00765F46" w:rsidRPr="005C0518" w:rsidRDefault="00E40C73" w:rsidP="00765F46">
      <w:pPr>
        <w:spacing w:line="240" w:lineRule="auto"/>
        <w:ind w:left="720" w:hanging="720"/>
        <w:rPr>
          <w:rFonts w:asciiTheme="minorHAnsi" w:hAnsiTheme="minorHAnsi" w:cs="Arial"/>
          <w:noProof/>
          <w:szCs w:val="22"/>
        </w:rPr>
      </w:pPr>
      <w:r w:rsidRPr="00FA52FA">
        <w:rPr>
          <w:rFonts w:asciiTheme="minorHAnsi" w:hAnsiTheme="minorHAnsi" w:cstheme="minorHAnsi"/>
          <w:szCs w:val="22"/>
        </w:rPr>
        <w:fldChar w:fldCharType="begin"/>
      </w:r>
      <w:r w:rsidRPr="00FA52FA">
        <w:rPr>
          <w:rFonts w:asciiTheme="minorHAnsi" w:hAnsiTheme="minorHAnsi" w:cstheme="minorHAnsi"/>
          <w:szCs w:val="22"/>
        </w:rPr>
        <w:instrText xml:space="preserve"> ADDIN EN.REFLIST </w:instrText>
      </w:r>
      <w:r w:rsidRPr="00FA52FA">
        <w:rPr>
          <w:rFonts w:asciiTheme="minorHAnsi" w:hAnsiTheme="minorHAnsi" w:cstheme="minorHAnsi"/>
          <w:szCs w:val="22"/>
        </w:rPr>
        <w:fldChar w:fldCharType="separate"/>
      </w:r>
      <w:bookmarkStart w:id="198" w:name="_ENREF_1"/>
      <w:r w:rsidR="00765F46" w:rsidRPr="005C0518">
        <w:rPr>
          <w:rFonts w:asciiTheme="minorHAnsi" w:hAnsiTheme="minorHAnsi" w:cs="Arial"/>
          <w:noProof/>
          <w:szCs w:val="22"/>
        </w:rPr>
        <w:t xml:space="preserve">Abbott, M., Bellringer, M., Garrett, N., &amp; Mundy-McPherson, S. (2014a). </w:t>
      </w:r>
      <w:r w:rsidR="00765F46" w:rsidRPr="005C0518">
        <w:rPr>
          <w:rFonts w:asciiTheme="minorHAnsi" w:hAnsiTheme="minorHAnsi" w:cs="Arial"/>
          <w:i/>
          <w:noProof/>
          <w:szCs w:val="22"/>
        </w:rPr>
        <w:t>New Zealand 2012 National Gambling Study: Gambling Harm and Problem Gambling. Report Number Two</w:t>
      </w:r>
      <w:r w:rsidR="00765F46" w:rsidRPr="005C0518">
        <w:rPr>
          <w:rFonts w:asciiTheme="minorHAnsi" w:hAnsiTheme="minorHAnsi" w:cs="Arial"/>
          <w:noProof/>
          <w:szCs w:val="22"/>
        </w:rPr>
        <w:t>. Auckland: Gambling and Addictions Research Centre, Auckland University of Technology.</w:t>
      </w:r>
      <w:bookmarkEnd w:id="198"/>
    </w:p>
    <w:p w14:paraId="3868BF1D" w14:textId="77777777" w:rsidR="00765F46" w:rsidRPr="005C0518" w:rsidRDefault="00765F46" w:rsidP="00765F46">
      <w:pPr>
        <w:spacing w:line="240" w:lineRule="auto"/>
        <w:ind w:left="720" w:hanging="720"/>
        <w:rPr>
          <w:rFonts w:asciiTheme="minorHAnsi" w:hAnsiTheme="minorHAnsi" w:cs="Arial"/>
          <w:noProof/>
          <w:szCs w:val="22"/>
        </w:rPr>
      </w:pPr>
      <w:bookmarkStart w:id="199" w:name="_ENREF_2"/>
      <w:r w:rsidRPr="005C0518">
        <w:rPr>
          <w:rFonts w:asciiTheme="minorHAnsi" w:hAnsiTheme="minorHAnsi" w:cs="Arial"/>
          <w:noProof/>
          <w:szCs w:val="22"/>
        </w:rPr>
        <w:t xml:space="preserve">Abbott, M., Bellringer, M., Garrett, N., &amp; Mundy-McPherson, S. (2014b). </w:t>
      </w:r>
      <w:r w:rsidRPr="005C0518">
        <w:rPr>
          <w:rFonts w:asciiTheme="minorHAnsi" w:hAnsiTheme="minorHAnsi" w:cs="Arial"/>
          <w:i/>
          <w:noProof/>
          <w:szCs w:val="22"/>
        </w:rPr>
        <w:t>New Zealand 2012 National Gambling Study: Overview and Gambling Participation. Report Number One</w:t>
      </w:r>
      <w:r w:rsidRPr="005C0518">
        <w:rPr>
          <w:rFonts w:asciiTheme="minorHAnsi" w:hAnsiTheme="minorHAnsi" w:cs="Arial"/>
          <w:noProof/>
          <w:szCs w:val="22"/>
        </w:rPr>
        <w:t>. Auckland: Gambling and Addictions Research Centre, Auckland University of Technology.</w:t>
      </w:r>
      <w:bookmarkEnd w:id="199"/>
    </w:p>
    <w:p w14:paraId="1B0D97D2" w14:textId="77777777" w:rsidR="00765F46" w:rsidRPr="005C0518" w:rsidRDefault="00765F46" w:rsidP="00765F46">
      <w:pPr>
        <w:spacing w:line="240" w:lineRule="auto"/>
        <w:ind w:left="720" w:hanging="720"/>
        <w:rPr>
          <w:rFonts w:asciiTheme="minorHAnsi" w:hAnsiTheme="minorHAnsi" w:cs="Arial"/>
          <w:noProof/>
          <w:szCs w:val="22"/>
        </w:rPr>
      </w:pPr>
      <w:bookmarkStart w:id="200" w:name="_ENREF_3"/>
      <w:r w:rsidRPr="005C0518">
        <w:rPr>
          <w:rFonts w:asciiTheme="minorHAnsi" w:hAnsiTheme="minorHAnsi" w:cs="Arial"/>
          <w:noProof/>
          <w:szCs w:val="22"/>
        </w:rPr>
        <w:t xml:space="preserve">Abbott, M., &amp; McKenna, B. (2000). </w:t>
      </w:r>
      <w:r w:rsidRPr="005C0518">
        <w:rPr>
          <w:rFonts w:asciiTheme="minorHAnsi" w:hAnsiTheme="minorHAnsi" w:cs="Arial"/>
          <w:i/>
          <w:noProof/>
          <w:szCs w:val="22"/>
        </w:rPr>
        <w:t>Gambling and problem gambling among recently sentenced women prisoners in New Zealand</w:t>
      </w:r>
      <w:r w:rsidRPr="005C0518">
        <w:rPr>
          <w:rFonts w:asciiTheme="minorHAnsi" w:hAnsiTheme="minorHAnsi" w:cs="Arial"/>
          <w:noProof/>
          <w:szCs w:val="22"/>
        </w:rPr>
        <w:t>. Wellington: Department of Internal Affairs.</w:t>
      </w:r>
      <w:bookmarkEnd w:id="200"/>
    </w:p>
    <w:p w14:paraId="3B60F15D" w14:textId="77777777" w:rsidR="00765F46" w:rsidRPr="005C0518" w:rsidRDefault="00765F46" w:rsidP="00765F46">
      <w:pPr>
        <w:spacing w:line="240" w:lineRule="auto"/>
        <w:ind w:left="720" w:hanging="720"/>
        <w:rPr>
          <w:rFonts w:asciiTheme="minorHAnsi" w:hAnsiTheme="minorHAnsi" w:cs="Arial"/>
          <w:noProof/>
          <w:szCs w:val="22"/>
        </w:rPr>
      </w:pPr>
      <w:bookmarkStart w:id="201" w:name="_ENREF_4"/>
      <w:r w:rsidRPr="005C0518">
        <w:rPr>
          <w:rFonts w:asciiTheme="minorHAnsi" w:hAnsiTheme="minorHAnsi" w:cs="Arial"/>
          <w:noProof/>
          <w:szCs w:val="22"/>
        </w:rPr>
        <w:t xml:space="preserve">Abbott, M., McKenna, B., &amp; Giles, L. C. (2000). </w:t>
      </w:r>
      <w:r w:rsidRPr="005C0518">
        <w:rPr>
          <w:rFonts w:asciiTheme="minorHAnsi" w:hAnsiTheme="minorHAnsi" w:cs="Arial"/>
          <w:i/>
          <w:noProof/>
          <w:szCs w:val="22"/>
        </w:rPr>
        <w:t>Gambling and probelm gambling among recently sentenced males in four New Zealand prisons</w:t>
      </w:r>
      <w:r w:rsidRPr="005C0518">
        <w:rPr>
          <w:rFonts w:asciiTheme="minorHAnsi" w:hAnsiTheme="minorHAnsi" w:cs="Arial"/>
          <w:noProof/>
          <w:szCs w:val="22"/>
        </w:rPr>
        <w:t>. Wellington: Department of Internal Affairs.</w:t>
      </w:r>
      <w:bookmarkEnd w:id="201"/>
    </w:p>
    <w:p w14:paraId="6EA5FF73" w14:textId="77777777" w:rsidR="00765F46" w:rsidRPr="005C0518" w:rsidRDefault="00765F46" w:rsidP="00765F46">
      <w:pPr>
        <w:spacing w:line="240" w:lineRule="auto"/>
        <w:ind w:left="720" w:hanging="720"/>
        <w:rPr>
          <w:rFonts w:asciiTheme="minorHAnsi" w:hAnsiTheme="minorHAnsi" w:cs="Arial"/>
          <w:noProof/>
          <w:szCs w:val="22"/>
        </w:rPr>
      </w:pPr>
      <w:bookmarkStart w:id="202" w:name="_ENREF_5"/>
      <w:r w:rsidRPr="005C0518">
        <w:rPr>
          <w:rFonts w:asciiTheme="minorHAnsi" w:hAnsiTheme="minorHAnsi" w:cs="Arial"/>
          <w:noProof/>
          <w:szCs w:val="22"/>
        </w:rPr>
        <w:t xml:space="preserve">Abbott, M., &amp; Volberg, R. A. (1991). </w:t>
      </w:r>
      <w:r w:rsidRPr="005C0518">
        <w:rPr>
          <w:rFonts w:asciiTheme="minorHAnsi" w:hAnsiTheme="minorHAnsi" w:cs="Arial"/>
          <w:i/>
          <w:noProof/>
          <w:szCs w:val="22"/>
        </w:rPr>
        <w:t>Gambling and problem gambling in New Zealand. Research Series No.12</w:t>
      </w:r>
      <w:r w:rsidRPr="005C0518">
        <w:rPr>
          <w:rFonts w:asciiTheme="minorHAnsi" w:hAnsiTheme="minorHAnsi" w:cs="Arial"/>
          <w:noProof/>
          <w:szCs w:val="22"/>
        </w:rPr>
        <w:t>. Wellington: Department of Internal Affairs.</w:t>
      </w:r>
      <w:bookmarkEnd w:id="202"/>
    </w:p>
    <w:p w14:paraId="165394CA" w14:textId="77777777" w:rsidR="00765F46" w:rsidRPr="005C0518" w:rsidRDefault="00765F46" w:rsidP="00765F46">
      <w:pPr>
        <w:spacing w:line="240" w:lineRule="auto"/>
        <w:ind w:left="720" w:hanging="720"/>
        <w:rPr>
          <w:rFonts w:asciiTheme="minorHAnsi" w:hAnsiTheme="minorHAnsi" w:cs="Arial"/>
          <w:noProof/>
          <w:szCs w:val="22"/>
        </w:rPr>
      </w:pPr>
      <w:bookmarkStart w:id="203" w:name="_ENREF_6"/>
      <w:r w:rsidRPr="005C0518">
        <w:rPr>
          <w:rFonts w:asciiTheme="minorHAnsi" w:hAnsiTheme="minorHAnsi" w:cs="Arial"/>
          <w:noProof/>
          <w:szCs w:val="22"/>
        </w:rPr>
        <w:t xml:space="preserve">Abbott, M., &amp; Volberg, R. A. (1996). The New Zealand National Survey of problem and pathological gambling. </w:t>
      </w:r>
      <w:r w:rsidRPr="005C0518">
        <w:rPr>
          <w:rFonts w:asciiTheme="minorHAnsi" w:hAnsiTheme="minorHAnsi" w:cs="Arial"/>
          <w:i/>
          <w:noProof/>
          <w:szCs w:val="22"/>
        </w:rPr>
        <w:t>Journal of Gambling Studies, 12</w:t>
      </w:r>
      <w:r w:rsidRPr="005C0518">
        <w:rPr>
          <w:rFonts w:asciiTheme="minorHAnsi" w:hAnsiTheme="minorHAnsi" w:cs="Arial"/>
          <w:noProof/>
          <w:szCs w:val="22"/>
        </w:rPr>
        <w:t xml:space="preserve">(2), 143-160. </w:t>
      </w:r>
      <w:bookmarkEnd w:id="203"/>
    </w:p>
    <w:p w14:paraId="327DD9F4" w14:textId="77777777" w:rsidR="00765F46" w:rsidRPr="005C0518" w:rsidRDefault="00765F46" w:rsidP="00765F46">
      <w:pPr>
        <w:spacing w:line="240" w:lineRule="auto"/>
        <w:ind w:left="720" w:hanging="720"/>
        <w:rPr>
          <w:rFonts w:asciiTheme="minorHAnsi" w:hAnsiTheme="minorHAnsi" w:cs="Arial"/>
          <w:noProof/>
          <w:szCs w:val="22"/>
        </w:rPr>
      </w:pPr>
      <w:bookmarkStart w:id="204" w:name="_ENREF_7"/>
      <w:r w:rsidRPr="005C0518">
        <w:rPr>
          <w:rFonts w:asciiTheme="minorHAnsi" w:hAnsiTheme="minorHAnsi" w:cs="Arial"/>
          <w:noProof/>
          <w:szCs w:val="22"/>
        </w:rPr>
        <w:t xml:space="preserve">Abbott, M., &amp; Volberg, R. A. (2000a). </w:t>
      </w:r>
      <w:r w:rsidRPr="005C0518">
        <w:rPr>
          <w:rFonts w:asciiTheme="minorHAnsi" w:hAnsiTheme="minorHAnsi" w:cs="Arial"/>
          <w:i/>
          <w:noProof/>
          <w:szCs w:val="22"/>
        </w:rPr>
        <w:t>Taking the pulse on gambling and problem gambling in New Zealand: A report on phase one of the 1999 national prevalence survey (Report number three of the New Zealand Gaming Survey)</w:t>
      </w:r>
      <w:r w:rsidRPr="005C0518">
        <w:rPr>
          <w:rFonts w:asciiTheme="minorHAnsi" w:hAnsiTheme="minorHAnsi" w:cs="Arial"/>
          <w:noProof/>
          <w:szCs w:val="22"/>
        </w:rPr>
        <w:t>. Wellington: The Department of Internal Affairs.</w:t>
      </w:r>
      <w:bookmarkEnd w:id="204"/>
    </w:p>
    <w:p w14:paraId="4F08F008" w14:textId="77777777" w:rsidR="00765F46" w:rsidRPr="005C0518" w:rsidRDefault="00765F46" w:rsidP="00765F46">
      <w:pPr>
        <w:spacing w:line="240" w:lineRule="auto"/>
        <w:ind w:left="720" w:hanging="720"/>
        <w:rPr>
          <w:rFonts w:asciiTheme="minorHAnsi" w:hAnsiTheme="minorHAnsi" w:cs="Arial"/>
          <w:noProof/>
          <w:szCs w:val="22"/>
        </w:rPr>
      </w:pPr>
      <w:bookmarkStart w:id="205" w:name="_ENREF_8"/>
      <w:r w:rsidRPr="005C0518">
        <w:rPr>
          <w:rFonts w:asciiTheme="minorHAnsi" w:hAnsiTheme="minorHAnsi" w:cs="Arial"/>
          <w:noProof/>
          <w:szCs w:val="22"/>
        </w:rPr>
        <w:t xml:space="preserve">Abbott, M., &amp; Volberg, R. A. (2000b). </w:t>
      </w:r>
      <w:r w:rsidRPr="005C0518">
        <w:rPr>
          <w:rFonts w:asciiTheme="minorHAnsi" w:hAnsiTheme="minorHAnsi" w:cs="Arial"/>
          <w:i/>
          <w:noProof/>
          <w:szCs w:val="22"/>
        </w:rPr>
        <w:t>Taking the pulse on gambling and problem gambling in New Zealand: Phase One of the 1999 National Prevalence Survey. Report number three of the New Zealand Gaming Survey</w:t>
      </w:r>
      <w:r w:rsidRPr="005C0518">
        <w:rPr>
          <w:rFonts w:asciiTheme="minorHAnsi" w:hAnsiTheme="minorHAnsi" w:cs="Arial"/>
          <w:noProof/>
          <w:szCs w:val="22"/>
        </w:rPr>
        <w:t>. Wellington: Department of Internal Affairs.</w:t>
      </w:r>
      <w:bookmarkEnd w:id="205"/>
    </w:p>
    <w:p w14:paraId="13782BC2" w14:textId="77777777" w:rsidR="00765F46" w:rsidRPr="005C0518" w:rsidRDefault="00765F46" w:rsidP="00765F46">
      <w:pPr>
        <w:spacing w:line="240" w:lineRule="auto"/>
        <w:ind w:left="720" w:hanging="720"/>
        <w:rPr>
          <w:rFonts w:asciiTheme="minorHAnsi" w:hAnsiTheme="minorHAnsi" w:cs="Arial"/>
          <w:noProof/>
          <w:szCs w:val="22"/>
        </w:rPr>
      </w:pPr>
      <w:bookmarkStart w:id="206" w:name="_ENREF_9"/>
      <w:r w:rsidRPr="005C0518">
        <w:rPr>
          <w:rFonts w:asciiTheme="minorHAnsi" w:hAnsiTheme="minorHAnsi" w:cs="Arial"/>
          <w:noProof/>
          <w:szCs w:val="22"/>
        </w:rPr>
        <w:t xml:space="preserve">Adams, P., Rossen, F., Perese, L., Townsend, S., Brown, R., &amp; Garland, J. (2004). </w:t>
      </w:r>
      <w:r w:rsidRPr="005C0518">
        <w:rPr>
          <w:rFonts w:asciiTheme="minorHAnsi" w:hAnsiTheme="minorHAnsi" w:cs="Arial"/>
          <w:i/>
          <w:noProof/>
          <w:szCs w:val="22"/>
        </w:rPr>
        <w:t>Gambling Impact Assessment for Seven Auckland Territorial Authorities. Part One: Introduction and Overview.</w:t>
      </w:r>
      <w:r w:rsidRPr="005C0518">
        <w:rPr>
          <w:rFonts w:asciiTheme="minorHAnsi" w:hAnsiTheme="minorHAnsi" w:cs="Arial"/>
          <w:noProof/>
          <w:szCs w:val="22"/>
        </w:rPr>
        <w:t xml:space="preserve"> Auckland: Centre for Gambling Studies, University of Auckland.</w:t>
      </w:r>
      <w:bookmarkEnd w:id="206"/>
    </w:p>
    <w:p w14:paraId="3AE0F907" w14:textId="65DBF50B" w:rsidR="00765F46" w:rsidRPr="005C0518" w:rsidRDefault="00765F46" w:rsidP="00765F46">
      <w:pPr>
        <w:spacing w:line="240" w:lineRule="auto"/>
        <w:ind w:left="720" w:hanging="720"/>
        <w:rPr>
          <w:rFonts w:asciiTheme="minorHAnsi" w:hAnsiTheme="minorHAnsi" w:cs="Arial"/>
          <w:noProof/>
          <w:szCs w:val="22"/>
        </w:rPr>
      </w:pPr>
      <w:bookmarkStart w:id="207" w:name="_ENREF_10"/>
      <w:r w:rsidRPr="005C0518">
        <w:rPr>
          <w:rFonts w:asciiTheme="minorHAnsi" w:hAnsiTheme="minorHAnsi" w:cs="Arial"/>
          <w:noProof/>
          <w:szCs w:val="22"/>
        </w:rPr>
        <w:t xml:space="preserve">Ahmad, O. B., Boschi-Pinto, C., Lopez, A. D., Murray, C. J. L., Lozano, R., &amp; Inoue, M. (2001). </w:t>
      </w:r>
      <w:r w:rsidRPr="005C0518">
        <w:rPr>
          <w:rFonts w:asciiTheme="minorHAnsi" w:hAnsiTheme="minorHAnsi" w:cs="Arial"/>
          <w:i/>
          <w:noProof/>
          <w:szCs w:val="22"/>
        </w:rPr>
        <w:t xml:space="preserve">Age Standardization of Rates: A New WHO Standard (Technical report). GPE Discussion Paper Series: No.31.  </w:t>
      </w:r>
      <w:r w:rsidRPr="005C0518">
        <w:rPr>
          <w:rFonts w:asciiTheme="minorHAnsi" w:hAnsiTheme="minorHAnsi" w:cs="Arial"/>
          <w:noProof/>
          <w:szCs w:val="22"/>
        </w:rPr>
        <w:t xml:space="preserve">. World Health Organization (WHO). Retrieved from </w:t>
      </w:r>
      <w:hyperlink r:id="rId55" w:history="1">
        <w:r w:rsidRPr="005C0518">
          <w:rPr>
            <w:rStyle w:val="Hyperlink"/>
            <w:rFonts w:asciiTheme="minorHAnsi" w:hAnsiTheme="minorHAnsi" w:cs="Arial"/>
            <w:noProof/>
            <w:szCs w:val="22"/>
          </w:rPr>
          <w:t>http://www.who.int/healthinfo/paper31.pdf</w:t>
        </w:r>
      </w:hyperlink>
      <w:r w:rsidRPr="005C0518">
        <w:rPr>
          <w:rFonts w:asciiTheme="minorHAnsi" w:hAnsiTheme="minorHAnsi" w:cs="Arial"/>
          <w:noProof/>
          <w:szCs w:val="22"/>
        </w:rPr>
        <w:t>.</w:t>
      </w:r>
      <w:bookmarkEnd w:id="207"/>
    </w:p>
    <w:p w14:paraId="32584895" w14:textId="77777777" w:rsidR="00765F46" w:rsidRPr="005C0518" w:rsidRDefault="00765F46" w:rsidP="00765F46">
      <w:pPr>
        <w:spacing w:line="240" w:lineRule="auto"/>
        <w:ind w:left="720" w:hanging="720"/>
        <w:rPr>
          <w:rFonts w:asciiTheme="minorHAnsi" w:hAnsiTheme="minorHAnsi" w:cs="Arial"/>
          <w:noProof/>
          <w:szCs w:val="22"/>
        </w:rPr>
      </w:pPr>
      <w:bookmarkStart w:id="208" w:name="_ENREF_11"/>
      <w:r w:rsidRPr="005C0518">
        <w:rPr>
          <w:rFonts w:asciiTheme="minorHAnsi" w:hAnsiTheme="minorHAnsi" w:cs="Arial"/>
          <w:noProof/>
          <w:szCs w:val="22"/>
        </w:rPr>
        <w:t xml:space="preserve">Andrews, G., &amp; Slade, T. (2001). Interpreting scores on the Kessler Psychological Distress Scale (k10). </w:t>
      </w:r>
      <w:r w:rsidRPr="005C0518">
        <w:rPr>
          <w:rFonts w:asciiTheme="minorHAnsi" w:hAnsiTheme="minorHAnsi" w:cs="Arial"/>
          <w:i/>
          <w:noProof/>
          <w:szCs w:val="22"/>
        </w:rPr>
        <w:t>Australian and New Zealand Journal of Public Health, 25</w:t>
      </w:r>
      <w:r w:rsidRPr="005C0518">
        <w:rPr>
          <w:rFonts w:asciiTheme="minorHAnsi" w:hAnsiTheme="minorHAnsi" w:cs="Arial"/>
          <w:noProof/>
          <w:szCs w:val="22"/>
        </w:rPr>
        <w:t xml:space="preserve">, 494-497. </w:t>
      </w:r>
      <w:bookmarkEnd w:id="208"/>
    </w:p>
    <w:p w14:paraId="69F1F85F" w14:textId="77777777" w:rsidR="00765F46" w:rsidRPr="005C0518" w:rsidRDefault="00765F46" w:rsidP="00765F46">
      <w:pPr>
        <w:spacing w:line="240" w:lineRule="auto"/>
        <w:ind w:left="720" w:hanging="720"/>
        <w:rPr>
          <w:rFonts w:asciiTheme="minorHAnsi" w:hAnsiTheme="minorHAnsi" w:cs="Arial"/>
          <w:noProof/>
          <w:szCs w:val="22"/>
        </w:rPr>
      </w:pPr>
      <w:bookmarkStart w:id="209" w:name="_ENREF_12"/>
      <w:r w:rsidRPr="005C0518">
        <w:rPr>
          <w:rFonts w:asciiTheme="minorHAnsi" w:hAnsiTheme="minorHAnsi" w:cs="Arial"/>
          <w:noProof/>
          <w:szCs w:val="22"/>
        </w:rPr>
        <w:t xml:space="preserve">Babor, T. F., Higgins-Biddle, J. C., Saunders, J. B., &amp; Monteiro, M. G. (2001). </w:t>
      </w:r>
      <w:r w:rsidRPr="005C0518">
        <w:rPr>
          <w:rFonts w:asciiTheme="minorHAnsi" w:hAnsiTheme="minorHAnsi" w:cs="Arial"/>
          <w:i/>
          <w:noProof/>
          <w:szCs w:val="22"/>
        </w:rPr>
        <w:t>The Alcohol Use Disorders Identification Test: Guidelines for Use in Primary Care</w:t>
      </w:r>
      <w:r w:rsidRPr="005C0518">
        <w:rPr>
          <w:rFonts w:asciiTheme="minorHAnsi" w:hAnsiTheme="minorHAnsi" w:cs="Arial"/>
          <w:noProof/>
          <w:szCs w:val="22"/>
        </w:rPr>
        <w:t>. Geneva: Department of Mental Health and Substance Dependence, World Health Organisation.</w:t>
      </w:r>
      <w:bookmarkEnd w:id="209"/>
    </w:p>
    <w:p w14:paraId="272B316A" w14:textId="77777777" w:rsidR="00765F46" w:rsidRPr="005C0518" w:rsidRDefault="00765F46" w:rsidP="00765F46">
      <w:pPr>
        <w:spacing w:line="240" w:lineRule="auto"/>
        <w:ind w:left="720" w:hanging="720"/>
        <w:rPr>
          <w:rFonts w:asciiTheme="minorHAnsi" w:hAnsiTheme="minorHAnsi" w:cs="Arial"/>
          <w:noProof/>
          <w:szCs w:val="22"/>
        </w:rPr>
      </w:pPr>
      <w:bookmarkStart w:id="210" w:name="_ENREF_13"/>
      <w:r w:rsidRPr="005C0518">
        <w:rPr>
          <w:rFonts w:asciiTheme="minorHAnsi" w:hAnsiTheme="minorHAnsi" w:cs="Arial"/>
          <w:noProof/>
          <w:szCs w:val="22"/>
        </w:rPr>
        <w:t xml:space="preserve">Bellringer, M., Fa'amatuainu, B., Taylor, S., Coombes, R., Poon, Z., &amp; Abbott, M. (2013). </w:t>
      </w:r>
      <w:r w:rsidRPr="005C0518">
        <w:rPr>
          <w:rFonts w:asciiTheme="minorHAnsi" w:hAnsiTheme="minorHAnsi" w:cs="Arial"/>
          <w:i/>
          <w:noProof/>
          <w:szCs w:val="22"/>
        </w:rPr>
        <w:t>Exploration of the Impact of Gambling and Problem Gambling on Pacific Families and Communities in New Zealand</w:t>
      </w:r>
      <w:r w:rsidRPr="005C0518">
        <w:rPr>
          <w:rFonts w:asciiTheme="minorHAnsi" w:hAnsiTheme="minorHAnsi" w:cs="Arial"/>
          <w:noProof/>
          <w:szCs w:val="22"/>
        </w:rPr>
        <w:t>. Auckland: AUT University.</w:t>
      </w:r>
      <w:bookmarkEnd w:id="210"/>
    </w:p>
    <w:p w14:paraId="6AD994E4" w14:textId="64A48843" w:rsidR="00765F46" w:rsidRPr="005C0518" w:rsidRDefault="00765F46" w:rsidP="00765F46">
      <w:pPr>
        <w:spacing w:line="240" w:lineRule="auto"/>
        <w:ind w:left="720" w:hanging="720"/>
        <w:rPr>
          <w:rFonts w:asciiTheme="minorHAnsi" w:hAnsiTheme="minorHAnsi" w:cs="Arial"/>
          <w:noProof/>
          <w:szCs w:val="22"/>
        </w:rPr>
      </w:pPr>
      <w:bookmarkStart w:id="211" w:name="_ENREF_14"/>
      <w:r w:rsidRPr="005C0518">
        <w:rPr>
          <w:rFonts w:asciiTheme="minorHAnsi" w:hAnsiTheme="minorHAnsi" w:cs="Arial"/>
          <w:noProof/>
          <w:szCs w:val="22"/>
        </w:rPr>
        <w:t xml:space="preserve">Choi, B. C. K., &amp; Pak, A. W. P. (2005). A Catalog of Biases in Questionnaires. </w:t>
      </w:r>
      <w:r w:rsidRPr="005C0518">
        <w:rPr>
          <w:rFonts w:asciiTheme="minorHAnsi" w:hAnsiTheme="minorHAnsi" w:cs="Arial"/>
          <w:i/>
          <w:noProof/>
          <w:szCs w:val="22"/>
        </w:rPr>
        <w:t>Preventing Chronic Disease, 2</w:t>
      </w:r>
      <w:r w:rsidRPr="005C0518">
        <w:rPr>
          <w:rFonts w:asciiTheme="minorHAnsi" w:hAnsiTheme="minorHAnsi" w:cs="Arial"/>
          <w:noProof/>
          <w:szCs w:val="22"/>
        </w:rPr>
        <w:t xml:space="preserve">(1), </w:t>
      </w:r>
      <w:hyperlink r:id="rId56" w:history="1">
        <w:r w:rsidRPr="005C0518">
          <w:rPr>
            <w:rStyle w:val="Hyperlink"/>
            <w:rFonts w:asciiTheme="minorHAnsi" w:hAnsiTheme="minorHAnsi" w:cs="Arial"/>
            <w:noProof/>
            <w:szCs w:val="22"/>
          </w:rPr>
          <w:t>http://www.cdc.gov/pcd/issues/2005/jan/2004_0050.htm</w:t>
        </w:r>
      </w:hyperlink>
      <w:r w:rsidRPr="005C0518">
        <w:rPr>
          <w:rFonts w:asciiTheme="minorHAnsi" w:hAnsiTheme="minorHAnsi" w:cs="Arial"/>
          <w:noProof/>
          <w:szCs w:val="22"/>
        </w:rPr>
        <w:t xml:space="preserve">. </w:t>
      </w:r>
      <w:bookmarkEnd w:id="211"/>
    </w:p>
    <w:p w14:paraId="16D6EDDA" w14:textId="77777777" w:rsidR="00765F46" w:rsidRPr="005C0518" w:rsidRDefault="00765F46" w:rsidP="00765F46">
      <w:pPr>
        <w:spacing w:line="240" w:lineRule="auto"/>
        <w:ind w:left="720" w:hanging="720"/>
        <w:rPr>
          <w:rFonts w:asciiTheme="minorHAnsi" w:hAnsiTheme="minorHAnsi" w:cs="Arial"/>
          <w:noProof/>
          <w:szCs w:val="22"/>
        </w:rPr>
      </w:pPr>
      <w:bookmarkStart w:id="212" w:name="_ENREF_15"/>
      <w:r w:rsidRPr="005C0518">
        <w:rPr>
          <w:rFonts w:asciiTheme="minorHAnsi" w:hAnsiTheme="minorHAnsi" w:cs="Arial"/>
          <w:noProof/>
          <w:szCs w:val="22"/>
        </w:rPr>
        <w:t xml:space="preserve">Department of Internal Affairs. (2007). </w:t>
      </w:r>
      <w:r w:rsidRPr="005C0518">
        <w:rPr>
          <w:rFonts w:asciiTheme="minorHAnsi" w:hAnsiTheme="minorHAnsi" w:cs="Arial"/>
          <w:i/>
          <w:noProof/>
          <w:szCs w:val="22"/>
        </w:rPr>
        <w:t>People's participation in, and attitudes to, gambling, 1985-2005: Results of the 2005 survey</w:t>
      </w:r>
      <w:r w:rsidRPr="005C0518">
        <w:rPr>
          <w:rFonts w:asciiTheme="minorHAnsi" w:hAnsiTheme="minorHAnsi" w:cs="Arial"/>
          <w:noProof/>
          <w:szCs w:val="22"/>
        </w:rPr>
        <w:t>. Wellington: Department of Internal Affairs.</w:t>
      </w:r>
      <w:bookmarkEnd w:id="212"/>
    </w:p>
    <w:p w14:paraId="753D882D" w14:textId="47ECB975" w:rsidR="00765F46" w:rsidRPr="005C0518" w:rsidRDefault="00765F46" w:rsidP="00765F46">
      <w:pPr>
        <w:spacing w:line="240" w:lineRule="auto"/>
        <w:ind w:left="720" w:hanging="720"/>
        <w:rPr>
          <w:rFonts w:asciiTheme="minorHAnsi" w:hAnsiTheme="minorHAnsi" w:cs="Arial"/>
          <w:noProof/>
          <w:szCs w:val="22"/>
        </w:rPr>
      </w:pPr>
      <w:bookmarkStart w:id="213" w:name="_ENREF_16"/>
      <w:r w:rsidRPr="005C0518">
        <w:rPr>
          <w:rFonts w:asciiTheme="minorHAnsi" w:hAnsiTheme="minorHAnsi" w:cs="Arial"/>
          <w:noProof/>
          <w:szCs w:val="22"/>
        </w:rPr>
        <w:lastRenderedPageBreak/>
        <w:t xml:space="preserve">Department of Internal Affairs. (2013). Gambling regulation in New Zealand: Fact Sheet #1. Retrieved 9 October, 2014, from </w:t>
      </w:r>
      <w:hyperlink r:id="rId57" w:history="1">
        <w:r w:rsidRPr="005C0518">
          <w:rPr>
            <w:rStyle w:val="Hyperlink"/>
            <w:rFonts w:asciiTheme="minorHAnsi" w:hAnsiTheme="minorHAnsi" w:cs="Arial"/>
            <w:noProof/>
            <w:szCs w:val="22"/>
          </w:rPr>
          <w:t>http://www.dia.govt.nz/diawebsite.nsf/Files/GamblingFactSheets-Feb2013/$file/FactSheet1-Feb2013.pdf</w:t>
        </w:r>
        <w:bookmarkEnd w:id="213"/>
      </w:hyperlink>
    </w:p>
    <w:p w14:paraId="2C6E6BC8" w14:textId="7FADD89B" w:rsidR="00765F46" w:rsidRPr="005C0518" w:rsidRDefault="00765F46" w:rsidP="00765F46">
      <w:pPr>
        <w:spacing w:line="240" w:lineRule="auto"/>
        <w:ind w:left="720" w:hanging="720"/>
        <w:rPr>
          <w:rFonts w:asciiTheme="minorHAnsi" w:hAnsiTheme="minorHAnsi" w:cs="Arial"/>
          <w:noProof/>
          <w:szCs w:val="22"/>
        </w:rPr>
      </w:pPr>
      <w:bookmarkStart w:id="214" w:name="_ENREF_17"/>
      <w:r w:rsidRPr="005C0518">
        <w:rPr>
          <w:rFonts w:asciiTheme="minorHAnsi" w:hAnsiTheme="minorHAnsi" w:cs="Arial"/>
          <w:noProof/>
          <w:szCs w:val="22"/>
        </w:rPr>
        <w:t xml:space="preserve">Department of Internal Affairs. (2014a). Gambling Expenditure Statistics. Retrieved 9 October, 2014, from </w:t>
      </w:r>
      <w:hyperlink r:id="rId58" w:history="1">
        <w:r w:rsidRPr="005C0518">
          <w:rPr>
            <w:rStyle w:val="Hyperlink"/>
            <w:rFonts w:asciiTheme="minorHAnsi" w:hAnsiTheme="minorHAnsi" w:cs="Arial"/>
            <w:noProof/>
            <w:szCs w:val="22"/>
          </w:rPr>
          <w:t>http://www.dia.govt.nz/diawebsite.nsf/wpg_URL/Resource-material-Information-We-Provide-Gambling-Expenditure-Statistics</w:t>
        </w:r>
        <w:bookmarkEnd w:id="214"/>
      </w:hyperlink>
    </w:p>
    <w:p w14:paraId="0964DD8C" w14:textId="4772C7FE" w:rsidR="00765F46" w:rsidRPr="005C0518" w:rsidRDefault="00765F46" w:rsidP="00765F46">
      <w:pPr>
        <w:spacing w:line="240" w:lineRule="auto"/>
        <w:ind w:left="720" w:hanging="720"/>
        <w:rPr>
          <w:rFonts w:asciiTheme="minorHAnsi" w:hAnsiTheme="minorHAnsi" w:cs="Arial"/>
          <w:noProof/>
          <w:szCs w:val="22"/>
        </w:rPr>
      </w:pPr>
      <w:bookmarkStart w:id="215" w:name="_ENREF_18"/>
      <w:r w:rsidRPr="005C0518">
        <w:rPr>
          <w:rFonts w:asciiTheme="minorHAnsi" w:hAnsiTheme="minorHAnsi" w:cs="Arial"/>
          <w:noProof/>
          <w:szCs w:val="22"/>
        </w:rPr>
        <w:t xml:space="preserve">Department of Internal Affairs. (2014b). Gaming machines numbers: June 1994 to September 2014 at 3-monthly intervals. Retrieved 9 October, 2014, from </w:t>
      </w:r>
      <w:hyperlink r:id="rId59" w:history="1">
        <w:r w:rsidRPr="005C0518">
          <w:rPr>
            <w:rStyle w:val="Hyperlink"/>
            <w:rFonts w:asciiTheme="minorHAnsi" w:hAnsiTheme="minorHAnsi" w:cs="Arial"/>
            <w:noProof/>
            <w:szCs w:val="22"/>
          </w:rPr>
          <w:t>http://www.dia.govt.nz/Pubforms.nsf/URL/LineGraph_30%20September%202014.pdf/$file/LineGraph_30%20September%202014.pdf</w:t>
        </w:r>
        <w:bookmarkEnd w:id="215"/>
      </w:hyperlink>
    </w:p>
    <w:p w14:paraId="559C3547" w14:textId="44315F71" w:rsidR="00765F46" w:rsidRPr="005C0518" w:rsidRDefault="00765F46" w:rsidP="00765F46">
      <w:pPr>
        <w:spacing w:line="240" w:lineRule="auto"/>
        <w:ind w:left="720" w:hanging="720"/>
        <w:rPr>
          <w:rFonts w:asciiTheme="minorHAnsi" w:hAnsiTheme="minorHAnsi" w:cs="Arial"/>
          <w:noProof/>
          <w:szCs w:val="22"/>
        </w:rPr>
      </w:pPr>
      <w:bookmarkStart w:id="216" w:name="_ENREF_19"/>
      <w:r w:rsidRPr="005C0518">
        <w:rPr>
          <w:rFonts w:asciiTheme="minorHAnsi" w:hAnsiTheme="minorHAnsi" w:cs="Arial"/>
          <w:noProof/>
          <w:szCs w:val="22"/>
        </w:rPr>
        <w:t xml:space="preserve">Department of Internal Affairs. (2014c). </w:t>
      </w:r>
      <w:r w:rsidRPr="005C0518">
        <w:rPr>
          <w:rFonts w:asciiTheme="minorHAnsi" w:hAnsiTheme="minorHAnsi" w:cs="Arial"/>
          <w:i/>
          <w:noProof/>
          <w:szCs w:val="22"/>
        </w:rPr>
        <w:t>Problem gambling in New Zealand – a brief summary</w:t>
      </w:r>
      <w:r w:rsidRPr="005C0518">
        <w:rPr>
          <w:rFonts w:asciiTheme="minorHAnsi" w:hAnsiTheme="minorHAnsi" w:cs="Arial"/>
          <w:noProof/>
          <w:szCs w:val="22"/>
        </w:rPr>
        <w:t>. Wellington, New Zealand: Department of Internal Affairs.Retrieved from https://</w:t>
      </w:r>
      <w:hyperlink r:id="rId60" w:history="1">
        <w:r w:rsidRPr="005C0518">
          <w:rPr>
            <w:rStyle w:val="Hyperlink"/>
            <w:rFonts w:asciiTheme="minorHAnsi" w:hAnsiTheme="minorHAnsi" w:cs="Arial"/>
            <w:noProof/>
            <w:szCs w:val="22"/>
          </w:rPr>
          <w:t>www.dia.govt.nz/pubforms.nsf/URL/ProblemGamblingFactsFinal.pdf/$file/ProblemGamblingFactsFinal.pdf</w:t>
        </w:r>
        <w:bookmarkEnd w:id="216"/>
      </w:hyperlink>
    </w:p>
    <w:p w14:paraId="27D275D5" w14:textId="77777777" w:rsidR="00765F46" w:rsidRPr="005C0518" w:rsidRDefault="00765F46" w:rsidP="00765F46">
      <w:pPr>
        <w:spacing w:line="240" w:lineRule="auto"/>
        <w:ind w:left="720" w:hanging="720"/>
        <w:rPr>
          <w:rFonts w:asciiTheme="minorHAnsi" w:hAnsiTheme="minorHAnsi" w:cs="Arial"/>
          <w:noProof/>
          <w:szCs w:val="22"/>
        </w:rPr>
      </w:pPr>
      <w:bookmarkStart w:id="217" w:name="_ENREF_20"/>
      <w:r w:rsidRPr="005C0518">
        <w:rPr>
          <w:rFonts w:asciiTheme="minorHAnsi" w:hAnsiTheme="minorHAnsi" w:cs="Arial"/>
          <w:noProof/>
          <w:szCs w:val="22"/>
        </w:rPr>
        <w:t xml:space="preserve">Devlin, M., &amp; Walton, D. (2012). The prevalence of problem gambling in New Zealand as measured by the PGSI: Adjusting prevalence estimates using meta-analysis. </w:t>
      </w:r>
      <w:r w:rsidRPr="005C0518">
        <w:rPr>
          <w:rFonts w:asciiTheme="minorHAnsi" w:hAnsiTheme="minorHAnsi" w:cs="Arial"/>
          <w:i/>
          <w:noProof/>
          <w:szCs w:val="22"/>
        </w:rPr>
        <w:t>International Gambling Studies, 12</w:t>
      </w:r>
      <w:r w:rsidRPr="005C0518">
        <w:rPr>
          <w:rFonts w:asciiTheme="minorHAnsi" w:hAnsiTheme="minorHAnsi" w:cs="Arial"/>
          <w:noProof/>
          <w:szCs w:val="22"/>
        </w:rPr>
        <w:t xml:space="preserve">(2), 177-197. </w:t>
      </w:r>
      <w:bookmarkEnd w:id="217"/>
    </w:p>
    <w:p w14:paraId="746EDA9F" w14:textId="77777777" w:rsidR="00765F46" w:rsidRPr="005C0518" w:rsidRDefault="00765F46" w:rsidP="00765F46">
      <w:pPr>
        <w:spacing w:line="240" w:lineRule="auto"/>
        <w:ind w:left="720" w:hanging="720"/>
        <w:rPr>
          <w:rFonts w:asciiTheme="minorHAnsi" w:hAnsiTheme="minorHAnsi" w:cs="Arial"/>
          <w:noProof/>
          <w:szCs w:val="22"/>
        </w:rPr>
      </w:pPr>
      <w:bookmarkStart w:id="218" w:name="_ENREF_21"/>
      <w:r w:rsidRPr="005C0518">
        <w:rPr>
          <w:rFonts w:asciiTheme="minorHAnsi" w:hAnsiTheme="minorHAnsi" w:cs="Arial"/>
          <w:noProof/>
          <w:szCs w:val="22"/>
        </w:rPr>
        <w:t xml:space="preserve">Dixon, R., Tse, S., Rossen, F., &amp; Sobrun-Maharaj, A. (2010). </w:t>
      </w:r>
      <w:r w:rsidRPr="005C0518">
        <w:rPr>
          <w:rFonts w:asciiTheme="minorHAnsi" w:hAnsiTheme="minorHAnsi" w:cs="Arial"/>
          <w:i/>
          <w:noProof/>
          <w:szCs w:val="22"/>
        </w:rPr>
        <w:t>Family resilience: the settlement experience for Asian immigrant families in New Zealand</w:t>
      </w:r>
      <w:r w:rsidRPr="005C0518">
        <w:rPr>
          <w:rFonts w:asciiTheme="minorHAnsi" w:hAnsiTheme="minorHAnsi" w:cs="Arial"/>
          <w:noProof/>
          <w:szCs w:val="22"/>
        </w:rPr>
        <w:t>. Wellington: The Families Commission.</w:t>
      </w:r>
      <w:bookmarkEnd w:id="218"/>
    </w:p>
    <w:p w14:paraId="553ED94E" w14:textId="77777777" w:rsidR="00765F46" w:rsidRPr="005C0518" w:rsidRDefault="00765F46" w:rsidP="00765F46">
      <w:pPr>
        <w:spacing w:line="240" w:lineRule="auto"/>
        <w:ind w:left="720" w:hanging="720"/>
        <w:rPr>
          <w:rFonts w:asciiTheme="minorHAnsi" w:hAnsiTheme="minorHAnsi" w:cs="Arial"/>
          <w:noProof/>
          <w:szCs w:val="22"/>
        </w:rPr>
      </w:pPr>
      <w:bookmarkStart w:id="219" w:name="_ENREF_22"/>
      <w:r w:rsidRPr="005C0518">
        <w:rPr>
          <w:rFonts w:asciiTheme="minorHAnsi" w:hAnsiTheme="minorHAnsi" w:cs="Arial"/>
          <w:noProof/>
          <w:szCs w:val="22"/>
        </w:rPr>
        <w:t xml:space="preserve">Dyall, L. (2003). </w:t>
      </w:r>
      <w:r w:rsidRPr="005C0518">
        <w:rPr>
          <w:rFonts w:asciiTheme="minorHAnsi" w:hAnsiTheme="minorHAnsi" w:cs="Arial"/>
          <w:i/>
          <w:noProof/>
          <w:szCs w:val="22"/>
        </w:rPr>
        <w:t>Kanohi ki te Kanohi: A Maori Face to Gambling</w:t>
      </w:r>
      <w:r w:rsidRPr="005C0518">
        <w:rPr>
          <w:rFonts w:asciiTheme="minorHAnsi" w:hAnsiTheme="minorHAnsi" w:cs="Arial"/>
          <w:noProof/>
          <w:szCs w:val="22"/>
        </w:rPr>
        <w:t xml:space="preserve"> (Doctor of Philosophy - PhD). University of Auckland, Auckland.   </w:t>
      </w:r>
      <w:bookmarkEnd w:id="219"/>
    </w:p>
    <w:p w14:paraId="61443240" w14:textId="77777777" w:rsidR="00765F46" w:rsidRPr="005C0518" w:rsidRDefault="00765F46" w:rsidP="00765F46">
      <w:pPr>
        <w:spacing w:line="240" w:lineRule="auto"/>
        <w:ind w:left="720" w:hanging="720"/>
        <w:rPr>
          <w:rFonts w:asciiTheme="minorHAnsi" w:hAnsiTheme="minorHAnsi" w:cs="Arial"/>
          <w:noProof/>
          <w:szCs w:val="22"/>
        </w:rPr>
      </w:pPr>
      <w:bookmarkStart w:id="220" w:name="_ENREF_23"/>
      <w:r w:rsidRPr="005C0518">
        <w:rPr>
          <w:rFonts w:asciiTheme="minorHAnsi" w:hAnsiTheme="minorHAnsi" w:cs="Arial"/>
          <w:noProof/>
          <w:szCs w:val="22"/>
        </w:rPr>
        <w:t xml:space="preserve">Dyall, L., Thomas, Y. L., &amp; Thomas, D. (2009). </w:t>
      </w:r>
      <w:r w:rsidRPr="005C0518">
        <w:rPr>
          <w:rFonts w:asciiTheme="minorHAnsi" w:hAnsiTheme="minorHAnsi" w:cs="Arial"/>
          <w:i/>
          <w:noProof/>
          <w:szCs w:val="22"/>
        </w:rPr>
        <w:t>The Impact of Gambling on Maori</w:t>
      </w:r>
      <w:r w:rsidRPr="005C0518">
        <w:rPr>
          <w:rFonts w:asciiTheme="minorHAnsi" w:hAnsiTheme="minorHAnsi" w:cs="Arial"/>
          <w:noProof/>
          <w:szCs w:val="22"/>
        </w:rPr>
        <w:t>. Nga Pae o te Maramatanga.</w:t>
      </w:r>
      <w:bookmarkEnd w:id="220"/>
    </w:p>
    <w:p w14:paraId="4E60FCC8" w14:textId="77777777" w:rsidR="00765F46" w:rsidRPr="005C0518" w:rsidRDefault="00765F46" w:rsidP="00765F46">
      <w:pPr>
        <w:spacing w:line="240" w:lineRule="auto"/>
        <w:ind w:left="720" w:hanging="720"/>
        <w:rPr>
          <w:rFonts w:asciiTheme="minorHAnsi" w:hAnsiTheme="minorHAnsi" w:cs="Arial"/>
          <w:noProof/>
          <w:szCs w:val="22"/>
        </w:rPr>
      </w:pPr>
      <w:bookmarkStart w:id="221" w:name="_ENREF_24"/>
      <w:r w:rsidRPr="005C0518">
        <w:rPr>
          <w:rFonts w:asciiTheme="minorHAnsi" w:hAnsiTheme="minorHAnsi" w:cs="Arial"/>
          <w:noProof/>
          <w:szCs w:val="22"/>
        </w:rPr>
        <w:t xml:space="preserve">Fergusson, D. M., Horwood, L. J., Boden, J. M., &amp; Mulder, R. T. (2014). Impact of a major disaster on the mental health of a well-studied cohort. </w:t>
      </w:r>
      <w:r w:rsidRPr="005C0518">
        <w:rPr>
          <w:rFonts w:asciiTheme="minorHAnsi" w:hAnsiTheme="minorHAnsi" w:cs="Arial"/>
          <w:i/>
          <w:noProof/>
          <w:szCs w:val="22"/>
        </w:rPr>
        <w:t>JAMA Psychiatry</w:t>
      </w:r>
      <w:r w:rsidRPr="005C0518">
        <w:rPr>
          <w:rFonts w:asciiTheme="minorHAnsi" w:hAnsiTheme="minorHAnsi" w:cs="Arial"/>
          <w:noProof/>
          <w:szCs w:val="22"/>
        </w:rPr>
        <w:t xml:space="preserve">. </w:t>
      </w:r>
      <w:bookmarkEnd w:id="221"/>
    </w:p>
    <w:p w14:paraId="2C71E0F2" w14:textId="77777777" w:rsidR="00765F46" w:rsidRPr="005C0518" w:rsidRDefault="00765F46" w:rsidP="00765F46">
      <w:pPr>
        <w:spacing w:line="240" w:lineRule="auto"/>
        <w:ind w:left="720" w:hanging="720"/>
        <w:rPr>
          <w:rFonts w:asciiTheme="minorHAnsi" w:hAnsiTheme="minorHAnsi" w:cs="Arial"/>
          <w:noProof/>
          <w:szCs w:val="22"/>
        </w:rPr>
      </w:pPr>
      <w:bookmarkStart w:id="222" w:name="_ENREF_25"/>
      <w:r w:rsidRPr="005C0518">
        <w:rPr>
          <w:rFonts w:asciiTheme="minorHAnsi" w:hAnsiTheme="minorHAnsi" w:cs="Arial"/>
          <w:noProof/>
          <w:szCs w:val="22"/>
        </w:rPr>
        <w:t xml:space="preserve">Ferris, J., &amp; Wynne, H. (2001). </w:t>
      </w:r>
      <w:r w:rsidRPr="005C0518">
        <w:rPr>
          <w:rFonts w:asciiTheme="minorHAnsi" w:hAnsiTheme="minorHAnsi" w:cs="Arial"/>
          <w:i/>
          <w:noProof/>
          <w:szCs w:val="22"/>
        </w:rPr>
        <w:t>The Canadian Problem Gambling Index: Final Report</w:t>
      </w:r>
      <w:r w:rsidRPr="005C0518">
        <w:rPr>
          <w:rFonts w:asciiTheme="minorHAnsi" w:hAnsiTheme="minorHAnsi" w:cs="Arial"/>
          <w:noProof/>
          <w:szCs w:val="22"/>
        </w:rPr>
        <w:t>. Ottawa: Canadian Centre on Substance Abuse.</w:t>
      </w:r>
      <w:bookmarkEnd w:id="222"/>
    </w:p>
    <w:p w14:paraId="2F0F97F5" w14:textId="77777777" w:rsidR="00765F46" w:rsidRPr="005C0518" w:rsidRDefault="00765F46" w:rsidP="00765F46">
      <w:pPr>
        <w:spacing w:line="240" w:lineRule="auto"/>
        <w:ind w:left="720" w:hanging="720"/>
        <w:rPr>
          <w:rFonts w:asciiTheme="minorHAnsi" w:hAnsiTheme="minorHAnsi" w:cs="Arial"/>
          <w:noProof/>
          <w:szCs w:val="22"/>
        </w:rPr>
      </w:pPr>
      <w:bookmarkStart w:id="223" w:name="_ENREF_26"/>
      <w:r w:rsidRPr="005C0518">
        <w:rPr>
          <w:rFonts w:asciiTheme="minorHAnsi" w:hAnsiTheme="minorHAnsi" w:cs="Arial"/>
          <w:noProof/>
          <w:szCs w:val="22"/>
        </w:rPr>
        <w:t xml:space="preserve">Fleming, T., Clark, T. C., Denny, S., Robinson, E., Rossen, F., Bullen, P., . . . The Adolescent Health Research Group. (2013). </w:t>
      </w:r>
      <w:r w:rsidRPr="005C0518">
        <w:rPr>
          <w:rFonts w:asciiTheme="minorHAnsi" w:hAnsiTheme="minorHAnsi" w:cs="Arial"/>
          <w:i/>
          <w:noProof/>
          <w:szCs w:val="22"/>
        </w:rPr>
        <w:t>The health and wellbeing of secondary school students in Christchurch: Findings from the Youth’12 national youth health and wellbeing survey</w:t>
      </w:r>
      <w:r w:rsidRPr="005C0518">
        <w:rPr>
          <w:rFonts w:asciiTheme="minorHAnsi" w:hAnsiTheme="minorHAnsi" w:cs="Arial"/>
          <w:noProof/>
          <w:szCs w:val="22"/>
        </w:rPr>
        <w:t>. Auckland, New Zealand: The University of Auckland.</w:t>
      </w:r>
      <w:bookmarkEnd w:id="223"/>
    </w:p>
    <w:p w14:paraId="1B2FCC3C" w14:textId="77777777" w:rsidR="00765F46" w:rsidRPr="005C0518" w:rsidRDefault="00765F46" w:rsidP="00765F46">
      <w:pPr>
        <w:spacing w:line="240" w:lineRule="auto"/>
        <w:ind w:left="720" w:hanging="720"/>
        <w:rPr>
          <w:rFonts w:asciiTheme="minorHAnsi" w:hAnsiTheme="minorHAnsi" w:cs="Arial"/>
          <w:noProof/>
          <w:szCs w:val="22"/>
        </w:rPr>
      </w:pPr>
      <w:bookmarkStart w:id="224" w:name="_ENREF_27"/>
      <w:r w:rsidRPr="005C0518">
        <w:rPr>
          <w:rFonts w:asciiTheme="minorHAnsi" w:hAnsiTheme="minorHAnsi" w:cs="Arial"/>
          <w:noProof/>
          <w:szCs w:val="22"/>
        </w:rPr>
        <w:t xml:space="preserve">Frieling, M. A., Davis, W. R., &amp; Chiang, G. (2013). The SF-36v2 and SF-12v2 health surveys in New Zealand: norms, scoring coefficients and cross-country comparisons. </w:t>
      </w:r>
      <w:r w:rsidRPr="005C0518">
        <w:rPr>
          <w:rFonts w:asciiTheme="minorHAnsi" w:hAnsiTheme="minorHAnsi" w:cs="Arial"/>
          <w:i/>
          <w:noProof/>
          <w:szCs w:val="22"/>
        </w:rPr>
        <w:t>Australian and New Zealand Journal of Publlic Health, 37</w:t>
      </w:r>
      <w:r w:rsidRPr="005C0518">
        <w:rPr>
          <w:rFonts w:asciiTheme="minorHAnsi" w:hAnsiTheme="minorHAnsi" w:cs="Arial"/>
          <w:noProof/>
          <w:szCs w:val="22"/>
        </w:rPr>
        <w:t xml:space="preserve">(1), 24-31. </w:t>
      </w:r>
      <w:bookmarkEnd w:id="224"/>
    </w:p>
    <w:p w14:paraId="53646B69" w14:textId="77777777" w:rsidR="00765F46" w:rsidRPr="005C0518" w:rsidRDefault="00765F46" w:rsidP="00765F46">
      <w:pPr>
        <w:spacing w:line="240" w:lineRule="auto"/>
        <w:ind w:left="720" w:hanging="720"/>
        <w:rPr>
          <w:rFonts w:asciiTheme="minorHAnsi" w:hAnsiTheme="minorHAnsi" w:cs="Arial"/>
          <w:noProof/>
          <w:szCs w:val="22"/>
        </w:rPr>
      </w:pPr>
      <w:bookmarkStart w:id="225" w:name="_ENREF_28"/>
      <w:r w:rsidRPr="005C0518">
        <w:rPr>
          <w:rFonts w:asciiTheme="minorHAnsi" w:hAnsiTheme="minorHAnsi" w:cs="Arial"/>
          <w:noProof/>
          <w:szCs w:val="22"/>
        </w:rPr>
        <w:t xml:space="preserve">Gandek, B., Ware, J. E., Aaronson, N. K., Apolone, G., Bjorner, J. B., Brazier, J. E., . . . Sullivan, M. (1998). Cross-validation of item selection and scoring for the SF-12 Health Survey in nine countries: results from the IQOLA Project. International Quality of Life Assessment. </w:t>
      </w:r>
      <w:r w:rsidRPr="005C0518">
        <w:rPr>
          <w:rFonts w:asciiTheme="minorHAnsi" w:hAnsiTheme="minorHAnsi" w:cs="Arial"/>
          <w:i/>
          <w:noProof/>
          <w:szCs w:val="22"/>
        </w:rPr>
        <w:t>Journal of Clinical Epidemiology, 51</w:t>
      </w:r>
      <w:r w:rsidRPr="005C0518">
        <w:rPr>
          <w:rFonts w:asciiTheme="minorHAnsi" w:hAnsiTheme="minorHAnsi" w:cs="Arial"/>
          <w:noProof/>
          <w:szCs w:val="22"/>
        </w:rPr>
        <w:t xml:space="preserve">(11), 1171-1178. </w:t>
      </w:r>
      <w:bookmarkEnd w:id="225"/>
    </w:p>
    <w:p w14:paraId="3D0C147F" w14:textId="77777777" w:rsidR="00765F46" w:rsidRPr="005C0518" w:rsidRDefault="00765F46" w:rsidP="00765F46">
      <w:pPr>
        <w:spacing w:line="240" w:lineRule="auto"/>
        <w:ind w:left="720" w:hanging="720"/>
        <w:rPr>
          <w:rFonts w:asciiTheme="minorHAnsi" w:hAnsiTheme="minorHAnsi" w:cs="Arial"/>
          <w:noProof/>
          <w:szCs w:val="22"/>
        </w:rPr>
      </w:pPr>
      <w:bookmarkStart w:id="226" w:name="_ENREF_29"/>
      <w:r w:rsidRPr="005C0518">
        <w:rPr>
          <w:rFonts w:asciiTheme="minorHAnsi" w:hAnsiTheme="minorHAnsi" w:cs="Arial"/>
          <w:noProof/>
          <w:szCs w:val="22"/>
        </w:rPr>
        <w:t xml:space="preserve">Goodyear-Smith, F., Arroll, B., Kerse, N., Coupe, N., Sullivan, S., Tse, S., . . . Perese, L. (2006). Primary care patients reporting concerns about their gambling frequently have other co-occurring lifestyle and mental health issues. . </w:t>
      </w:r>
      <w:r w:rsidRPr="005C0518">
        <w:rPr>
          <w:rFonts w:asciiTheme="minorHAnsi" w:hAnsiTheme="minorHAnsi" w:cs="Arial"/>
          <w:i/>
          <w:noProof/>
          <w:szCs w:val="22"/>
        </w:rPr>
        <w:t>BMC Family Medicine, 7</w:t>
      </w:r>
      <w:r w:rsidRPr="005C0518">
        <w:rPr>
          <w:rFonts w:asciiTheme="minorHAnsi" w:hAnsiTheme="minorHAnsi" w:cs="Arial"/>
          <w:noProof/>
          <w:szCs w:val="22"/>
        </w:rPr>
        <w:t xml:space="preserve">(25), U16606465. </w:t>
      </w:r>
      <w:bookmarkEnd w:id="226"/>
    </w:p>
    <w:p w14:paraId="20A1C3F2" w14:textId="26C5C417" w:rsidR="00765F46" w:rsidRPr="005C0518" w:rsidRDefault="00765F46" w:rsidP="00765F46">
      <w:pPr>
        <w:spacing w:line="240" w:lineRule="auto"/>
        <w:ind w:left="720" w:hanging="720"/>
        <w:rPr>
          <w:rFonts w:asciiTheme="minorHAnsi" w:hAnsiTheme="minorHAnsi" w:cs="Arial"/>
          <w:noProof/>
          <w:szCs w:val="22"/>
        </w:rPr>
      </w:pPr>
      <w:bookmarkStart w:id="227" w:name="_ENREF_30"/>
      <w:r w:rsidRPr="005C0518">
        <w:rPr>
          <w:rFonts w:asciiTheme="minorHAnsi" w:hAnsiTheme="minorHAnsi" w:cs="Arial"/>
          <w:noProof/>
          <w:szCs w:val="22"/>
        </w:rPr>
        <w:t xml:space="preserve">Health Sponsorship Council. (2012). </w:t>
      </w:r>
      <w:r w:rsidRPr="005C0518">
        <w:rPr>
          <w:rFonts w:asciiTheme="minorHAnsi" w:hAnsiTheme="minorHAnsi" w:cs="Arial"/>
          <w:i/>
          <w:noProof/>
          <w:szCs w:val="22"/>
        </w:rPr>
        <w:t>New Zealanders' Knowledge, Views and Experience of Gambling and Gambling Harm: Results from the 2010 Health and Lifestyles Survey.</w:t>
      </w:r>
      <w:r w:rsidRPr="005C0518">
        <w:rPr>
          <w:rFonts w:asciiTheme="minorHAnsi" w:hAnsiTheme="minorHAnsi" w:cs="Arial"/>
          <w:noProof/>
          <w:szCs w:val="22"/>
        </w:rPr>
        <w:t xml:space="preserve"> Wellington, New Zealand: Health Sponsorship Council.Retrieved from Retrieved from </w:t>
      </w:r>
      <w:hyperlink r:id="rId61" w:history="1">
        <w:r w:rsidRPr="005C0518">
          <w:rPr>
            <w:rStyle w:val="Hyperlink"/>
            <w:rFonts w:asciiTheme="minorHAnsi" w:hAnsiTheme="minorHAnsi" w:cs="Arial"/>
            <w:noProof/>
            <w:szCs w:val="22"/>
          </w:rPr>
          <w:t>http://www.hsc.org.nz/researchpublications.html</w:t>
        </w:r>
        <w:bookmarkEnd w:id="227"/>
      </w:hyperlink>
    </w:p>
    <w:p w14:paraId="1F40A54E" w14:textId="77777777" w:rsidR="00765F46" w:rsidRPr="005C0518" w:rsidRDefault="00765F46" w:rsidP="00765F46">
      <w:pPr>
        <w:spacing w:line="240" w:lineRule="auto"/>
        <w:ind w:left="720" w:hanging="720"/>
        <w:rPr>
          <w:rFonts w:asciiTheme="minorHAnsi" w:hAnsiTheme="minorHAnsi" w:cs="Arial"/>
          <w:noProof/>
          <w:szCs w:val="22"/>
        </w:rPr>
      </w:pPr>
      <w:bookmarkStart w:id="228" w:name="_ENREF_31"/>
      <w:r w:rsidRPr="005C0518">
        <w:rPr>
          <w:rFonts w:asciiTheme="minorHAnsi" w:hAnsiTheme="minorHAnsi" w:cs="Arial"/>
          <w:noProof/>
          <w:szCs w:val="22"/>
        </w:rPr>
        <w:lastRenderedPageBreak/>
        <w:t xml:space="preserve">Korn, D., &amp; Shaffer, H., J. (1999). Gambling and the health of the public: Adopting a public health perspective. </w:t>
      </w:r>
      <w:r w:rsidRPr="005C0518">
        <w:rPr>
          <w:rFonts w:asciiTheme="minorHAnsi" w:hAnsiTheme="minorHAnsi" w:cs="Arial"/>
          <w:i/>
          <w:noProof/>
          <w:szCs w:val="22"/>
        </w:rPr>
        <w:t>Journal of Gambling Studies, 15</w:t>
      </w:r>
      <w:r w:rsidRPr="005C0518">
        <w:rPr>
          <w:rFonts w:asciiTheme="minorHAnsi" w:hAnsiTheme="minorHAnsi" w:cs="Arial"/>
          <w:noProof/>
          <w:szCs w:val="22"/>
        </w:rPr>
        <w:t xml:space="preserve">(4), 289-365. </w:t>
      </w:r>
      <w:bookmarkEnd w:id="228"/>
    </w:p>
    <w:p w14:paraId="102B4590" w14:textId="77777777" w:rsidR="00765F46" w:rsidRPr="005C0518" w:rsidRDefault="00765F46" w:rsidP="00765F46">
      <w:pPr>
        <w:spacing w:line="240" w:lineRule="auto"/>
        <w:ind w:left="720" w:hanging="720"/>
        <w:rPr>
          <w:rFonts w:asciiTheme="minorHAnsi" w:hAnsiTheme="minorHAnsi" w:cs="Arial"/>
          <w:noProof/>
          <w:szCs w:val="22"/>
        </w:rPr>
      </w:pPr>
      <w:bookmarkStart w:id="229" w:name="_ENREF_32"/>
      <w:r w:rsidRPr="005C0518">
        <w:rPr>
          <w:rFonts w:asciiTheme="minorHAnsi" w:hAnsiTheme="minorHAnsi" w:cs="Arial"/>
          <w:noProof/>
          <w:szCs w:val="22"/>
        </w:rPr>
        <w:t xml:space="preserve">Marquis, K. H., Marquis, S., &amp; Polich, J. M. (1986). Response Bias and Reliability in Sensitive Topic Surveys. </w:t>
      </w:r>
      <w:r w:rsidRPr="005C0518">
        <w:rPr>
          <w:rFonts w:asciiTheme="minorHAnsi" w:hAnsiTheme="minorHAnsi" w:cs="Arial"/>
          <w:i/>
          <w:noProof/>
          <w:szCs w:val="22"/>
        </w:rPr>
        <w:t>Journal of the American Statistical Association, 81</w:t>
      </w:r>
      <w:r w:rsidRPr="005C0518">
        <w:rPr>
          <w:rFonts w:asciiTheme="minorHAnsi" w:hAnsiTheme="minorHAnsi" w:cs="Arial"/>
          <w:noProof/>
          <w:szCs w:val="22"/>
        </w:rPr>
        <w:t xml:space="preserve">(394), 381-389. </w:t>
      </w:r>
      <w:bookmarkEnd w:id="229"/>
    </w:p>
    <w:p w14:paraId="0DCEC73A" w14:textId="77777777" w:rsidR="00765F46" w:rsidRPr="005C0518" w:rsidRDefault="00765F46" w:rsidP="00765F46">
      <w:pPr>
        <w:spacing w:line="240" w:lineRule="auto"/>
        <w:ind w:left="720" w:hanging="720"/>
        <w:rPr>
          <w:rFonts w:asciiTheme="minorHAnsi" w:hAnsiTheme="minorHAnsi" w:cs="Arial"/>
          <w:noProof/>
          <w:szCs w:val="22"/>
        </w:rPr>
      </w:pPr>
      <w:bookmarkStart w:id="230" w:name="_ENREF_33"/>
      <w:r w:rsidRPr="005C0518">
        <w:rPr>
          <w:rFonts w:asciiTheme="minorHAnsi" w:hAnsiTheme="minorHAnsi" w:cs="Arial"/>
          <w:noProof/>
          <w:szCs w:val="22"/>
        </w:rPr>
        <w:t xml:space="preserve">McKenna, B., Brown, R., Rossen, F., &amp; Gooder, C. (2013). </w:t>
      </w:r>
      <w:r w:rsidRPr="005C0518">
        <w:rPr>
          <w:rFonts w:asciiTheme="minorHAnsi" w:hAnsiTheme="minorHAnsi" w:cs="Arial"/>
          <w:i/>
          <w:noProof/>
          <w:szCs w:val="22"/>
        </w:rPr>
        <w:t>Delivery of Problem Gambling Services to Prisoners</w:t>
      </w:r>
      <w:r w:rsidRPr="005C0518">
        <w:rPr>
          <w:rFonts w:asciiTheme="minorHAnsi" w:hAnsiTheme="minorHAnsi" w:cs="Arial"/>
          <w:noProof/>
          <w:szCs w:val="22"/>
        </w:rPr>
        <w:t>. Auckland: Centre for Gambling Studies and The Centre for Mental Health Research. Auckland UniServices Ltd, The University of Auckland.</w:t>
      </w:r>
      <w:bookmarkEnd w:id="230"/>
    </w:p>
    <w:p w14:paraId="1B209BB6" w14:textId="77777777" w:rsidR="00765F46" w:rsidRPr="005C0518" w:rsidRDefault="00765F46" w:rsidP="00765F46">
      <w:pPr>
        <w:spacing w:line="240" w:lineRule="auto"/>
        <w:ind w:left="720" w:hanging="720"/>
        <w:rPr>
          <w:rFonts w:asciiTheme="minorHAnsi" w:hAnsiTheme="minorHAnsi" w:cs="Arial"/>
          <w:noProof/>
          <w:szCs w:val="22"/>
        </w:rPr>
      </w:pPr>
      <w:bookmarkStart w:id="231" w:name="_ENREF_34"/>
      <w:r w:rsidRPr="005C0518">
        <w:rPr>
          <w:rFonts w:asciiTheme="minorHAnsi" w:hAnsiTheme="minorHAnsi" w:cs="Arial"/>
          <w:noProof/>
          <w:szCs w:val="22"/>
        </w:rPr>
        <w:t xml:space="preserve">Ministry of Health. (2006). </w:t>
      </w:r>
      <w:r w:rsidRPr="005C0518">
        <w:rPr>
          <w:rFonts w:asciiTheme="minorHAnsi" w:hAnsiTheme="minorHAnsi" w:cs="Arial"/>
          <w:i/>
          <w:noProof/>
          <w:szCs w:val="22"/>
        </w:rPr>
        <w:t>Problem Gambling in New Zealand: Analysis of the 2002/03 New Zealand Health Survey</w:t>
      </w:r>
      <w:r w:rsidRPr="005C0518">
        <w:rPr>
          <w:rFonts w:asciiTheme="minorHAnsi" w:hAnsiTheme="minorHAnsi" w:cs="Arial"/>
          <w:noProof/>
          <w:szCs w:val="22"/>
        </w:rPr>
        <w:t>. Wellington: Ministry of Health.</w:t>
      </w:r>
      <w:bookmarkEnd w:id="231"/>
    </w:p>
    <w:p w14:paraId="605AFD34" w14:textId="77777777" w:rsidR="00765F46" w:rsidRPr="005C0518" w:rsidRDefault="00765F46" w:rsidP="00765F46">
      <w:pPr>
        <w:spacing w:line="240" w:lineRule="auto"/>
        <w:ind w:left="720" w:hanging="720"/>
        <w:rPr>
          <w:rFonts w:asciiTheme="minorHAnsi" w:hAnsiTheme="minorHAnsi" w:cs="Arial"/>
          <w:noProof/>
          <w:szCs w:val="22"/>
        </w:rPr>
      </w:pPr>
      <w:bookmarkStart w:id="232" w:name="_ENREF_35"/>
      <w:r w:rsidRPr="005C0518">
        <w:rPr>
          <w:rFonts w:asciiTheme="minorHAnsi" w:hAnsiTheme="minorHAnsi" w:cs="Arial"/>
          <w:noProof/>
          <w:szCs w:val="22"/>
        </w:rPr>
        <w:t xml:space="preserve">Ministry of Health. (2008). </w:t>
      </w:r>
      <w:r w:rsidRPr="005C0518">
        <w:rPr>
          <w:rFonts w:asciiTheme="minorHAnsi" w:hAnsiTheme="minorHAnsi" w:cs="Arial"/>
          <w:i/>
          <w:noProof/>
          <w:szCs w:val="22"/>
        </w:rPr>
        <w:t>Intervention Service Practice Requirements Handbook (version 1.1)</w:t>
      </w:r>
      <w:r w:rsidRPr="005C0518">
        <w:rPr>
          <w:rFonts w:asciiTheme="minorHAnsi" w:hAnsiTheme="minorHAnsi" w:cs="Arial"/>
          <w:noProof/>
          <w:szCs w:val="22"/>
        </w:rPr>
        <w:t>. Wellington: Ministry of Health.</w:t>
      </w:r>
      <w:bookmarkEnd w:id="232"/>
    </w:p>
    <w:p w14:paraId="1E2AD7B4" w14:textId="77777777" w:rsidR="00765F46" w:rsidRPr="005C0518" w:rsidRDefault="00765F46" w:rsidP="00765F46">
      <w:pPr>
        <w:spacing w:line="240" w:lineRule="auto"/>
        <w:ind w:left="720" w:hanging="720"/>
        <w:rPr>
          <w:rFonts w:asciiTheme="minorHAnsi" w:hAnsiTheme="minorHAnsi" w:cs="Arial"/>
          <w:noProof/>
          <w:szCs w:val="22"/>
        </w:rPr>
      </w:pPr>
      <w:bookmarkStart w:id="233" w:name="_ENREF_36"/>
      <w:r w:rsidRPr="005C0518">
        <w:rPr>
          <w:rFonts w:asciiTheme="minorHAnsi" w:hAnsiTheme="minorHAnsi" w:cs="Arial"/>
          <w:noProof/>
          <w:szCs w:val="22"/>
        </w:rPr>
        <w:t xml:space="preserve">Ministry of Health. (2009). </w:t>
      </w:r>
      <w:r w:rsidRPr="005C0518">
        <w:rPr>
          <w:rFonts w:asciiTheme="minorHAnsi" w:hAnsiTheme="minorHAnsi" w:cs="Arial"/>
          <w:i/>
          <w:noProof/>
          <w:szCs w:val="22"/>
        </w:rPr>
        <w:t>A Focus on Problem Gambling: Results of the 2006/07 New Zealand Health Survey</w:t>
      </w:r>
      <w:r w:rsidRPr="005C0518">
        <w:rPr>
          <w:rFonts w:asciiTheme="minorHAnsi" w:hAnsiTheme="minorHAnsi" w:cs="Arial"/>
          <w:noProof/>
          <w:szCs w:val="22"/>
        </w:rPr>
        <w:t>. Wellington: Ministry of Health.</w:t>
      </w:r>
      <w:bookmarkEnd w:id="233"/>
    </w:p>
    <w:p w14:paraId="67D06BB9" w14:textId="77777777" w:rsidR="00765F46" w:rsidRPr="005C0518" w:rsidRDefault="00765F46" w:rsidP="00765F46">
      <w:pPr>
        <w:spacing w:line="240" w:lineRule="auto"/>
        <w:ind w:left="720" w:hanging="720"/>
        <w:rPr>
          <w:rFonts w:asciiTheme="minorHAnsi" w:hAnsiTheme="minorHAnsi" w:cs="Arial"/>
          <w:noProof/>
          <w:szCs w:val="22"/>
        </w:rPr>
      </w:pPr>
      <w:bookmarkStart w:id="234" w:name="_ENREF_37"/>
      <w:r w:rsidRPr="005C0518">
        <w:rPr>
          <w:rFonts w:asciiTheme="minorHAnsi" w:hAnsiTheme="minorHAnsi" w:cs="Arial"/>
          <w:noProof/>
          <w:szCs w:val="22"/>
        </w:rPr>
        <w:t xml:space="preserve">Ministry of Health. (2010a). </w:t>
      </w:r>
      <w:r w:rsidRPr="005C0518">
        <w:rPr>
          <w:rFonts w:asciiTheme="minorHAnsi" w:hAnsiTheme="minorHAnsi" w:cs="Arial"/>
          <w:i/>
          <w:noProof/>
          <w:szCs w:val="22"/>
        </w:rPr>
        <w:t>Preventing and Minimising Gambling Harm: Six-year strategic plan 2010/11-2015/16</w:t>
      </w:r>
      <w:r w:rsidRPr="005C0518">
        <w:rPr>
          <w:rFonts w:asciiTheme="minorHAnsi" w:hAnsiTheme="minorHAnsi" w:cs="Arial"/>
          <w:noProof/>
          <w:szCs w:val="22"/>
        </w:rPr>
        <w:t>. Wellington: Ministry of Health.</w:t>
      </w:r>
      <w:bookmarkEnd w:id="234"/>
    </w:p>
    <w:p w14:paraId="370A1378" w14:textId="77777777" w:rsidR="00765F46" w:rsidRPr="005C0518" w:rsidRDefault="00765F46" w:rsidP="00765F46">
      <w:pPr>
        <w:spacing w:line="240" w:lineRule="auto"/>
        <w:ind w:left="720" w:hanging="720"/>
        <w:rPr>
          <w:rFonts w:asciiTheme="minorHAnsi" w:hAnsiTheme="minorHAnsi" w:cs="Arial"/>
          <w:noProof/>
          <w:szCs w:val="22"/>
        </w:rPr>
      </w:pPr>
      <w:bookmarkStart w:id="235" w:name="_ENREF_38"/>
      <w:r w:rsidRPr="005C0518">
        <w:rPr>
          <w:rFonts w:asciiTheme="minorHAnsi" w:hAnsiTheme="minorHAnsi" w:cs="Arial"/>
          <w:noProof/>
          <w:szCs w:val="22"/>
        </w:rPr>
        <w:t xml:space="preserve">Ministry of Health. (2010b). </w:t>
      </w:r>
      <w:r w:rsidRPr="005C0518">
        <w:rPr>
          <w:rFonts w:asciiTheme="minorHAnsi" w:hAnsiTheme="minorHAnsi" w:cs="Arial"/>
          <w:i/>
          <w:noProof/>
          <w:szCs w:val="22"/>
        </w:rPr>
        <w:t>Preventing and Minimising Gambling Harm: Three-year service plan 2010/11–2012/13</w:t>
      </w:r>
      <w:r w:rsidRPr="005C0518">
        <w:rPr>
          <w:rFonts w:asciiTheme="minorHAnsi" w:hAnsiTheme="minorHAnsi" w:cs="Arial"/>
          <w:noProof/>
          <w:szCs w:val="22"/>
        </w:rPr>
        <w:t>. Wellington: Ministry of Health.</w:t>
      </w:r>
      <w:bookmarkEnd w:id="235"/>
    </w:p>
    <w:p w14:paraId="298B022B" w14:textId="77777777" w:rsidR="00765F46" w:rsidRPr="005C0518" w:rsidRDefault="00765F46" w:rsidP="00765F46">
      <w:pPr>
        <w:spacing w:line="240" w:lineRule="auto"/>
        <w:ind w:left="720" w:hanging="720"/>
        <w:rPr>
          <w:rFonts w:asciiTheme="minorHAnsi" w:hAnsiTheme="minorHAnsi" w:cs="Arial"/>
          <w:noProof/>
          <w:szCs w:val="22"/>
        </w:rPr>
      </w:pPr>
      <w:bookmarkStart w:id="236" w:name="_ENREF_39"/>
      <w:r w:rsidRPr="005C0518">
        <w:rPr>
          <w:rFonts w:asciiTheme="minorHAnsi" w:hAnsiTheme="minorHAnsi" w:cs="Arial"/>
          <w:noProof/>
          <w:szCs w:val="22"/>
        </w:rPr>
        <w:t xml:space="preserve">Ministry of Health. (2011). </w:t>
      </w:r>
      <w:r w:rsidRPr="005C0518">
        <w:rPr>
          <w:rFonts w:asciiTheme="minorHAnsi" w:hAnsiTheme="minorHAnsi" w:cs="Arial"/>
          <w:i/>
          <w:noProof/>
          <w:szCs w:val="22"/>
        </w:rPr>
        <w:t>The New Zealand Health Survey: Sample design, years 1-3 (2011-2013)</w:t>
      </w:r>
      <w:r w:rsidRPr="005C0518">
        <w:rPr>
          <w:rFonts w:asciiTheme="minorHAnsi" w:hAnsiTheme="minorHAnsi" w:cs="Arial"/>
          <w:noProof/>
          <w:szCs w:val="22"/>
        </w:rPr>
        <w:t>. Wellington: Ministry of Health.</w:t>
      </w:r>
      <w:bookmarkEnd w:id="236"/>
    </w:p>
    <w:p w14:paraId="068043FB" w14:textId="77777777" w:rsidR="00765F46" w:rsidRPr="005C0518" w:rsidRDefault="00765F46" w:rsidP="00765F46">
      <w:pPr>
        <w:spacing w:line="240" w:lineRule="auto"/>
        <w:ind w:left="720" w:hanging="720"/>
        <w:rPr>
          <w:rFonts w:asciiTheme="minorHAnsi" w:hAnsiTheme="minorHAnsi" w:cs="Arial"/>
          <w:noProof/>
          <w:szCs w:val="22"/>
        </w:rPr>
      </w:pPr>
      <w:bookmarkStart w:id="237" w:name="_ENREF_40"/>
      <w:r w:rsidRPr="005C0518">
        <w:rPr>
          <w:rFonts w:asciiTheme="minorHAnsi" w:hAnsiTheme="minorHAnsi" w:cs="Arial"/>
          <w:noProof/>
          <w:szCs w:val="22"/>
        </w:rPr>
        <w:t xml:space="preserve">Ministry of Health. (2012a). </w:t>
      </w:r>
      <w:r w:rsidRPr="005C0518">
        <w:rPr>
          <w:rFonts w:asciiTheme="minorHAnsi" w:hAnsiTheme="minorHAnsi" w:cs="Arial"/>
          <w:i/>
          <w:noProof/>
          <w:szCs w:val="22"/>
        </w:rPr>
        <w:t>The Health of New Zealand Adults 2011/12: Key Findings of the New Zealand Health Survey</w:t>
      </w:r>
      <w:r w:rsidRPr="005C0518">
        <w:rPr>
          <w:rFonts w:asciiTheme="minorHAnsi" w:hAnsiTheme="minorHAnsi" w:cs="Arial"/>
          <w:noProof/>
          <w:szCs w:val="22"/>
        </w:rPr>
        <w:t>. Wellington: Ministry of Health.</w:t>
      </w:r>
      <w:bookmarkEnd w:id="237"/>
    </w:p>
    <w:p w14:paraId="3CCC57D4" w14:textId="77777777" w:rsidR="00765F46" w:rsidRPr="005C0518" w:rsidRDefault="00765F46" w:rsidP="00765F46">
      <w:pPr>
        <w:spacing w:line="240" w:lineRule="auto"/>
        <w:ind w:left="720" w:hanging="720"/>
        <w:rPr>
          <w:rFonts w:asciiTheme="minorHAnsi" w:hAnsiTheme="minorHAnsi" w:cs="Arial"/>
          <w:noProof/>
          <w:szCs w:val="22"/>
        </w:rPr>
      </w:pPr>
      <w:bookmarkStart w:id="238" w:name="_ENREF_41"/>
      <w:r w:rsidRPr="005C0518">
        <w:rPr>
          <w:rFonts w:asciiTheme="minorHAnsi" w:hAnsiTheme="minorHAnsi" w:cs="Arial"/>
          <w:noProof/>
          <w:szCs w:val="22"/>
        </w:rPr>
        <w:t xml:space="preserve">Ministry of Health. (2012b). </w:t>
      </w:r>
      <w:r w:rsidRPr="005C0518">
        <w:rPr>
          <w:rFonts w:asciiTheme="minorHAnsi" w:hAnsiTheme="minorHAnsi" w:cs="Arial"/>
          <w:i/>
          <w:noProof/>
          <w:szCs w:val="22"/>
        </w:rPr>
        <w:t>New Zealand Health Survey Methodology Report</w:t>
      </w:r>
      <w:r w:rsidRPr="005C0518">
        <w:rPr>
          <w:rFonts w:asciiTheme="minorHAnsi" w:hAnsiTheme="minorHAnsi" w:cs="Arial"/>
          <w:noProof/>
          <w:szCs w:val="22"/>
        </w:rPr>
        <w:t>. Wellington: Ministry of Health.</w:t>
      </w:r>
      <w:bookmarkEnd w:id="238"/>
    </w:p>
    <w:p w14:paraId="0A2E2CD5" w14:textId="77777777" w:rsidR="00765F46" w:rsidRPr="005C0518" w:rsidRDefault="00765F46" w:rsidP="00765F46">
      <w:pPr>
        <w:spacing w:line="240" w:lineRule="auto"/>
        <w:ind w:left="720" w:hanging="720"/>
        <w:rPr>
          <w:rFonts w:asciiTheme="minorHAnsi" w:hAnsiTheme="minorHAnsi" w:cs="Arial"/>
          <w:noProof/>
          <w:szCs w:val="22"/>
        </w:rPr>
      </w:pPr>
      <w:bookmarkStart w:id="239" w:name="_ENREF_42"/>
      <w:r w:rsidRPr="005C0518">
        <w:rPr>
          <w:rFonts w:asciiTheme="minorHAnsi" w:hAnsiTheme="minorHAnsi" w:cs="Arial"/>
          <w:noProof/>
          <w:szCs w:val="22"/>
        </w:rPr>
        <w:t xml:space="preserve">Ministry of Health. (2012c). </w:t>
      </w:r>
      <w:r w:rsidRPr="005C0518">
        <w:rPr>
          <w:rFonts w:asciiTheme="minorHAnsi" w:hAnsiTheme="minorHAnsi" w:cs="Arial"/>
          <w:i/>
          <w:noProof/>
          <w:szCs w:val="22"/>
        </w:rPr>
        <w:t>Problem Gambling in New Zealand: Preliminary Findings From the New Zealand Health Survey (July 2011 to March 2012)</w:t>
      </w:r>
      <w:r w:rsidRPr="005C0518">
        <w:rPr>
          <w:rFonts w:asciiTheme="minorHAnsi" w:hAnsiTheme="minorHAnsi" w:cs="Arial"/>
          <w:noProof/>
          <w:szCs w:val="22"/>
        </w:rPr>
        <w:t>. Wellington: Ministry of Health.</w:t>
      </w:r>
      <w:bookmarkEnd w:id="239"/>
    </w:p>
    <w:p w14:paraId="01ECDCBC" w14:textId="77777777" w:rsidR="00765F46" w:rsidRPr="005C0518" w:rsidRDefault="00765F46" w:rsidP="00765F46">
      <w:pPr>
        <w:spacing w:line="240" w:lineRule="auto"/>
        <w:ind w:left="720" w:hanging="720"/>
        <w:rPr>
          <w:rFonts w:asciiTheme="minorHAnsi" w:hAnsiTheme="minorHAnsi" w:cs="Arial"/>
          <w:noProof/>
          <w:szCs w:val="22"/>
        </w:rPr>
      </w:pPr>
      <w:bookmarkStart w:id="240" w:name="_ENREF_43"/>
      <w:r w:rsidRPr="005C0518">
        <w:rPr>
          <w:rFonts w:asciiTheme="minorHAnsi" w:hAnsiTheme="minorHAnsi" w:cs="Arial"/>
          <w:noProof/>
          <w:szCs w:val="22"/>
        </w:rPr>
        <w:t xml:space="preserve">Ministry of Health. (2013). </w:t>
      </w:r>
      <w:r w:rsidRPr="005C0518">
        <w:rPr>
          <w:rFonts w:asciiTheme="minorHAnsi" w:hAnsiTheme="minorHAnsi" w:cs="Arial"/>
          <w:i/>
          <w:noProof/>
          <w:szCs w:val="22"/>
        </w:rPr>
        <w:t>New Zealand Health Survey: Content Guide 2012-2013</w:t>
      </w:r>
      <w:r w:rsidRPr="005C0518">
        <w:rPr>
          <w:rFonts w:asciiTheme="minorHAnsi" w:hAnsiTheme="minorHAnsi" w:cs="Arial"/>
          <w:noProof/>
          <w:szCs w:val="22"/>
        </w:rPr>
        <w:t>. Wellington: Ministry of Health.</w:t>
      </w:r>
      <w:bookmarkEnd w:id="240"/>
    </w:p>
    <w:p w14:paraId="512A242B" w14:textId="67420016" w:rsidR="00765F46" w:rsidRPr="005C0518" w:rsidRDefault="00765F46" w:rsidP="00765F46">
      <w:pPr>
        <w:spacing w:line="240" w:lineRule="auto"/>
        <w:ind w:left="720" w:hanging="720"/>
        <w:rPr>
          <w:rFonts w:asciiTheme="minorHAnsi" w:hAnsiTheme="minorHAnsi" w:cs="Arial"/>
          <w:noProof/>
          <w:szCs w:val="22"/>
        </w:rPr>
      </w:pPr>
      <w:bookmarkStart w:id="241" w:name="_ENREF_44"/>
      <w:r w:rsidRPr="005C0518">
        <w:rPr>
          <w:rFonts w:asciiTheme="minorHAnsi" w:hAnsiTheme="minorHAnsi" w:cs="Arial"/>
          <w:noProof/>
          <w:szCs w:val="22"/>
        </w:rPr>
        <w:t xml:space="preserve">Ministry of Health. (2014). Intervention client data. Retrieved 09/10/2014, 2014, from </w:t>
      </w:r>
      <w:hyperlink r:id="rId62" w:anchor="total_assisted" w:history="1">
        <w:r w:rsidRPr="005C0518">
          <w:rPr>
            <w:rStyle w:val="Hyperlink"/>
            <w:rFonts w:asciiTheme="minorHAnsi" w:hAnsiTheme="minorHAnsi" w:cs="Arial"/>
            <w:noProof/>
            <w:szCs w:val="22"/>
          </w:rPr>
          <w:t>http://www.health.govt.nz/our-work/mental-health-and-addictions/problem-gambling/service-user-data/intervention-client-data#total_assisted</w:t>
        </w:r>
        <w:bookmarkEnd w:id="241"/>
      </w:hyperlink>
    </w:p>
    <w:p w14:paraId="7F68F4FF" w14:textId="77777777" w:rsidR="00765F46" w:rsidRPr="005C0518" w:rsidRDefault="00765F46" w:rsidP="00765F46">
      <w:pPr>
        <w:spacing w:line="240" w:lineRule="auto"/>
        <w:ind w:left="720" w:hanging="720"/>
        <w:rPr>
          <w:rFonts w:asciiTheme="minorHAnsi" w:hAnsiTheme="minorHAnsi" w:cs="Arial"/>
          <w:noProof/>
          <w:szCs w:val="22"/>
        </w:rPr>
      </w:pPr>
      <w:bookmarkStart w:id="242" w:name="_ENREF_45"/>
      <w:r w:rsidRPr="005C0518">
        <w:rPr>
          <w:rFonts w:asciiTheme="minorHAnsi" w:hAnsiTheme="minorHAnsi" w:cs="Arial"/>
          <w:noProof/>
          <w:szCs w:val="22"/>
        </w:rPr>
        <w:t xml:space="preserve">Orford, J. (2011). </w:t>
      </w:r>
      <w:r w:rsidRPr="005C0518">
        <w:rPr>
          <w:rFonts w:asciiTheme="minorHAnsi" w:hAnsiTheme="minorHAnsi" w:cs="Arial"/>
          <w:i/>
          <w:noProof/>
          <w:szCs w:val="22"/>
        </w:rPr>
        <w:t>An unsafe bet?: The dangerous rise of gambling and the debate we should be having.</w:t>
      </w:r>
      <w:r w:rsidRPr="005C0518">
        <w:rPr>
          <w:rFonts w:asciiTheme="minorHAnsi" w:hAnsiTheme="minorHAnsi" w:cs="Arial"/>
          <w:noProof/>
          <w:szCs w:val="22"/>
        </w:rPr>
        <w:t xml:space="preserve"> Chichester: Wiley Blackwell.</w:t>
      </w:r>
      <w:bookmarkEnd w:id="242"/>
    </w:p>
    <w:p w14:paraId="47D8E509" w14:textId="77777777" w:rsidR="00765F46" w:rsidRPr="005C0518" w:rsidRDefault="00765F46" w:rsidP="00765F46">
      <w:pPr>
        <w:spacing w:line="240" w:lineRule="auto"/>
        <w:ind w:left="720" w:hanging="720"/>
        <w:rPr>
          <w:rFonts w:asciiTheme="minorHAnsi" w:hAnsiTheme="minorHAnsi" w:cs="Arial"/>
          <w:noProof/>
          <w:szCs w:val="22"/>
        </w:rPr>
      </w:pPr>
      <w:bookmarkStart w:id="243" w:name="_ENREF_46"/>
      <w:r w:rsidRPr="005C0518">
        <w:rPr>
          <w:rFonts w:asciiTheme="minorHAnsi" w:hAnsiTheme="minorHAnsi" w:cs="Arial"/>
          <w:noProof/>
          <w:szCs w:val="22"/>
        </w:rPr>
        <w:t xml:space="preserve">Parliamentary Council Office. (2003). </w:t>
      </w:r>
      <w:r w:rsidRPr="005C0518">
        <w:rPr>
          <w:rFonts w:asciiTheme="minorHAnsi" w:hAnsiTheme="minorHAnsi" w:cs="Arial"/>
          <w:i/>
          <w:noProof/>
          <w:szCs w:val="22"/>
        </w:rPr>
        <w:t>Gambling Act 2003</w:t>
      </w:r>
      <w:r w:rsidRPr="005C0518">
        <w:rPr>
          <w:rFonts w:asciiTheme="minorHAnsi" w:hAnsiTheme="minorHAnsi" w:cs="Arial"/>
          <w:noProof/>
          <w:szCs w:val="22"/>
        </w:rPr>
        <w:t>. New Zealand: New Zealand Government.</w:t>
      </w:r>
      <w:bookmarkEnd w:id="243"/>
    </w:p>
    <w:p w14:paraId="70D1F036" w14:textId="77777777" w:rsidR="00765F46" w:rsidRPr="005C0518" w:rsidRDefault="00765F46" w:rsidP="00765F46">
      <w:pPr>
        <w:spacing w:line="240" w:lineRule="auto"/>
        <w:ind w:left="720" w:hanging="720"/>
        <w:rPr>
          <w:rFonts w:asciiTheme="minorHAnsi" w:hAnsiTheme="minorHAnsi" w:cs="Arial"/>
          <w:noProof/>
          <w:szCs w:val="22"/>
        </w:rPr>
      </w:pPr>
      <w:bookmarkStart w:id="244" w:name="_ENREF_47"/>
      <w:r w:rsidRPr="005C0518">
        <w:rPr>
          <w:rFonts w:asciiTheme="minorHAnsi" w:hAnsiTheme="minorHAnsi" w:cs="Arial"/>
          <w:noProof/>
          <w:szCs w:val="22"/>
        </w:rPr>
        <w:t xml:space="preserve">Perese, L. (2009). </w:t>
      </w:r>
      <w:r w:rsidRPr="005C0518">
        <w:rPr>
          <w:rFonts w:asciiTheme="minorHAnsi" w:hAnsiTheme="minorHAnsi" w:cs="Arial"/>
          <w:i/>
          <w:noProof/>
          <w:szCs w:val="22"/>
        </w:rPr>
        <w:t>You bet your life...and mine! Contemporary Samoan gambling in New Zealand</w:t>
      </w:r>
      <w:r w:rsidRPr="005C0518">
        <w:rPr>
          <w:rFonts w:asciiTheme="minorHAnsi" w:hAnsiTheme="minorHAnsi" w:cs="Arial"/>
          <w:noProof/>
          <w:szCs w:val="22"/>
        </w:rPr>
        <w:t xml:space="preserve"> (PhD). The University of Auckland, Auckland.   </w:t>
      </w:r>
      <w:bookmarkEnd w:id="244"/>
    </w:p>
    <w:p w14:paraId="7805F053" w14:textId="0B25A6A2" w:rsidR="00765F46" w:rsidRPr="005C0518" w:rsidRDefault="00765F46" w:rsidP="00765F46">
      <w:pPr>
        <w:spacing w:line="240" w:lineRule="auto"/>
        <w:ind w:left="720" w:hanging="720"/>
        <w:rPr>
          <w:rFonts w:asciiTheme="minorHAnsi" w:hAnsiTheme="minorHAnsi" w:cs="Arial"/>
          <w:noProof/>
          <w:szCs w:val="22"/>
        </w:rPr>
      </w:pPr>
      <w:bookmarkStart w:id="245" w:name="_ENREF_48"/>
      <w:r w:rsidRPr="005C0518">
        <w:rPr>
          <w:rFonts w:asciiTheme="minorHAnsi" w:hAnsiTheme="minorHAnsi" w:cs="Arial"/>
          <w:noProof/>
          <w:szCs w:val="22"/>
        </w:rPr>
        <w:t xml:space="preserve">Phillips, J. (2006). Sports and leisure. Retrieved 26 October, 2006, from </w:t>
      </w:r>
      <w:hyperlink r:id="rId63" w:history="1">
        <w:r w:rsidRPr="005C0518">
          <w:rPr>
            <w:rStyle w:val="Hyperlink"/>
            <w:rFonts w:asciiTheme="minorHAnsi" w:hAnsiTheme="minorHAnsi" w:cs="Arial"/>
            <w:noProof/>
            <w:szCs w:val="22"/>
          </w:rPr>
          <w:t>http://www.TeAra.govt.nz/NewZealandInBrief/SportsAndLeisure/2/en</w:t>
        </w:r>
        <w:bookmarkEnd w:id="245"/>
      </w:hyperlink>
    </w:p>
    <w:p w14:paraId="6886D82A" w14:textId="77777777" w:rsidR="00765F46" w:rsidRPr="005C0518" w:rsidRDefault="00765F46" w:rsidP="00765F46">
      <w:pPr>
        <w:spacing w:line="240" w:lineRule="auto"/>
        <w:ind w:left="720" w:hanging="720"/>
        <w:rPr>
          <w:rFonts w:asciiTheme="minorHAnsi" w:hAnsiTheme="minorHAnsi" w:cs="Arial"/>
          <w:noProof/>
          <w:szCs w:val="22"/>
        </w:rPr>
      </w:pPr>
      <w:bookmarkStart w:id="246" w:name="_ENREF_49"/>
      <w:r w:rsidRPr="005C0518">
        <w:rPr>
          <w:rFonts w:asciiTheme="minorHAnsi" w:hAnsiTheme="minorHAnsi" w:cs="Arial"/>
          <w:noProof/>
          <w:szCs w:val="22"/>
        </w:rPr>
        <w:t xml:space="preserve">Productivity Commission. (2010). </w:t>
      </w:r>
      <w:r w:rsidRPr="005C0518">
        <w:rPr>
          <w:rFonts w:asciiTheme="minorHAnsi" w:hAnsiTheme="minorHAnsi" w:cs="Arial"/>
          <w:i/>
          <w:noProof/>
          <w:szCs w:val="22"/>
        </w:rPr>
        <w:t>Gambling, Report no. 50</w:t>
      </w:r>
      <w:r w:rsidRPr="005C0518">
        <w:rPr>
          <w:rFonts w:asciiTheme="minorHAnsi" w:hAnsiTheme="minorHAnsi" w:cs="Arial"/>
          <w:noProof/>
          <w:szCs w:val="22"/>
        </w:rPr>
        <w:t>. Canberra: Productivity Commission.</w:t>
      </w:r>
      <w:bookmarkEnd w:id="246"/>
    </w:p>
    <w:p w14:paraId="2DE3469A" w14:textId="77777777" w:rsidR="00765F46" w:rsidRPr="005C0518" w:rsidRDefault="00765F46" w:rsidP="00765F46">
      <w:pPr>
        <w:spacing w:line="240" w:lineRule="auto"/>
        <w:ind w:left="720" w:hanging="720"/>
        <w:rPr>
          <w:rFonts w:asciiTheme="minorHAnsi" w:hAnsiTheme="minorHAnsi" w:cs="Arial"/>
          <w:noProof/>
          <w:szCs w:val="22"/>
        </w:rPr>
      </w:pPr>
      <w:bookmarkStart w:id="247" w:name="_ENREF_50"/>
      <w:r w:rsidRPr="005C0518">
        <w:rPr>
          <w:rFonts w:asciiTheme="minorHAnsi" w:hAnsiTheme="minorHAnsi" w:cs="Arial"/>
          <w:noProof/>
          <w:szCs w:val="22"/>
        </w:rPr>
        <w:t xml:space="preserve">Randall, D. M., &amp; Fernandes, M. F. (1991). The social desirability response bias in ethics research. </w:t>
      </w:r>
      <w:r w:rsidRPr="005C0518">
        <w:rPr>
          <w:rFonts w:asciiTheme="minorHAnsi" w:hAnsiTheme="minorHAnsi" w:cs="Arial"/>
          <w:i/>
          <w:noProof/>
          <w:szCs w:val="22"/>
        </w:rPr>
        <w:t>Journal of Business Ethics, 10</w:t>
      </w:r>
      <w:r w:rsidRPr="005C0518">
        <w:rPr>
          <w:rFonts w:asciiTheme="minorHAnsi" w:hAnsiTheme="minorHAnsi" w:cs="Arial"/>
          <w:noProof/>
          <w:szCs w:val="22"/>
        </w:rPr>
        <w:t xml:space="preserve">(11), 805-817. </w:t>
      </w:r>
      <w:bookmarkEnd w:id="247"/>
    </w:p>
    <w:p w14:paraId="76EB9A06" w14:textId="77777777" w:rsidR="00765F46" w:rsidRPr="005C0518" w:rsidRDefault="00765F46" w:rsidP="00765F46">
      <w:pPr>
        <w:spacing w:line="240" w:lineRule="auto"/>
        <w:ind w:left="720" w:hanging="720"/>
        <w:rPr>
          <w:rFonts w:asciiTheme="minorHAnsi" w:hAnsiTheme="minorHAnsi" w:cs="Arial"/>
          <w:noProof/>
          <w:szCs w:val="22"/>
        </w:rPr>
      </w:pPr>
      <w:bookmarkStart w:id="248" w:name="_ENREF_51"/>
      <w:r w:rsidRPr="005C0518">
        <w:rPr>
          <w:rFonts w:asciiTheme="minorHAnsi" w:hAnsiTheme="minorHAnsi" w:cs="Arial"/>
          <w:noProof/>
          <w:szCs w:val="22"/>
        </w:rPr>
        <w:lastRenderedPageBreak/>
        <w:t xml:space="preserve">Rossen, F., Butler, R., &amp; Denny, S. (2011). </w:t>
      </w:r>
      <w:r w:rsidRPr="005C0518">
        <w:rPr>
          <w:rFonts w:asciiTheme="minorHAnsi" w:hAnsiTheme="minorHAnsi" w:cs="Arial"/>
          <w:i/>
          <w:noProof/>
          <w:szCs w:val="22"/>
        </w:rPr>
        <w:t>An Exploration of Youth Participation in Gambling and the Impact of Problem Gambling on Young People in New Zealand</w:t>
      </w:r>
      <w:r w:rsidRPr="005C0518">
        <w:rPr>
          <w:rFonts w:asciiTheme="minorHAnsi" w:hAnsiTheme="minorHAnsi" w:cs="Arial"/>
          <w:noProof/>
          <w:szCs w:val="22"/>
        </w:rPr>
        <w:t>. Auckland: Centre for Gambling Studies, Auckland UniServices Limited, The University of Auckland.</w:t>
      </w:r>
      <w:bookmarkEnd w:id="248"/>
    </w:p>
    <w:p w14:paraId="14850FC9" w14:textId="77777777" w:rsidR="00765F46" w:rsidRPr="005C0518" w:rsidRDefault="00765F46" w:rsidP="00765F46">
      <w:pPr>
        <w:spacing w:line="240" w:lineRule="auto"/>
        <w:ind w:left="720" w:hanging="720"/>
        <w:rPr>
          <w:rFonts w:asciiTheme="minorHAnsi" w:hAnsiTheme="minorHAnsi" w:cs="Arial"/>
          <w:noProof/>
          <w:szCs w:val="22"/>
        </w:rPr>
      </w:pPr>
      <w:bookmarkStart w:id="249" w:name="_ENREF_52"/>
      <w:r w:rsidRPr="005C0518">
        <w:rPr>
          <w:rFonts w:asciiTheme="minorHAnsi" w:hAnsiTheme="minorHAnsi" w:cs="Arial"/>
          <w:noProof/>
          <w:szCs w:val="22"/>
        </w:rPr>
        <w:t xml:space="preserve">Rossen, F., Fleming, T., Lucassen, M., Denny, S., Peiris-John, R., Teevale, T., . . . The Adolescent Health Research Group. (2013). </w:t>
      </w:r>
      <w:r w:rsidRPr="005C0518">
        <w:rPr>
          <w:rFonts w:asciiTheme="minorHAnsi" w:hAnsiTheme="minorHAnsi" w:cs="Arial"/>
          <w:i/>
          <w:noProof/>
          <w:szCs w:val="22"/>
        </w:rPr>
        <w:t>The Health and Wellbeing of New Zealand Secondary School Students in 2012: Youth Gambling</w:t>
      </w:r>
      <w:r w:rsidRPr="005C0518">
        <w:rPr>
          <w:rFonts w:asciiTheme="minorHAnsi" w:hAnsiTheme="minorHAnsi" w:cs="Arial"/>
          <w:noProof/>
          <w:szCs w:val="22"/>
        </w:rPr>
        <w:t>. Auckland, New Zealand: The University of Auckland.</w:t>
      </w:r>
      <w:bookmarkEnd w:id="249"/>
    </w:p>
    <w:p w14:paraId="3C39C006" w14:textId="77777777" w:rsidR="00765F46" w:rsidRPr="005C0518" w:rsidRDefault="00765F46" w:rsidP="00765F46">
      <w:pPr>
        <w:spacing w:line="240" w:lineRule="auto"/>
        <w:ind w:left="720" w:hanging="720"/>
        <w:rPr>
          <w:rFonts w:asciiTheme="minorHAnsi" w:hAnsiTheme="minorHAnsi" w:cs="Arial"/>
          <w:noProof/>
          <w:szCs w:val="22"/>
        </w:rPr>
      </w:pPr>
      <w:bookmarkStart w:id="250" w:name="_ENREF_53"/>
      <w:r w:rsidRPr="005C0518">
        <w:rPr>
          <w:rFonts w:asciiTheme="minorHAnsi" w:hAnsiTheme="minorHAnsi" w:cs="Arial"/>
          <w:noProof/>
          <w:szCs w:val="22"/>
        </w:rPr>
        <w:t xml:space="preserve">Rossen, F., Tse, S., &amp; Vaidya, R. (2009). </w:t>
      </w:r>
      <w:r w:rsidRPr="005C0518">
        <w:rPr>
          <w:rFonts w:asciiTheme="minorHAnsi" w:hAnsiTheme="minorHAnsi" w:cs="Arial"/>
          <w:i/>
          <w:noProof/>
          <w:szCs w:val="22"/>
        </w:rPr>
        <w:t>New Zealand Asian and Youth Gambling: A Secondary Analysis of Data from the Health Sponsorship Council 2006/07 Gaming and Betting Attitudes Survey</w:t>
      </w:r>
      <w:r w:rsidRPr="005C0518">
        <w:rPr>
          <w:rFonts w:asciiTheme="minorHAnsi" w:hAnsiTheme="minorHAnsi" w:cs="Arial"/>
          <w:noProof/>
          <w:szCs w:val="22"/>
        </w:rPr>
        <w:t>. Auckland: University of Auckland.</w:t>
      </w:r>
      <w:bookmarkEnd w:id="250"/>
    </w:p>
    <w:p w14:paraId="25D4EF4B" w14:textId="77777777" w:rsidR="00765F46" w:rsidRPr="005C0518" w:rsidRDefault="00765F46" w:rsidP="00765F46">
      <w:pPr>
        <w:spacing w:line="240" w:lineRule="auto"/>
        <w:ind w:left="720" w:hanging="720"/>
        <w:rPr>
          <w:rFonts w:asciiTheme="minorHAnsi" w:hAnsiTheme="minorHAnsi" w:cs="Arial"/>
          <w:noProof/>
          <w:szCs w:val="22"/>
        </w:rPr>
      </w:pPr>
      <w:bookmarkStart w:id="251" w:name="_ENREF_54"/>
      <w:r w:rsidRPr="005C0518">
        <w:rPr>
          <w:rFonts w:asciiTheme="minorHAnsi" w:hAnsiTheme="minorHAnsi" w:cs="Arial"/>
          <w:noProof/>
          <w:szCs w:val="22"/>
        </w:rPr>
        <w:t xml:space="preserve">Salmond, C., Crampton, P., &amp; Atkinson, J. (2007). </w:t>
      </w:r>
      <w:r w:rsidRPr="005C0518">
        <w:rPr>
          <w:rFonts w:asciiTheme="minorHAnsi" w:hAnsiTheme="minorHAnsi" w:cs="Arial"/>
          <w:i/>
          <w:noProof/>
          <w:szCs w:val="22"/>
        </w:rPr>
        <w:t>NZDep2006 Index of Deprivation</w:t>
      </w:r>
      <w:r w:rsidRPr="005C0518">
        <w:rPr>
          <w:rFonts w:asciiTheme="minorHAnsi" w:hAnsiTheme="minorHAnsi" w:cs="Arial"/>
          <w:noProof/>
          <w:szCs w:val="22"/>
        </w:rPr>
        <w:t>. Department of Public Health,  University of Otago.</w:t>
      </w:r>
      <w:bookmarkEnd w:id="251"/>
    </w:p>
    <w:p w14:paraId="55152320" w14:textId="77777777" w:rsidR="00765F46" w:rsidRPr="005C0518" w:rsidRDefault="00765F46" w:rsidP="00765F46">
      <w:pPr>
        <w:spacing w:line="240" w:lineRule="auto"/>
        <w:ind w:left="720" w:hanging="720"/>
        <w:rPr>
          <w:rFonts w:asciiTheme="minorHAnsi" w:hAnsiTheme="minorHAnsi" w:cs="Arial"/>
          <w:noProof/>
          <w:szCs w:val="22"/>
        </w:rPr>
      </w:pPr>
      <w:bookmarkStart w:id="252" w:name="_ENREF_55"/>
      <w:r w:rsidRPr="005C0518">
        <w:rPr>
          <w:rFonts w:asciiTheme="minorHAnsi" w:hAnsiTheme="minorHAnsi" w:cs="Arial"/>
          <w:noProof/>
          <w:szCs w:val="22"/>
        </w:rPr>
        <w:t xml:space="preserve">SAS Institute Inc. (2011). </w:t>
      </w:r>
      <w:r w:rsidRPr="005C0518">
        <w:rPr>
          <w:rFonts w:asciiTheme="minorHAnsi" w:hAnsiTheme="minorHAnsi" w:cs="Arial"/>
          <w:i/>
          <w:noProof/>
          <w:szCs w:val="22"/>
        </w:rPr>
        <w:t>SAS/STAT Software (Version 9.3)</w:t>
      </w:r>
      <w:r w:rsidRPr="005C0518">
        <w:rPr>
          <w:rFonts w:asciiTheme="minorHAnsi" w:hAnsiTheme="minorHAnsi" w:cs="Arial"/>
          <w:noProof/>
          <w:szCs w:val="22"/>
        </w:rPr>
        <w:t>. Cary, NC: SAS International.</w:t>
      </w:r>
      <w:bookmarkEnd w:id="252"/>
    </w:p>
    <w:p w14:paraId="186BC541" w14:textId="77777777" w:rsidR="00765F46" w:rsidRPr="005C0518" w:rsidRDefault="00765F46" w:rsidP="00765F46">
      <w:pPr>
        <w:spacing w:line="240" w:lineRule="auto"/>
        <w:ind w:left="720" w:hanging="720"/>
        <w:rPr>
          <w:rFonts w:asciiTheme="minorHAnsi" w:hAnsiTheme="minorHAnsi" w:cs="Arial"/>
          <w:noProof/>
          <w:szCs w:val="22"/>
        </w:rPr>
      </w:pPr>
      <w:bookmarkStart w:id="253" w:name="_ENREF_56"/>
      <w:r w:rsidRPr="005C0518">
        <w:rPr>
          <w:rFonts w:asciiTheme="minorHAnsi" w:hAnsiTheme="minorHAnsi" w:cs="Arial"/>
          <w:noProof/>
          <w:szCs w:val="22"/>
        </w:rPr>
        <w:t xml:space="preserve">Sobrun-Maharaj, A., Rossen, F., &amp; Wong, A. S. K. (2013). Negative impacts of gambling on Asian families and communities in New Zealand. </w:t>
      </w:r>
      <w:r w:rsidRPr="005C0518">
        <w:rPr>
          <w:rFonts w:asciiTheme="minorHAnsi" w:hAnsiTheme="minorHAnsi" w:cs="Arial"/>
          <w:i/>
          <w:noProof/>
          <w:szCs w:val="22"/>
        </w:rPr>
        <w:t>Asian Journal of Gambling Issues and Public Health, 3</w:t>
      </w:r>
      <w:r w:rsidRPr="005C0518">
        <w:rPr>
          <w:rFonts w:asciiTheme="minorHAnsi" w:hAnsiTheme="minorHAnsi" w:cs="Arial"/>
          <w:noProof/>
          <w:szCs w:val="22"/>
        </w:rPr>
        <w:t xml:space="preserve">(14). </w:t>
      </w:r>
      <w:bookmarkEnd w:id="253"/>
    </w:p>
    <w:p w14:paraId="1DBDA62F" w14:textId="43CACD92" w:rsidR="00765F46" w:rsidRPr="005C0518" w:rsidRDefault="00765F46" w:rsidP="00765F46">
      <w:pPr>
        <w:spacing w:line="240" w:lineRule="auto"/>
        <w:ind w:left="720" w:hanging="720"/>
        <w:rPr>
          <w:rFonts w:asciiTheme="minorHAnsi" w:hAnsiTheme="minorHAnsi" w:cs="Arial"/>
          <w:noProof/>
          <w:szCs w:val="22"/>
        </w:rPr>
      </w:pPr>
      <w:bookmarkStart w:id="254" w:name="_ENREF_57"/>
      <w:r w:rsidRPr="005C0518">
        <w:rPr>
          <w:rFonts w:asciiTheme="minorHAnsi" w:hAnsiTheme="minorHAnsi" w:cs="Arial"/>
          <w:noProof/>
          <w:szCs w:val="22"/>
        </w:rPr>
        <w:t xml:space="preserve">Statistics New Zealand. (2014). Classifications and related statistical standards - Sex. Retrieved 10 October, 2014, from </w:t>
      </w:r>
      <w:hyperlink r:id="rId64" w:history="1">
        <w:r w:rsidRPr="005C0518">
          <w:rPr>
            <w:rStyle w:val="Hyperlink"/>
            <w:rFonts w:asciiTheme="minorHAnsi" w:hAnsiTheme="minorHAnsi" w:cs="Arial"/>
            <w:noProof/>
            <w:szCs w:val="22"/>
          </w:rPr>
          <w:t>http://www.stats.govt.nz/methods/classifications-and-standards/classification-related-stats-standards/sex/definition.aspx</w:t>
        </w:r>
        <w:bookmarkEnd w:id="254"/>
      </w:hyperlink>
    </w:p>
    <w:p w14:paraId="43F5A81E" w14:textId="77777777" w:rsidR="00765F46" w:rsidRPr="005C0518" w:rsidRDefault="00765F46" w:rsidP="00765F46">
      <w:pPr>
        <w:spacing w:line="240" w:lineRule="auto"/>
        <w:ind w:left="720" w:hanging="720"/>
        <w:rPr>
          <w:rFonts w:asciiTheme="minorHAnsi" w:hAnsiTheme="minorHAnsi" w:cs="Arial"/>
          <w:noProof/>
          <w:szCs w:val="22"/>
        </w:rPr>
      </w:pPr>
      <w:bookmarkStart w:id="255" w:name="_ENREF_58"/>
      <w:r w:rsidRPr="005C0518">
        <w:rPr>
          <w:rFonts w:asciiTheme="minorHAnsi" w:hAnsiTheme="minorHAnsi" w:cs="Arial"/>
          <w:noProof/>
          <w:szCs w:val="22"/>
        </w:rPr>
        <w:t xml:space="preserve">Thomas, S. A., Piterman, L., &amp; Jackson, A. C. (2008). Problem gambling: what general practitioners need to know and do about it? </w:t>
      </w:r>
      <w:r w:rsidRPr="005C0518">
        <w:rPr>
          <w:rFonts w:asciiTheme="minorHAnsi" w:hAnsiTheme="minorHAnsi" w:cs="Arial"/>
          <w:i/>
          <w:noProof/>
          <w:szCs w:val="22"/>
        </w:rPr>
        <w:t xml:space="preserve">Medical Journal of Australia, 189 </w:t>
      </w:r>
      <w:r w:rsidRPr="005C0518">
        <w:rPr>
          <w:rFonts w:asciiTheme="minorHAnsi" w:hAnsiTheme="minorHAnsi" w:cs="Arial"/>
          <w:noProof/>
          <w:szCs w:val="22"/>
        </w:rPr>
        <w:t xml:space="preserve">135-136. </w:t>
      </w:r>
      <w:bookmarkEnd w:id="255"/>
    </w:p>
    <w:p w14:paraId="3957EAE0" w14:textId="77777777" w:rsidR="00765F46" w:rsidRPr="005C0518" w:rsidRDefault="00765F46" w:rsidP="00765F46">
      <w:pPr>
        <w:spacing w:line="240" w:lineRule="auto"/>
        <w:ind w:left="720" w:hanging="720"/>
        <w:rPr>
          <w:rFonts w:asciiTheme="minorHAnsi" w:hAnsiTheme="minorHAnsi" w:cs="Arial"/>
          <w:noProof/>
          <w:szCs w:val="22"/>
        </w:rPr>
      </w:pPr>
      <w:bookmarkStart w:id="256" w:name="_ENREF_59"/>
      <w:r w:rsidRPr="005C0518">
        <w:rPr>
          <w:rFonts w:asciiTheme="minorHAnsi" w:hAnsiTheme="minorHAnsi" w:cs="Arial"/>
          <w:noProof/>
          <w:szCs w:val="22"/>
        </w:rPr>
        <w:t xml:space="preserve">Tse, S., Dyall, L., Clarke, D., Abbott, M., Townsend, S., &amp; Kingi, P. (2012). Why People Gamble: A Qualitative Study of Four New Zealand Ethnic Groups. </w:t>
      </w:r>
      <w:r w:rsidRPr="005C0518">
        <w:rPr>
          <w:rFonts w:asciiTheme="minorHAnsi" w:hAnsiTheme="minorHAnsi" w:cs="Arial"/>
          <w:i/>
          <w:noProof/>
          <w:szCs w:val="22"/>
        </w:rPr>
        <w:t>International Journal of Mental Health Addiction, 10</w:t>
      </w:r>
      <w:r w:rsidRPr="005C0518">
        <w:rPr>
          <w:rFonts w:asciiTheme="minorHAnsi" w:hAnsiTheme="minorHAnsi" w:cs="Arial"/>
          <w:noProof/>
          <w:szCs w:val="22"/>
        </w:rPr>
        <w:t xml:space="preserve">(6), 849–861. </w:t>
      </w:r>
      <w:bookmarkEnd w:id="256"/>
    </w:p>
    <w:p w14:paraId="0BC9F635" w14:textId="77777777" w:rsidR="00765F46" w:rsidRPr="005C0518" w:rsidRDefault="00765F46" w:rsidP="00765F46">
      <w:pPr>
        <w:spacing w:line="240" w:lineRule="auto"/>
        <w:ind w:left="720" w:hanging="720"/>
        <w:rPr>
          <w:rFonts w:asciiTheme="minorHAnsi" w:hAnsiTheme="minorHAnsi" w:cs="Arial"/>
          <w:noProof/>
          <w:szCs w:val="22"/>
        </w:rPr>
      </w:pPr>
      <w:bookmarkStart w:id="257" w:name="_ENREF_60"/>
      <w:r w:rsidRPr="005C0518">
        <w:rPr>
          <w:rFonts w:asciiTheme="minorHAnsi" w:hAnsiTheme="minorHAnsi" w:cs="Arial"/>
          <w:noProof/>
          <w:szCs w:val="22"/>
        </w:rPr>
        <w:t xml:space="preserve">Tu, D. (2013). </w:t>
      </w:r>
      <w:r w:rsidRPr="005C0518">
        <w:rPr>
          <w:rFonts w:asciiTheme="minorHAnsi" w:hAnsiTheme="minorHAnsi" w:cs="Arial"/>
          <w:i/>
          <w:noProof/>
          <w:szCs w:val="22"/>
        </w:rPr>
        <w:t>New Zealanders’ Participation in Gambling: Results from the 2012 Health and Lifestyles Survey</w:t>
      </w:r>
      <w:r w:rsidRPr="005C0518">
        <w:rPr>
          <w:rFonts w:asciiTheme="minorHAnsi" w:hAnsiTheme="minorHAnsi" w:cs="Arial"/>
          <w:noProof/>
          <w:szCs w:val="22"/>
        </w:rPr>
        <w:t>. Wellington: Health Promotion Agency.</w:t>
      </w:r>
      <w:bookmarkEnd w:id="257"/>
    </w:p>
    <w:p w14:paraId="6719BE26" w14:textId="77777777" w:rsidR="00765F46" w:rsidRPr="005C0518" w:rsidRDefault="00765F46" w:rsidP="00765F46">
      <w:pPr>
        <w:spacing w:line="240" w:lineRule="auto"/>
        <w:ind w:left="720" w:hanging="720"/>
        <w:rPr>
          <w:rFonts w:asciiTheme="minorHAnsi" w:hAnsiTheme="minorHAnsi" w:cs="Arial"/>
          <w:noProof/>
          <w:szCs w:val="22"/>
        </w:rPr>
      </w:pPr>
      <w:bookmarkStart w:id="258" w:name="_ENREF_61"/>
      <w:r w:rsidRPr="005C0518">
        <w:rPr>
          <w:rFonts w:asciiTheme="minorHAnsi" w:hAnsiTheme="minorHAnsi" w:cs="Arial"/>
          <w:noProof/>
          <w:szCs w:val="22"/>
        </w:rPr>
        <w:t xml:space="preserve">Volberg, R., Gupta, R., Griffiths, M., Ólason, D., &amp; Delfabbro, P. (2010). An international perspective on youth gambling prevalence studies. </w:t>
      </w:r>
      <w:r w:rsidRPr="005C0518">
        <w:rPr>
          <w:rFonts w:asciiTheme="minorHAnsi" w:hAnsiTheme="minorHAnsi" w:cs="Arial"/>
          <w:i/>
          <w:noProof/>
          <w:szCs w:val="22"/>
        </w:rPr>
        <w:t>International Journal of Adolescent Medicine &amp; Health, 22</w:t>
      </w:r>
      <w:r w:rsidRPr="005C0518">
        <w:rPr>
          <w:rFonts w:asciiTheme="minorHAnsi" w:hAnsiTheme="minorHAnsi" w:cs="Arial"/>
          <w:noProof/>
          <w:szCs w:val="22"/>
        </w:rPr>
        <w:t xml:space="preserve">(1), 3-38. </w:t>
      </w:r>
      <w:bookmarkEnd w:id="258"/>
    </w:p>
    <w:p w14:paraId="73052B92" w14:textId="77777777" w:rsidR="00765F46" w:rsidRPr="005C0518" w:rsidRDefault="00765F46" w:rsidP="00765F46">
      <w:pPr>
        <w:spacing w:line="240" w:lineRule="auto"/>
        <w:ind w:left="720" w:hanging="720"/>
        <w:rPr>
          <w:rFonts w:asciiTheme="minorHAnsi" w:hAnsiTheme="minorHAnsi" w:cs="Arial"/>
          <w:noProof/>
          <w:szCs w:val="22"/>
        </w:rPr>
      </w:pPr>
      <w:bookmarkStart w:id="259" w:name="_ENREF_62"/>
      <w:r w:rsidRPr="005C0518">
        <w:rPr>
          <w:rFonts w:asciiTheme="minorHAnsi" w:hAnsiTheme="minorHAnsi" w:cs="Arial"/>
          <w:noProof/>
          <w:szCs w:val="22"/>
        </w:rPr>
        <w:t xml:space="preserve">Ware, J. E., Kosinki, M., &amp; Keller, S. D. (1996). A 12-Item Short-Form Health Survey: construction of scales and preliminary tests of reliability and validity. </w:t>
      </w:r>
      <w:r w:rsidRPr="005C0518">
        <w:rPr>
          <w:rFonts w:asciiTheme="minorHAnsi" w:hAnsiTheme="minorHAnsi" w:cs="Arial"/>
          <w:i/>
          <w:noProof/>
          <w:szCs w:val="22"/>
        </w:rPr>
        <w:t>Medical Care, 34</w:t>
      </w:r>
      <w:r w:rsidRPr="005C0518">
        <w:rPr>
          <w:rFonts w:asciiTheme="minorHAnsi" w:hAnsiTheme="minorHAnsi" w:cs="Arial"/>
          <w:noProof/>
          <w:szCs w:val="22"/>
        </w:rPr>
        <w:t xml:space="preserve">, 220-233. </w:t>
      </w:r>
      <w:bookmarkEnd w:id="259"/>
    </w:p>
    <w:p w14:paraId="289D7614" w14:textId="77777777" w:rsidR="00765F46" w:rsidRPr="005C0518" w:rsidRDefault="00765F46" w:rsidP="00765F46">
      <w:pPr>
        <w:spacing w:line="240" w:lineRule="auto"/>
        <w:ind w:left="720" w:hanging="720"/>
        <w:rPr>
          <w:rFonts w:asciiTheme="minorHAnsi" w:hAnsiTheme="minorHAnsi" w:cs="Arial"/>
          <w:noProof/>
          <w:szCs w:val="22"/>
        </w:rPr>
      </w:pPr>
      <w:bookmarkStart w:id="260" w:name="_ENREF_63"/>
      <w:r w:rsidRPr="005C0518">
        <w:rPr>
          <w:rFonts w:asciiTheme="minorHAnsi" w:hAnsiTheme="minorHAnsi" w:cs="Arial"/>
          <w:noProof/>
          <w:szCs w:val="22"/>
        </w:rPr>
        <w:t xml:space="preserve">Ware, J. E., Kosinki, M., Turner-Bowker, D. M., &amp; Gandek, B. (2002). </w:t>
      </w:r>
      <w:r w:rsidRPr="005C0518">
        <w:rPr>
          <w:rFonts w:asciiTheme="minorHAnsi" w:hAnsiTheme="minorHAnsi" w:cs="Arial"/>
          <w:i/>
          <w:noProof/>
          <w:szCs w:val="22"/>
        </w:rPr>
        <w:t>How to score Version 2 of the SF-12 Health Survey (With a Supplement Documenting Version 1)</w:t>
      </w:r>
      <w:r w:rsidRPr="005C0518">
        <w:rPr>
          <w:rFonts w:asciiTheme="minorHAnsi" w:hAnsiTheme="minorHAnsi" w:cs="Arial"/>
          <w:noProof/>
          <w:szCs w:val="22"/>
        </w:rPr>
        <w:t>. Lincoln, RI: QualityMetric Incorporated.</w:t>
      </w:r>
      <w:bookmarkEnd w:id="260"/>
    </w:p>
    <w:p w14:paraId="56BF084F" w14:textId="77777777" w:rsidR="00765F46" w:rsidRPr="005C0518" w:rsidRDefault="00765F46" w:rsidP="00765F46">
      <w:pPr>
        <w:spacing w:line="240" w:lineRule="auto"/>
        <w:ind w:left="720" w:hanging="720"/>
        <w:rPr>
          <w:rFonts w:asciiTheme="minorHAnsi" w:hAnsiTheme="minorHAnsi" w:cs="Arial"/>
          <w:noProof/>
          <w:szCs w:val="22"/>
        </w:rPr>
      </w:pPr>
      <w:bookmarkStart w:id="261" w:name="_ENREF_64"/>
      <w:r w:rsidRPr="005C0518">
        <w:rPr>
          <w:rFonts w:asciiTheme="minorHAnsi" w:hAnsiTheme="minorHAnsi" w:cs="Arial"/>
          <w:noProof/>
          <w:szCs w:val="22"/>
        </w:rPr>
        <w:t xml:space="preserve">Williams, R. J., &amp; Volberg, R. A. (2010). </w:t>
      </w:r>
      <w:r w:rsidRPr="005C0518">
        <w:rPr>
          <w:rFonts w:asciiTheme="minorHAnsi" w:hAnsiTheme="minorHAnsi" w:cs="Arial"/>
          <w:i/>
          <w:noProof/>
          <w:szCs w:val="22"/>
        </w:rPr>
        <w:t>Best Practices in the Population Assessment of Problem Gambling</w:t>
      </w:r>
      <w:r w:rsidRPr="005C0518">
        <w:rPr>
          <w:rFonts w:asciiTheme="minorHAnsi" w:hAnsiTheme="minorHAnsi" w:cs="Arial"/>
          <w:noProof/>
          <w:szCs w:val="22"/>
        </w:rPr>
        <w:t>. Report prepared for the Ontario Problem Gambling Research Centre: Guelph, Ontario, CANADA. March 31, 2010.</w:t>
      </w:r>
      <w:bookmarkEnd w:id="261"/>
    </w:p>
    <w:p w14:paraId="3AB9F0D2" w14:textId="77777777" w:rsidR="00765F46" w:rsidRPr="005C0518" w:rsidRDefault="00765F46" w:rsidP="00765F46">
      <w:pPr>
        <w:spacing w:line="240" w:lineRule="auto"/>
        <w:ind w:left="720" w:hanging="720"/>
        <w:rPr>
          <w:rFonts w:asciiTheme="minorHAnsi" w:hAnsiTheme="minorHAnsi" w:cs="Arial"/>
          <w:noProof/>
          <w:szCs w:val="22"/>
        </w:rPr>
      </w:pPr>
      <w:bookmarkStart w:id="262" w:name="_ENREF_65"/>
      <w:r w:rsidRPr="005C0518">
        <w:rPr>
          <w:rFonts w:asciiTheme="minorHAnsi" w:hAnsiTheme="minorHAnsi" w:cs="Arial"/>
          <w:noProof/>
          <w:szCs w:val="22"/>
        </w:rPr>
        <w:t xml:space="preserve">Wong, J., &amp; Tse, S. (2003). The face of Chinese migrants' gambling: A New Zealand perspective. </w:t>
      </w:r>
      <w:r w:rsidRPr="005C0518">
        <w:rPr>
          <w:rFonts w:asciiTheme="minorHAnsi" w:hAnsiTheme="minorHAnsi" w:cs="Arial"/>
          <w:i/>
          <w:noProof/>
          <w:szCs w:val="22"/>
        </w:rPr>
        <w:t xml:space="preserve">Electronic Journal of Gambling Issues: eGambling, </w:t>
      </w:r>
      <w:r w:rsidRPr="005C0518">
        <w:rPr>
          <w:rFonts w:asciiTheme="minorHAnsi" w:hAnsiTheme="minorHAnsi" w:cs="Arial"/>
          <w:noProof/>
          <w:szCs w:val="22"/>
        </w:rPr>
        <w:t xml:space="preserve">(9). </w:t>
      </w:r>
      <w:bookmarkEnd w:id="262"/>
    </w:p>
    <w:p w14:paraId="636BCB49" w14:textId="32FB24BD" w:rsidR="00765F46" w:rsidRPr="005C0518" w:rsidRDefault="00765F46" w:rsidP="00765F46">
      <w:pPr>
        <w:spacing w:line="240" w:lineRule="auto"/>
        <w:ind w:left="720" w:hanging="720"/>
        <w:rPr>
          <w:rFonts w:asciiTheme="minorHAnsi" w:hAnsiTheme="minorHAnsi" w:cs="Arial"/>
          <w:noProof/>
          <w:szCs w:val="22"/>
        </w:rPr>
      </w:pPr>
      <w:bookmarkStart w:id="263" w:name="_ENREF_66"/>
      <w:r w:rsidRPr="005C0518">
        <w:rPr>
          <w:rFonts w:asciiTheme="minorHAnsi" w:hAnsiTheme="minorHAnsi" w:cs="Arial"/>
          <w:noProof/>
          <w:szCs w:val="22"/>
        </w:rPr>
        <w:t xml:space="preserve">World Health Organisation. (2014). What do we mean by "sex" and "gender"? Retrieved 10 October, 2014, from </w:t>
      </w:r>
      <w:hyperlink r:id="rId65" w:history="1">
        <w:r w:rsidRPr="005C0518">
          <w:rPr>
            <w:rStyle w:val="Hyperlink"/>
            <w:rFonts w:asciiTheme="minorHAnsi" w:hAnsiTheme="minorHAnsi" w:cs="Arial"/>
            <w:noProof/>
            <w:szCs w:val="22"/>
          </w:rPr>
          <w:t>http://www.who.int/gender/whatisgender/en/</w:t>
        </w:r>
        <w:bookmarkEnd w:id="263"/>
      </w:hyperlink>
    </w:p>
    <w:p w14:paraId="53FB30EB" w14:textId="0198F140" w:rsidR="00765F46" w:rsidRDefault="00765F46" w:rsidP="00765F46">
      <w:pPr>
        <w:spacing w:line="240" w:lineRule="auto"/>
        <w:rPr>
          <w:rFonts w:cs="Arial"/>
          <w:noProof/>
          <w:szCs w:val="22"/>
        </w:rPr>
      </w:pPr>
    </w:p>
    <w:p w14:paraId="1B996F94" w14:textId="79E4A782" w:rsidR="00110EBD" w:rsidRPr="00AF3A24" w:rsidRDefault="00E40C73" w:rsidP="00FA52FA">
      <w:pPr>
        <w:spacing w:line="240" w:lineRule="auto"/>
        <w:ind w:left="720" w:hanging="720"/>
        <w:rPr>
          <w:rFonts w:asciiTheme="minorHAnsi" w:hAnsiTheme="minorHAnsi" w:cstheme="minorHAnsi"/>
          <w:lang w:val="en-GB"/>
        </w:rPr>
      </w:pPr>
      <w:r w:rsidRPr="00FA52FA">
        <w:rPr>
          <w:rFonts w:asciiTheme="minorHAnsi" w:hAnsiTheme="minorHAnsi" w:cstheme="minorHAnsi"/>
          <w:szCs w:val="22"/>
        </w:rPr>
        <w:fldChar w:fldCharType="end"/>
      </w:r>
    </w:p>
    <w:p w14:paraId="685A3E0E" w14:textId="77777777" w:rsidR="00043311" w:rsidRPr="00AF3A24" w:rsidRDefault="00043311" w:rsidP="00697C63">
      <w:pPr>
        <w:pStyle w:val="Heading1"/>
        <w:numPr>
          <w:ilvl w:val="0"/>
          <w:numId w:val="0"/>
        </w:numPr>
        <w:spacing w:line="240" w:lineRule="auto"/>
        <w:jc w:val="left"/>
        <w:rPr>
          <w:rFonts w:asciiTheme="minorHAnsi" w:hAnsiTheme="minorHAnsi" w:cstheme="minorHAnsi"/>
          <w:i/>
          <w:szCs w:val="22"/>
        </w:rPr>
      </w:pPr>
      <w:bookmarkStart w:id="264" w:name="_Ref292810564"/>
      <w:bookmarkStart w:id="265" w:name="_Toc294258212"/>
      <w:bookmarkStart w:id="266" w:name="_Toc367284473"/>
      <w:bookmarkStart w:id="267" w:name="_Toc403833210"/>
      <w:bookmarkStart w:id="268" w:name="_Ref219710649"/>
      <w:bookmarkStart w:id="269" w:name="_Ref292443801"/>
      <w:bookmarkEnd w:id="1"/>
      <w:bookmarkEnd w:id="2"/>
      <w:bookmarkEnd w:id="3"/>
      <w:bookmarkEnd w:id="4"/>
      <w:bookmarkEnd w:id="69"/>
      <w:bookmarkEnd w:id="70"/>
      <w:r w:rsidRPr="00AF3A24">
        <w:rPr>
          <w:rFonts w:asciiTheme="minorHAnsi" w:hAnsiTheme="minorHAnsi" w:cstheme="minorHAnsi"/>
          <w:caps w:val="0"/>
          <w:szCs w:val="22"/>
        </w:rPr>
        <w:lastRenderedPageBreak/>
        <w:t>APPENDI</w:t>
      </w:r>
      <w:bookmarkEnd w:id="264"/>
      <w:bookmarkEnd w:id="265"/>
      <w:r w:rsidRPr="00AF3A24">
        <w:rPr>
          <w:rFonts w:asciiTheme="minorHAnsi" w:hAnsiTheme="minorHAnsi" w:cstheme="minorHAnsi"/>
          <w:caps w:val="0"/>
          <w:szCs w:val="22"/>
        </w:rPr>
        <w:t>CES</w:t>
      </w:r>
      <w:bookmarkEnd w:id="266"/>
      <w:bookmarkEnd w:id="267"/>
    </w:p>
    <w:p w14:paraId="690B8F40" w14:textId="77777777" w:rsidR="003A39BC" w:rsidRPr="00AF3A24" w:rsidRDefault="003A39BC">
      <w:pPr>
        <w:spacing w:before="0" w:after="200" w:line="276" w:lineRule="auto"/>
        <w:jc w:val="left"/>
        <w:rPr>
          <w:rFonts w:asciiTheme="minorHAnsi" w:hAnsiTheme="minorHAnsi" w:cstheme="minorHAnsi"/>
          <w:b/>
          <w:bCs/>
          <w:iCs/>
          <w:color w:val="1F497D"/>
        </w:rPr>
      </w:pPr>
      <w:bookmarkStart w:id="270" w:name="_Ref349741237"/>
      <w:bookmarkStart w:id="271" w:name="_Toc367284474"/>
      <w:r w:rsidRPr="00AF3A24">
        <w:rPr>
          <w:rFonts w:asciiTheme="minorHAnsi" w:hAnsiTheme="minorHAnsi"/>
        </w:rPr>
        <w:br w:type="page"/>
      </w:r>
    </w:p>
    <w:p w14:paraId="7B83873A" w14:textId="77777777" w:rsidR="003A39BC" w:rsidRPr="00FB0B7B" w:rsidRDefault="003A39BC" w:rsidP="008F7A58">
      <w:pPr>
        <w:pStyle w:val="FionasAppendixtitles"/>
        <w:ind w:left="1134"/>
      </w:pPr>
      <w:bookmarkStart w:id="272" w:name="_Toc403833211"/>
      <w:r w:rsidRPr="00FB0B7B">
        <w:lastRenderedPageBreak/>
        <w:t>Overview of NZHS 2011/12 gambling questions</w:t>
      </w:r>
      <w:bookmarkEnd w:id="270"/>
      <w:bookmarkEnd w:id="271"/>
      <w:bookmarkEnd w:id="272"/>
      <w:r w:rsidRPr="00FB0B7B">
        <w:t xml:space="preserve"> </w:t>
      </w:r>
    </w:p>
    <w:tbl>
      <w:tblPr>
        <w:tblStyle w:val="TableGrid"/>
        <w:tblW w:w="10576" w:type="dxa"/>
        <w:jc w:val="center"/>
        <w:tblLayout w:type="fixed"/>
        <w:tblLook w:val="04A0" w:firstRow="1" w:lastRow="0" w:firstColumn="1" w:lastColumn="0" w:noHBand="0" w:noVBand="1"/>
      </w:tblPr>
      <w:tblGrid>
        <w:gridCol w:w="981"/>
        <w:gridCol w:w="4470"/>
        <w:gridCol w:w="4110"/>
        <w:gridCol w:w="1015"/>
      </w:tblGrid>
      <w:tr w:rsidR="00E30F3C" w:rsidRPr="00630DAD" w14:paraId="2710AF62" w14:textId="77777777" w:rsidTr="00A0693D">
        <w:trPr>
          <w:trHeight w:val="445"/>
          <w:jc w:val="center"/>
        </w:trPr>
        <w:tc>
          <w:tcPr>
            <w:tcW w:w="981" w:type="dxa"/>
            <w:shd w:val="clear" w:color="auto" w:fill="92CDDC" w:themeFill="accent5" w:themeFillTint="99"/>
          </w:tcPr>
          <w:p w14:paraId="7FE7BB5F" w14:textId="77777777" w:rsidR="00E30F3C" w:rsidRPr="00630DAD" w:rsidRDefault="00E30F3C" w:rsidP="00A0693D">
            <w:pPr>
              <w:spacing w:before="0" w:line="240" w:lineRule="auto"/>
              <w:jc w:val="center"/>
              <w:rPr>
                <w:rFonts w:asciiTheme="minorHAnsi" w:hAnsiTheme="minorHAnsi" w:cstheme="minorHAnsi"/>
                <w:b/>
                <w:sz w:val="18"/>
                <w:szCs w:val="18"/>
              </w:rPr>
            </w:pPr>
            <w:r w:rsidRPr="00630DAD">
              <w:rPr>
                <w:rFonts w:asciiTheme="minorHAnsi" w:hAnsiTheme="minorHAnsi" w:cstheme="minorHAnsi"/>
                <w:b/>
                <w:sz w:val="18"/>
                <w:szCs w:val="18"/>
              </w:rPr>
              <w:t>VARIABLE NAME</w:t>
            </w:r>
          </w:p>
        </w:tc>
        <w:tc>
          <w:tcPr>
            <w:tcW w:w="4470" w:type="dxa"/>
            <w:shd w:val="clear" w:color="auto" w:fill="92CDDC" w:themeFill="accent5" w:themeFillTint="99"/>
          </w:tcPr>
          <w:p w14:paraId="780C1CBA" w14:textId="77777777" w:rsidR="00E30F3C" w:rsidRPr="00630DAD" w:rsidRDefault="00E30F3C" w:rsidP="00A0693D">
            <w:pPr>
              <w:spacing w:before="0" w:line="240" w:lineRule="auto"/>
              <w:jc w:val="left"/>
              <w:rPr>
                <w:rFonts w:asciiTheme="minorHAnsi" w:hAnsiTheme="minorHAnsi" w:cstheme="minorHAnsi"/>
                <w:b/>
                <w:sz w:val="18"/>
                <w:szCs w:val="18"/>
              </w:rPr>
            </w:pPr>
            <w:r w:rsidRPr="00630DAD">
              <w:rPr>
                <w:rFonts w:asciiTheme="minorHAnsi" w:hAnsiTheme="minorHAnsi" w:cstheme="minorHAnsi"/>
                <w:b/>
                <w:sz w:val="18"/>
                <w:szCs w:val="18"/>
              </w:rPr>
              <w:t>QUESTION</w:t>
            </w:r>
          </w:p>
        </w:tc>
        <w:tc>
          <w:tcPr>
            <w:tcW w:w="4110" w:type="dxa"/>
            <w:shd w:val="clear" w:color="auto" w:fill="92CDDC" w:themeFill="accent5" w:themeFillTint="99"/>
          </w:tcPr>
          <w:p w14:paraId="03B6F719" w14:textId="77777777" w:rsidR="00E30F3C" w:rsidRPr="00630DAD" w:rsidRDefault="00E30F3C" w:rsidP="00A0693D">
            <w:pPr>
              <w:spacing w:before="0" w:line="240" w:lineRule="auto"/>
              <w:jc w:val="left"/>
              <w:rPr>
                <w:rFonts w:asciiTheme="minorHAnsi" w:hAnsiTheme="minorHAnsi" w:cstheme="minorHAnsi"/>
                <w:b/>
                <w:sz w:val="18"/>
                <w:szCs w:val="18"/>
              </w:rPr>
            </w:pPr>
            <w:r w:rsidRPr="00630DAD">
              <w:rPr>
                <w:rFonts w:asciiTheme="minorHAnsi" w:hAnsiTheme="minorHAnsi" w:cstheme="minorHAnsi"/>
                <w:b/>
                <w:sz w:val="18"/>
                <w:szCs w:val="18"/>
              </w:rPr>
              <w:t>RESPONSE OPTIONS</w:t>
            </w:r>
          </w:p>
        </w:tc>
        <w:tc>
          <w:tcPr>
            <w:tcW w:w="1015" w:type="dxa"/>
            <w:shd w:val="clear" w:color="auto" w:fill="92CDDC" w:themeFill="accent5" w:themeFillTint="99"/>
          </w:tcPr>
          <w:p w14:paraId="1D32205F" w14:textId="77777777" w:rsidR="00E30F3C" w:rsidRPr="00630DAD" w:rsidRDefault="00E30F3C" w:rsidP="00A0693D">
            <w:pPr>
              <w:spacing w:before="0" w:line="240" w:lineRule="auto"/>
              <w:jc w:val="left"/>
              <w:rPr>
                <w:rFonts w:asciiTheme="minorHAnsi" w:hAnsiTheme="minorHAnsi" w:cstheme="minorHAnsi"/>
                <w:b/>
                <w:sz w:val="18"/>
                <w:szCs w:val="18"/>
              </w:rPr>
            </w:pPr>
            <w:r w:rsidRPr="00630DAD">
              <w:rPr>
                <w:rFonts w:asciiTheme="minorHAnsi" w:hAnsiTheme="minorHAnsi" w:cstheme="minorHAnsi"/>
                <w:b/>
                <w:sz w:val="18"/>
                <w:szCs w:val="18"/>
              </w:rPr>
              <w:t>MULTIPLE / SINGLE RESPONSE</w:t>
            </w:r>
          </w:p>
        </w:tc>
      </w:tr>
      <w:tr w:rsidR="00E30F3C" w:rsidRPr="00630DAD" w14:paraId="1825B3B5" w14:textId="77777777" w:rsidTr="00A0693D">
        <w:trPr>
          <w:trHeight w:val="342"/>
          <w:jc w:val="center"/>
        </w:trPr>
        <w:tc>
          <w:tcPr>
            <w:tcW w:w="10576" w:type="dxa"/>
            <w:gridSpan w:val="4"/>
            <w:tcBorders>
              <w:top w:val="single" w:sz="4" w:space="0" w:color="auto"/>
              <w:bottom w:val="single" w:sz="4" w:space="0" w:color="auto"/>
            </w:tcBorders>
            <w:shd w:val="clear" w:color="auto" w:fill="DAEEF3" w:themeFill="accent5" w:themeFillTint="33"/>
            <w:vAlign w:val="center"/>
          </w:tcPr>
          <w:p w14:paraId="46251865" w14:textId="77777777" w:rsidR="00E30F3C" w:rsidRPr="00630DAD" w:rsidRDefault="00E30F3C" w:rsidP="00DC5689">
            <w:pPr>
              <w:spacing w:before="0" w:line="240" w:lineRule="auto"/>
              <w:jc w:val="left"/>
              <w:rPr>
                <w:rFonts w:asciiTheme="minorHAnsi" w:hAnsiTheme="minorHAnsi" w:cstheme="minorHAnsi"/>
                <w:b/>
                <w:i/>
                <w:sz w:val="18"/>
                <w:szCs w:val="18"/>
              </w:rPr>
            </w:pPr>
            <w:r w:rsidRPr="00630DAD">
              <w:rPr>
                <w:rFonts w:asciiTheme="minorHAnsi" w:hAnsiTheme="minorHAnsi" w:cstheme="minorHAnsi"/>
                <w:b/>
                <w:i/>
                <w:sz w:val="18"/>
                <w:szCs w:val="18"/>
              </w:rPr>
              <w:t xml:space="preserve">I will now ask you some questions about gambling.  Most New Zealanders enjoy gambling.  However, sometimes it can affect our health. </w:t>
            </w:r>
          </w:p>
        </w:tc>
      </w:tr>
      <w:tr w:rsidR="00E30F3C" w:rsidRPr="00630DAD" w14:paraId="006C767F"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796BF87F"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Q3_37</w:t>
            </w:r>
          </w:p>
        </w:tc>
        <w:tc>
          <w:tcPr>
            <w:tcW w:w="4470" w:type="dxa"/>
            <w:tcBorders>
              <w:top w:val="single" w:sz="4" w:space="0" w:color="auto"/>
              <w:bottom w:val="single" w:sz="4" w:space="0" w:color="auto"/>
            </w:tcBorders>
            <w:shd w:val="clear" w:color="auto" w:fill="DAEEF3" w:themeFill="accent5" w:themeFillTint="33"/>
          </w:tcPr>
          <w:p w14:paraId="3E2926DC" w14:textId="77777777" w:rsidR="00E30F3C" w:rsidRPr="00630DAD" w:rsidRDefault="00E30F3C"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Could you please tell me which gambling activities you have taken part in over the last 12 months?</w:t>
            </w:r>
          </w:p>
          <w:p w14:paraId="4BC4902D"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Lotto (including Strike, Powerball and Big Wednesday)</w:t>
            </w:r>
          </w:p>
          <w:p w14:paraId="4EDBE869"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Keno (not in a casino)</w:t>
            </w:r>
          </w:p>
          <w:p w14:paraId="656FEAB8"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Instant Kiwi or other Scratch ticket</w:t>
            </w:r>
          </w:p>
          <w:p w14:paraId="118C883D"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Housie (bingo) for money</w:t>
            </w:r>
          </w:p>
          <w:p w14:paraId="57533525"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Horse or dog racing through NZ TAB (excluding office sweepstakes)</w:t>
            </w:r>
          </w:p>
          <w:p w14:paraId="2E2AB3FE"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Sports betting through NZ TAB</w:t>
            </w:r>
          </w:p>
          <w:p w14:paraId="3747F22A"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Gaming machines or pokies at a casino</w:t>
            </w:r>
          </w:p>
          <w:p w14:paraId="5E21F565"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Table games or any other games at a casino</w:t>
            </w:r>
          </w:p>
          <w:p w14:paraId="57D0101D"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Gaming machines or pokies in a pub or club (not in a casino)</w:t>
            </w:r>
          </w:p>
          <w:p w14:paraId="6406FC01"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 xml:space="preserve">Paying to gamble on overseas websites (not </w:t>
            </w:r>
            <w:proofErr w:type="spellStart"/>
            <w:r w:rsidRPr="00630DAD">
              <w:rPr>
                <w:rFonts w:asciiTheme="minorHAnsi" w:hAnsiTheme="minorHAnsi" w:cstheme="minorHAnsi"/>
                <w:sz w:val="18"/>
                <w:szCs w:val="18"/>
              </w:rPr>
              <w:t>MyLotto</w:t>
            </w:r>
            <w:proofErr w:type="spellEnd"/>
            <w:r w:rsidRPr="00630DAD">
              <w:rPr>
                <w:rFonts w:asciiTheme="minorHAnsi" w:hAnsiTheme="minorHAnsi" w:cstheme="minorHAnsi"/>
                <w:sz w:val="18"/>
                <w:szCs w:val="18"/>
              </w:rPr>
              <w:t xml:space="preserve"> or NZ TAB)</w:t>
            </w:r>
          </w:p>
          <w:p w14:paraId="7AFE9989"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Other gambling activity</w:t>
            </w:r>
          </w:p>
          <w:p w14:paraId="1455218C" w14:textId="77777777" w:rsidR="00E30F3C" w:rsidRPr="00630DAD" w:rsidRDefault="00E30F3C" w:rsidP="00DC5689">
            <w:pPr>
              <w:pStyle w:val="ListParagraph"/>
              <w:numPr>
                <w:ilvl w:val="0"/>
                <w:numId w:val="9"/>
              </w:numPr>
              <w:spacing w:line="240" w:lineRule="auto"/>
              <w:ind w:left="317" w:hanging="141"/>
              <w:jc w:val="left"/>
              <w:rPr>
                <w:rFonts w:asciiTheme="minorHAnsi" w:hAnsiTheme="minorHAnsi" w:cstheme="minorHAnsi"/>
                <w:sz w:val="18"/>
                <w:szCs w:val="18"/>
              </w:rPr>
            </w:pPr>
            <w:r w:rsidRPr="00630DAD">
              <w:rPr>
                <w:rFonts w:asciiTheme="minorHAnsi" w:hAnsiTheme="minorHAnsi" w:cstheme="minorHAnsi"/>
                <w:sz w:val="18"/>
                <w:szCs w:val="18"/>
              </w:rPr>
              <w:t>None of the above</w:t>
            </w:r>
          </w:p>
        </w:tc>
        <w:tc>
          <w:tcPr>
            <w:tcW w:w="4110" w:type="dxa"/>
            <w:tcBorders>
              <w:top w:val="single" w:sz="4" w:space="0" w:color="auto"/>
              <w:bottom w:val="single" w:sz="4" w:space="0" w:color="auto"/>
            </w:tcBorders>
            <w:shd w:val="clear" w:color="auto" w:fill="DAEEF3" w:themeFill="accent5" w:themeFillTint="33"/>
          </w:tcPr>
          <w:p w14:paraId="20F4A63E"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Yes</w:t>
            </w:r>
          </w:p>
          <w:p w14:paraId="649A5CB5"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No</w:t>
            </w:r>
          </w:p>
        </w:tc>
        <w:tc>
          <w:tcPr>
            <w:tcW w:w="1015" w:type="dxa"/>
            <w:tcBorders>
              <w:top w:val="single" w:sz="4" w:space="0" w:color="auto"/>
              <w:bottom w:val="single" w:sz="4" w:space="0" w:color="auto"/>
            </w:tcBorders>
            <w:shd w:val="clear" w:color="auto" w:fill="DAEEF3" w:themeFill="accent5" w:themeFillTint="33"/>
          </w:tcPr>
          <w:p w14:paraId="10E370D6"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Multiple</w:t>
            </w:r>
          </w:p>
        </w:tc>
      </w:tr>
      <w:tr w:rsidR="00E30F3C" w:rsidRPr="00630DAD" w14:paraId="2A2FB752"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5C0A94D1" w14:textId="77777777" w:rsidR="00E30F3C" w:rsidRPr="00630DAD" w:rsidRDefault="00E30F3C" w:rsidP="00E30F3C">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Q3_37_B</w:t>
            </w:r>
          </w:p>
        </w:tc>
        <w:tc>
          <w:tcPr>
            <w:tcW w:w="4470" w:type="dxa"/>
            <w:tcBorders>
              <w:top w:val="single" w:sz="4" w:space="0" w:color="auto"/>
              <w:bottom w:val="single" w:sz="4" w:space="0" w:color="auto"/>
            </w:tcBorders>
            <w:shd w:val="clear" w:color="auto" w:fill="DAEEF3" w:themeFill="accent5" w:themeFillTint="33"/>
          </w:tcPr>
          <w:p w14:paraId="1CFBF5FD" w14:textId="77777777" w:rsidR="00E30F3C" w:rsidRPr="00630DAD" w:rsidRDefault="00E30F3C" w:rsidP="00A0693D">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Which of those gambling activities do you most prefer?</w:t>
            </w:r>
            <w:r w:rsidR="00A0693D" w:rsidRPr="00630DAD">
              <w:rPr>
                <w:rFonts w:asciiTheme="minorHAnsi" w:hAnsiTheme="minorHAnsi" w:cstheme="minorHAnsi"/>
                <w:sz w:val="18"/>
                <w:szCs w:val="18"/>
              </w:rPr>
              <w:t xml:space="preserve"> </w:t>
            </w:r>
          </w:p>
        </w:tc>
        <w:tc>
          <w:tcPr>
            <w:tcW w:w="4110" w:type="dxa"/>
            <w:tcBorders>
              <w:top w:val="single" w:sz="4" w:space="0" w:color="auto"/>
              <w:bottom w:val="single" w:sz="4" w:space="0" w:color="auto"/>
            </w:tcBorders>
            <w:shd w:val="clear" w:color="auto" w:fill="DAEEF3" w:themeFill="accent5" w:themeFillTint="33"/>
          </w:tcPr>
          <w:p w14:paraId="0918A49C"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Lotto (including Strike, Powerball and Big Wednesday)</w:t>
            </w:r>
          </w:p>
          <w:p w14:paraId="116FA2E8"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Keno (not in a casino)</w:t>
            </w:r>
          </w:p>
          <w:p w14:paraId="02C95489"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Instant Kiwi or other Scratch ticket</w:t>
            </w:r>
          </w:p>
          <w:p w14:paraId="00BCAC5E"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Housie (bingo) for money</w:t>
            </w:r>
          </w:p>
          <w:p w14:paraId="612D4626"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Horse or dog racing through NZ TAB (excluding office sweepstakes)</w:t>
            </w:r>
          </w:p>
          <w:p w14:paraId="20E912E4"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Sports betting through NZ TAB</w:t>
            </w:r>
          </w:p>
          <w:p w14:paraId="28867B90"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Gaming machines or pokies at a casino</w:t>
            </w:r>
          </w:p>
          <w:p w14:paraId="4A3F08C5"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Table games or any other games at a casino</w:t>
            </w:r>
          </w:p>
          <w:p w14:paraId="6F405604"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Gaming machines or pokies in a pub or club (not in a casino)</w:t>
            </w:r>
          </w:p>
          <w:p w14:paraId="1230B93D"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 xml:space="preserve">Paying to gamble on overseas websites (not </w:t>
            </w:r>
            <w:proofErr w:type="spellStart"/>
            <w:r w:rsidRPr="00630DAD">
              <w:rPr>
                <w:rFonts w:asciiTheme="minorHAnsi" w:hAnsiTheme="minorHAnsi" w:cstheme="minorHAnsi"/>
                <w:sz w:val="18"/>
                <w:szCs w:val="18"/>
              </w:rPr>
              <w:t>MyLotto</w:t>
            </w:r>
            <w:proofErr w:type="spellEnd"/>
            <w:r w:rsidRPr="00630DAD">
              <w:rPr>
                <w:rFonts w:asciiTheme="minorHAnsi" w:hAnsiTheme="minorHAnsi" w:cstheme="minorHAnsi"/>
                <w:sz w:val="18"/>
                <w:szCs w:val="18"/>
              </w:rPr>
              <w:t xml:space="preserve"> or NZ TAB)</w:t>
            </w:r>
          </w:p>
          <w:p w14:paraId="723F0E48" w14:textId="77777777" w:rsidR="00A0693D"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Other gambling activity</w:t>
            </w:r>
          </w:p>
          <w:p w14:paraId="7813D80A" w14:textId="77777777" w:rsidR="00E30F3C" w:rsidRPr="00630DAD" w:rsidRDefault="00A0693D" w:rsidP="00A0693D">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None of the above</w:t>
            </w:r>
          </w:p>
        </w:tc>
        <w:tc>
          <w:tcPr>
            <w:tcW w:w="1015" w:type="dxa"/>
            <w:tcBorders>
              <w:top w:val="single" w:sz="4" w:space="0" w:color="auto"/>
              <w:bottom w:val="single" w:sz="4" w:space="0" w:color="auto"/>
            </w:tcBorders>
            <w:shd w:val="clear" w:color="auto" w:fill="DAEEF3" w:themeFill="accent5" w:themeFillTint="33"/>
          </w:tcPr>
          <w:p w14:paraId="2C53E973" w14:textId="77777777" w:rsidR="00E30F3C" w:rsidRPr="00630DAD" w:rsidRDefault="00A0693D"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E30F3C" w:rsidRPr="00630DAD" w14:paraId="0FDC85BE" w14:textId="77777777" w:rsidTr="00A0693D">
        <w:trPr>
          <w:trHeight w:val="315"/>
          <w:jc w:val="center"/>
        </w:trPr>
        <w:tc>
          <w:tcPr>
            <w:tcW w:w="10576" w:type="dxa"/>
            <w:gridSpan w:val="4"/>
            <w:tcBorders>
              <w:top w:val="single" w:sz="4" w:space="0" w:color="auto"/>
              <w:bottom w:val="single" w:sz="4" w:space="0" w:color="auto"/>
            </w:tcBorders>
            <w:shd w:val="clear" w:color="auto" w:fill="DAEEF3" w:themeFill="accent5" w:themeFillTint="33"/>
            <w:vAlign w:val="center"/>
          </w:tcPr>
          <w:p w14:paraId="039896C4" w14:textId="77777777" w:rsidR="00E30F3C" w:rsidRPr="00630DAD" w:rsidRDefault="00E30F3C" w:rsidP="00DC5689">
            <w:pPr>
              <w:spacing w:before="0" w:line="240" w:lineRule="auto"/>
              <w:jc w:val="left"/>
              <w:rPr>
                <w:rFonts w:asciiTheme="minorHAnsi" w:hAnsiTheme="minorHAnsi" w:cstheme="minorHAnsi"/>
                <w:b/>
                <w:i/>
                <w:sz w:val="18"/>
                <w:szCs w:val="18"/>
              </w:rPr>
            </w:pPr>
            <w:r w:rsidRPr="00630DAD">
              <w:rPr>
                <w:rFonts w:asciiTheme="minorHAnsi" w:hAnsiTheme="minorHAnsi" w:cstheme="minorHAnsi"/>
                <w:b/>
                <w:i/>
                <w:sz w:val="18"/>
                <w:szCs w:val="18"/>
              </w:rPr>
              <w:t xml:space="preserve">Some of the next questions may not apply to you, but please try to be as accurate as possible.  </w:t>
            </w:r>
          </w:p>
        </w:tc>
      </w:tr>
      <w:tr w:rsidR="00E30F3C" w:rsidRPr="00630DAD" w14:paraId="7EA3D392"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1A0387C4"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Q3_38</w:t>
            </w:r>
          </w:p>
        </w:tc>
        <w:tc>
          <w:tcPr>
            <w:tcW w:w="4470" w:type="dxa"/>
            <w:tcBorders>
              <w:top w:val="single" w:sz="4" w:space="0" w:color="auto"/>
              <w:bottom w:val="single" w:sz="4" w:space="0" w:color="auto"/>
            </w:tcBorders>
            <w:shd w:val="clear" w:color="auto" w:fill="DAEEF3" w:themeFill="accent5" w:themeFillTint="33"/>
          </w:tcPr>
          <w:p w14:paraId="147C3775" w14:textId="77777777" w:rsidR="00E30F3C" w:rsidRPr="00630DAD" w:rsidRDefault="00E30F3C"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you bet more than you could really afford to lose?</w:t>
            </w:r>
          </w:p>
        </w:tc>
        <w:tc>
          <w:tcPr>
            <w:tcW w:w="4110" w:type="dxa"/>
            <w:tcBorders>
              <w:top w:val="single" w:sz="4" w:space="0" w:color="auto"/>
              <w:bottom w:val="single" w:sz="4" w:space="0" w:color="auto"/>
            </w:tcBorders>
            <w:shd w:val="clear" w:color="auto" w:fill="DAEEF3" w:themeFill="accent5" w:themeFillTint="33"/>
          </w:tcPr>
          <w:p w14:paraId="7C684164"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46A19AE1"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40BF85D3"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0E7DD290"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0C0388CD"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E30F3C" w:rsidRPr="00630DAD" w14:paraId="3AAE75D7"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6DF88398" w14:textId="77777777" w:rsidR="00E30F3C" w:rsidRPr="00630DAD" w:rsidRDefault="00E30F3C" w:rsidP="00E30F3C">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Q3_39</w:t>
            </w:r>
          </w:p>
        </w:tc>
        <w:tc>
          <w:tcPr>
            <w:tcW w:w="4470" w:type="dxa"/>
            <w:tcBorders>
              <w:top w:val="single" w:sz="4" w:space="0" w:color="auto"/>
              <w:bottom w:val="single" w:sz="4" w:space="0" w:color="auto"/>
            </w:tcBorders>
            <w:shd w:val="clear" w:color="auto" w:fill="DAEEF3" w:themeFill="accent5" w:themeFillTint="33"/>
          </w:tcPr>
          <w:p w14:paraId="71DD4C49" w14:textId="77777777" w:rsidR="00E30F3C" w:rsidRPr="00630DAD" w:rsidRDefault="00E30F3C"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have you needed to gamble with larger amounts of money to get the same feeling of excitement?</w:t>
            </w:r>
          </w:p>
        </w:tc>
        <w:tc>
          <w:tcPr>
            <w:tcW w:w="4110" w:type="dxa"/>
            <w:tcBorders>
              <w:top w:val="single" w:sz="4" w:space="0" w:color="auto"/>
              <w:bottom w:val="single" w:sz="4" w:space="0" w:color="auto"/>
            </w:tcBorders>
            <w:shd w:val="clear" w:color="auto" w:fill="DAEEF3" w:themeFill="accent5" w:themeFillTint="33"/>
          </w:tcPr>
          <w:p w14:paraId="51C48647"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7B603213"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346DEC67"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7812FBAA"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0B4D9735" w14:textId="77777777" w:rsidR="00E30F3C" w:rsidRPr="00630DAD" w:rsidRDefault="00E30F3C"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E30F3C" w:rsidRPr="00630DAD" w14:paraId="0EAB63B8"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51EB8BAD"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Q3_40</w:t>
            </w:r>
          </w:p>
        </w:tc>
        <w:tc>
          <w:tcPr>
            <w:tcW w:w="4470" w:type="dxa"/>
            <w:tcBorders>
              <w:top w:val="single" w:sz="4" w:space="0" w:color="auto"/>
              <w:bottom w:val="single" w:sz="4" w:space="0" w:color="auto"/>
            </w:tcBorders>
            <w:shd w:val="clear" w:color="auto" w:fill="DAEEF3" w:themeFill="accent5" w:themeFillTint="33"/>
          </w:tcPr>
          <w:p w14:paraId="545A4C21" w14:textId="77777777" w:rsidR="00E30F3C" w:rsidRPr="00630DAD" w:rsidRDefault="00E30F3C"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you gone back another day to try to win back the money you lost?</w:t>
            </w:r>
          </w:p>
        </w:tc>
        <w:tc>
          <w:tcPr>
            <w:tcW w:w="4110" w:type="dxa"/>
            <w:tcBorders>
              <w:top w:val="single" w:sz="4" w:space="0" w:color="auto"/>
              <w:bottom w:val="single" w:sz="4" w:space="0" w:color="auto"/>
            </w:tcBorders>
            <w:shd w:val="clear" w:color="auto" w:fill="DAEEF3" w:themeFill="accent5" w:themeFillTint="33"/>
          </w:tcPr>
          <w:p w14:paraId="2727777D"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301FC6A9"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4E15097A"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18195D1F"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201632E6" w14:textId="77777777" w:rsidR="00E30F3C" w:rsidRPr="00630DAD" w:rsidRDefault="00E30F3C"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E30F3C" w:rsidRPr="00630DAD" w14:paraId="6B774D31"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601D4C3B" w14:textId="77777777" w:rsidR="00E30F3C" w:rsidRPr="00630DAD" w:rsidRDefault="00E30F3C"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Q3_41</w:t>
            </w:r>
          </w:p>
        </w:tc>
        <w:tc>
          <w:tcPr>
            <w:tcW w:w="4470" w:type="dxa"/>
            <w:tcBorders>
              <w:top w:val="single" w:sz="4" w:space="0" w:color="auto"/>
              <w:bottom w:val="single" w:sz="4" w:space="0" w:color="auto"/>
            </w:tcBorders>
            <w:shd w:val="clear" w:color="auto" w:fill="DAEEF3" w:themeFill="accent5" w:themeFillTint="33"/>
          </w:tcPr>
          <w:p w14:paraId="5F024AB9" w14:textId="77777777" w:rsidR="00E30F3C" w:rsidRPr="00630DAD" w:rsidRDefault="00E30F3C"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you borrowed money or sold anything to get money to gamble?</w:t>
            </w:r>
          </w:p>
        </w:tc>
        <w:tc>
          <w:tcPr>
            <w:tcW w:w="4110" w:type="dxa"/>
            <w:tcBorders>
              <w:top w:val="single" w:sz="4" w:space="0" w:color="auto"/>
              <w:bottom w:val="single" w:sz="4" w:space="0" w:color="auto"/>
            </w:tcBorders>
            <w:shd w:val="clear" w:color="auto" w:fill="DAEEF3" w:themeFill="accent5" w:themeFillTint="33"/>
          </w:tcPr>
          <w:p w14:paraId="75F98C7F"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018FD68E"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0626C727"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18B2D42D" w14:textId="77777777" w:rsidR="00E30F3C" w:rsidRPr="00630DAD" w:rsidRDefault="00E30F3C"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1F827961" w14:textId="77777777" w:rsidR="00E30F3C" w:rsidRPr="00630DAD" w:rsidRDefault="00E30F3C"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17961269"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5AD943BD" w14:textId="77777777" w:rsidR="00DC5689" w:rsidRPr="00630DAD" w:rsidRDefault="00DC5689" w:rsidP="00DC5689">
            <w:pPr>
              <w:rPr>
                <w:sz w:val="18"/>
                <w:szCs w:val="18"/>
              </w:rPr>
            </w:pPr>
            <w:r w:rsidRPr="00630DAD">
              <w:rPr>
                <w:rFonts w:asciiTheme="minorHAnsi" w:hAnsiTheme="minorHAnsi" w:cstheme="minorHAnsi"/>
                <w:sz w:val="18"/>
                <w:szCs w:val="18"/>
              </w:rPr>
              <w:lastRenderedPageBreak/>
              <w:t>Q3_42</w:t>
            </w:r>
          </w:p>
        </w:tc>
        <w:tc>
          <w:tcPr>
            <w:tcW w:w="4470" w:type="dxa"/>
            <w:tcBorders>
              <w:top w:val="single" w:sz="4" w:space="0" w:color="auto"/>
              <w:bottom w:val="single" w:sz="4" w:space="0" w:color="auto"/>
            </w:tcBorders>
            <w:shd w:val="clear" w:color="auto" w:fill="DAEEF3" w:themeFill="accent5" w:themeFillTint="33"/>
          </w:tcPr>
          <w:p w14:paraId="5C089C13"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you felt that you might have a problem with gambling?</w:t>
            </w:r>
          </w:p>
        </w:tc>
        <w:tc>
          <w:tcPr>
            <w:tcW w:w="4110" w:type="dxa"/>
            <w:tcBorders>
              <w:top w:val="single" w:sz="4" w:space="0" w:color="auto"/>
              <w:bottom w:val="single" w:sz="4" w:space="0" w:color="auto"/>
            </w:tcBorders>
            <w:shd w:val="clear" w:color="auto" w:fill="DAEEF3" w:themeFill="accent5" w:themeFillTint="33"/>
          </w:tcPr>
          <w:p w14:paraId="51586CC1"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4850F883"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655A8F9B"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5E441B3A"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75D56BD0" w14:textId="77777777" w:rsidR="00DC5689" w:rsidRPr="00630DAD" w:rsidRDefault="00DC5689"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60C775BB"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734D05C1" w14:textId="77777777" w:rsidR="00DC5689" w:rsidRPr="00630DAD" w:rsidRDefault="00DC5689">
            <w:pPr>
              <w:rPr>
                <w:sz w:val="18"/>
                <w:szCs w:val="18"/>
              </w:rPr>
            </w:pPr>
            <w:r w:rsidRPr="00630DAD">
              <w:rPr>
                <w:rFonts w:asciiTheme="minorHAnsi" w:hAnsiTheme="minorHAnsi" w:cstheme="minorHAnsi"/>
                <w:sz w:val="18"/>
                <w:szCs w:val="18"/>
              </w:rPr>
              <w:t>Q3_43</w:t>
            </w:r>
          </w:p>
        </w:tc>
        <w:tc>
          <w:tcPr>
            <w:tcW w:w="4470" w:type="dxa"/>
            <w:tcBorders>
              <w:top w:val="single" w:sz="4" w:space="0" w:color="auto"/>
              <w:bottom w:val="single" w:sz="4" w:space="0" w:color="auto"/>
            </w:tcBorders>
            <w:shd w:val="clear" w:color="auto" w:fill="DAEEF3" w:themeFill="accent5" w:themeFillTint="33"/>
          </w:tcPr>
          <w:p w14:paraId="6CE2C57B"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people criticised your betting or told you that you had a gambling problem, regardless of whether or not you thought it was true?</w:t>
            </w:r>
          </w:p>
        </w:tc>
        <w:tc>
          <w:tcPr>
            <w:tcW w:w="4110" w:type="dxa"/>
            <w:tcBorders>
              <w:top w:val="single" w:sz="4" w:space="0" w:color="auto"/>
              <w:bottom w:val="single" w:sz="4" w:space="0" w:color="auto"/>
            </w:tcBorders>
            <w:shd w:val="clear" w:color="auto" w:fill="DAEEF3" w:themeFill="accent5" w:themeFillTint="33"/>
          </w:tcPr>
          <w:p w14:paraId="52BEF000"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020A14A2"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57C63C27"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6AFE91F0"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43319900" w14:textId="77777777" w:rsidR="00DC5689" w:rsidRPr="00630DAD" w:rsidRDefault="00DC5689"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641E770A"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5EFC73E1" w14:textId="77777777" w:rsidR="00DC5689" w:rsidRPr="00630DAD" w:rsidRDefault="00DC5689">
            <w:pPr>
              <w:rPr>
                <w:sz w:val="18"/>
                <w:szCs w:val="18"/>
              </w:rPr>
            </w:pPr>
            <w:r w:rsidRPr="00630DAD">
              <w:rPr>
                <w:rFonts w:asciiTheme="minorHAnsi" w:hAnsiTheme="minorHAnsi" w:cstheme="minorHAnsi"/>
                <w:sz w:val="18"/>
                <w:szCs w:val="18"/>
              </w:rPr>
              <w:t>Q3_44</w:t>
            </w:r>
          </w:p>
        </w:tc>
        <w:tc>
          <w:tcPr>
            <w:tcW w:w="4470" w:type="dxa"/>
            <w:tcBorders>
              <w:top w:val="single" w:sz="4" w:space="0" w:color="auto"/>
              <w:bottom w:val="single" w:sz="4" w:space="0" w:color="auto"/>
            </w:tcBorders>
            <w:shd w:val="clear" w:color="auto" w:fill="DAEEF3" w:themeFill="accent5" w:themeFillTint="33"/>
          </w:tcPr>
          <w:p w14:paraId="15F65CA0"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have you felt guilty about the way you gamble or what happens when you gamble?</w:t>
            </w:r>
          </w:p>
        </w:tc>
        <w:tc>
          <w:tcPr>
            <w:tcW w:w="4110" w:type="dxa"/>
            <w:tcBorders>
              <w:top w:val="single" w:sz="4" w:space="0" w:color="auto"/>
              <w:bottom w:val="single" w:sz="4" w:space="0" w:color="auto"/>
            </w:tcBorders>
            <w:shd w:val="clear" w:color="auto" w:fill="DAEEF3" w:themeFill="accent5" w:themeFillTint="33"/>
          </w:tcPr>
          <w:p w14:paraId="274C3075"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30EBB32D"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5D458170"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4E839973"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29A2C2F8" w14:textId="77777777" w:rsidR="00DC5689" w:rsidRPr="00630DAD" w:rsidRDefault="00DC5689"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698174CF"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7FC99764" w14:textId="77777777" w:rsidR="00DC5689" w:rsidRPr="00630DAD" w:rsidRDefault="00DC5689">
            <w:pPr>
              <w:rPr>
                <w:sz w:val="18"/>
                <w:szCs w:val="18"/>
              </w:rPr>
            </w:pPr>
            <w:r w:rsidRPr="00630DAD">
              <w:rPr>
                <w:rFonts w:asciiTheme="minorHAnsi" w:hAnsiTheme="minorHAnsi" w:cstheme="minorHAnsi"/>
                <w:sz w:val="18"/>
                <w:szCs w:val="18"/>
              </w:rPr>
              <w:t>Q3_45</w:t>
            </w:r>
          </w:p>
        </w:tc>
        <w:tc>
          <w:tcPr>
            <w:tcW w:w="4470" w:type="dxa"/>
            <w:tcBorders>
              <w:top w:val="single" w:sz="4" w:space="0" w:color="auto"/>
              <w:bottom w:val="single" w:sz="4" w:space="0" w:color="auto"/>
            </w:tcBorders>
            <w:shd w:val="clear" w:color="auto" w:fill="DAEEF3" w:themeFill="accent5" w:themeFillTint="33"/>
          </w:tcPr>
          <w:p w14:paraId="73C1D295"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has gambling caused you any health problems, including stress or anxiety?</w:t>
            </w:r>
          </w:p>
        </w:tc>
        <w:tc>
          <w:tcPr>
            <w:tcW w:w="4110" w:type="dxa"/>
            <w:tcBorders>
              <w:top w:val="single" w:sz="4" w:space="0" w:color="auto"/>
              <w:bottom w:val="single" w:sz="4" w:space="0" w:color="auto"/>
            </w:tcBorders>
            <w:shd w:val="clear" w:color="auto" w:fill="DAEEF3" w:themeFill="accent5" w:themeFillTint="33"/>
          </w:tcPr>
          <w:p w14:paraId="6DB896B0"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5D79C1D1"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230D4DB6"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506B1057"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365EAF8D" w14:textId="77777777" w:rsidR="00DC5689" w:rsidRPr="00630DAD" w:rsidRDefault="00DC5689"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3CD8A5A4"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266B1912" w14:textId="77777777" w:rsidR="00DC5689" w:rsidRPr="00630DAD" w:rsidRDefault="00DC5689">
            <w:pPr>
              <w:rPr>
                <w:sz w:val="18"/>
                <w:szCs w:val="18"/>
              </w:rPr>
            </w:pPr>
            <w:r w:rsidRPr="00630DAD">
              <w:rPr>
                <w:rFonts w:asciiTheme="minorHAnsi" w:hAnsiTheme="minorHAnsi" w:cstheme="minorHAnsi"/>
                <w:sz w:val="18"/>
                <w:szCs w:val="18"/>
              </w:rPr>
              <w:t>Q3_46</w:t>
            </w:r>
          </w:p>
        </w:tc>
        <w:tc>
          <w:tcPr>
            <w:tcW w:w="4470" w:type="dxa"/>
            <w:tcBorders>
              <w:top w:val="single" w:sz="4" w:space="0" w:color="auto"/>
              <w:bottom w:val="single" w:sz="4" w:space="0" w:color="auto"/>
            </w:tcBorders>
            <w:shd w:val="clear" w:color="auto" w:fill="DAEEF3" w:themeFill="accent5" w:themeFillTint="33"/>
          </w:tcPr>
          <w:p w14:paraId="75AD8248"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Thinking about the past 12 months, how often has your gambling caused any financial problems for you or your household?</w:t>
            </w:r>
          </w:p>
        </w:tc>
        <w:tc>
          <w:tcPr>
            <w:tcW w:w="4110" w:type="dxa"/>
            <w:tcBorders>
              <w:top w:val="single" w:sz="4" w:space="0" w:color="auto"/>
              <w:bottom w:val="single" w:sz="4" w:space="0" w:color="auto"/>
            </w:tcBorders>
            <w:shd w:val="clear" w:color="auto" w:fill="DAEEF3" w:themeFill="accent5" w:themeFillTint="33"/>
          </w:tcPr>
          <w:p w14:paraId="1C6BED95"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Never</w:t>
            </w:r>
            <w:r w:rsidRPr="00630DAD">
              <w:rPr>
                <w:rFonts w:asciiTheme="minorHAnsi" w:hAnsiTheme="minorHAnsi" w:cstheme="minorHAnsi"/>
                <w:sz w:val="18"/>
                <w:szCs w:val="18"/>
              </w:rPr>
              <w:tab/>
            </w:r>
          </w:p>
          <w:p w14:paraId="7386367B"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Sometimes</w:t>
            </w:r>
            <w:r w:rsidRPr="00630DAD">
              <w:rPr>
                <w:rFonts w:asciiTheme="minorHAnsi" w:hAnsiTheme="minorHAnsi" w:cstheme="minorHAnsi"/>
                <w:sz w:val="18"/>
                <w:szCs w:val="18"/>
              </w:rPr>
              <w:tab/>
            </w:r>
          </w:p>
          <w:p w14:paraId="7EE50637"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Most of the time</w:t>
            </w:r>
            <w:r w:rsidRPr="00630DAD">
              <w:rPr>
                <w:rFonts w:asciiTheme="minorHAnsi" w:hAnsiTheme="minorHAnsi" w:cstheme="minorHAnsi"/>
                <w:sz w:val="18"/>
                <w:szCs w:val="18"/>
              </w:rPr>
              <w:tab/>
            </w:r>
          </w:p>
          <w:p w14:paraId="332C5DCC"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Almost always</w:t>
            </w:r>
            <w:r w:rsidRPr="00630DAD">
              <w:rPr>
                <w:rFonts w:asciiTheme="minorHAnsi" w:hAnsiTheme="minorHAnsi" w:cstheme="minorHAnsi"/>
                <w:sz w:val="18"/>
                <w:szCs w:val="18"/>
              </w:rPr>
              <w:tab/>
            </w:r>
          </w:p>
        </w:tc>
        <w:tc>
          <w:tcPr>
            <w:tcW w:w="1015" w:type="dxa"/>
            <w:tcBorders>
              <w:top w:val="single" w:sz="4" w:space="0" w:color="auto"/>
              <w:bottom w:val="single" w:sz="4" w:space="0" w:color="auto"/>
            </w:tcBorders>
            <w:shd w:val="clear" w:color="auto" w:fill="DAEEF3" w:themeFill="accent5" w:themeFillTint="33"/>
          </w:tcPr>
          <w:p w14:paraId="481731A7" w14:textId="77777777" w:rsidR="00DC5689" w:rsidRPr="00630DAD" w:rsidRDefault="00DC5689" w:rsidP="000F49A1">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6AFCC9B8"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5E57537A" w14:textId="77777777" w:rsidR="00DC5689" w:rsidRPr="00630DAD" w:rsidRDefault="00DC5689">
            <w:pPr>
              <w:rPr>
                <w:sz w:val="18"/>
                <w:szCs w:val="18"/>
              </w:rPr>
            </w:pPr>
            <w:r w:rsidRPr="00630DAD">
              <w:rPr>
                <w:rFonts w:asciiTheme="minorHAnsi" w:hAnsiTheme="minorHAnsi" w:cstheme="minorHAnsi"/>
                <w:sz w:val="18"/>
                <w:szCs w:val="18"/>
              </w:rPr>
              <w:t>Q3_47</w:t>
            </w:r>
          </w:p>
        </w:tc>
        <w:tc>
          <w:tcPr>
            <w:tcW w:w="4470" w:type="dxa"/>
            <w:tcBorders>
              <w:top w:val="single" w:sz="4" w:space="0" w:color="auto"/>
              <w:bottom w:val="single" w:sz="4" w:space="0" w:color="auto"/>
            </w:tcBorders>
            <w:shd w:val="clear" w:color="auto" w:fill="DAEEF3" w:themeFill="accent5" w:themeFillTint="33"/>
          </w:tcPr>
          <w:p w14:paraId="572A536C"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In the last 12 months, have you had problems because of someone else's gambling?</w:t>
            </w:r>
          </w:p>
        </w:tc>
        <w:tc>
          <w:tcPr>
            <w:tcW w:w="4110" w:type="dxa"/>
            <w:tcBorders>
              <w:top w:val="single" w:sz="4" w:space="0" w:color="auto"/>
              <w:bottom w:val="single" w:sz="4" w:space="0" w:color="auto"/>
            </w:tcBorders>
            <w:shd w:val="clear" w:color="auto" w:fill="DAEEF3" w:themeFill="accent5" w:themeFillTint="33"/>
          </w:tcPr>
          <w:p w14:paraId="0DCF49DA"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Yes</w:t>
            </w:r>
          </w:p>
          <w:p w14:paraId="6450EE16"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No</w:t>
            </w:r>
          </w:p>
        </w:tc>
        <w:tc>
          <w:tcPr>
            <w:tcW w:w="1015" w:type="dxa"/>
            <w:tcBorders>
              <w:top w:val="single" w:sz="4" w:space="0" w:color="auto"/>
              <w:bottom w:val="single" w:sz="4" w:space="0" w:color="auto"/>
            </w:tcBorders>
            <w:shd w:val="clear" w:color="auto" w:fill="DAEEF3" w:themeFill="accent5" w:themeFillTint="33"/>
          </w:tcPr>
          <w:p w14:paraId="0FCA9D2F" w14:textId="77777777" w:rsidR="00DC5689" w:rsidRPr="00630DAD" w:rsidRDefault="00DC5689"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Single</w:t>
            </w:r>
          </w:p>
        </w:tc>
      </w:tr>
      <w:tr w:rsidR="00DC5689" w:rsidRPr="00630DAD" w14:paraId="01F2BD6B" w14:textId="77777777" w:rsidTr="00A0693D">
        <w:trPr>
          <w:jc w:val="center"/>
        </w:trPr>
        <w:tc>
          <w:tcPr>
            <w:tcW w:w="981" w:type="dxa"/>
            <w:tcBorders>
              <w:top w:val="single" w:sz="4" w:space="0" w:color="auto"/>
              <w:bottom w:val="single" w:sz="4" w:space="0" w:color="auto"/>
            </w:tcBorders>
            <w:shd w:val="clear" w:color="auto" w:fill="DAEEF3" w:themeFill="accent5" w:themeFillTint="33"/>
          </w:tcPr>
          <w:p w14:paraId="7ED39A24" w14:textId="77777777" w:rsidR="00DC5689" w:rsidRPr="00630DAD" w:rsidRDefault="00DC5689">
            <w:pPr>
              <w:rPr>
                <w:sz w:val="18"/>
                <w:szCs w:val="18"/>
              </w:rPr>
            </w:pPr>
            <w:r w:rsidRPr="00630DAD">
              <w:rPr>
                <w:rFonts w:asciiTheme="minorHAnsi" w:hAnsiTheme="minorHAnsi" w:cstheme="minorHAnsi"/>
                <w:sz w:val="18"/>
                <w:szCs w:val="18"/>
              </w:rPr>
              <w:t>Q3_48</w:t>
            </w:r>
          </w:p>
        </w:tc>
        <w:tc>
          <w:tcPr>
            <w:tcW w:w="4470" w:type="dxa"/>
            <w:tcBorders>
              <w:top w:val="single" w:sz="4" w:space="0" w:color="auto"/>
              <w:bottom w:val="single" w:sz="4" w:space="0" w:color="auto"/>
            </w:tcBorders>
            <w:shd w:val="clear" w:color="auto" w:fill="DAEEF3" w:themeFill="accent5" w:themeFillTint="33"/>
          </w:tcPr>
          <w:p w14:paraId="16CD527D" w14:textId="77777777" w:rsidR="00DC5689" w:rsidRPr="00630DAD" w:rsidRDefault="00DC5689" w:rsidP="00DC5689">
            <w:pPr>
              <w:spacing w:before="0" w:line="240" w:lineRule="auto"/>
              <w:jc w:val="left"/>
              <w:rPr>
                <w:rFonts w:asciiTheme="minorHAnsi" w:hAnsiTheme="minorHAnsi" w:cstheme="minorHAnsi"/>
                <w:sz w:val="18"/>
                <w:szCs w:val="18"/>
              </w:rPr>
            </w:pPr>
            <w:r w:rsidRPr="00630DAD">
              <w:rPr>
                <w:rFonts w:asciiTheme="minorHAnsi" w:hAnsiTheme="minorHAnsi" w:cstheme="minorHAnsi"/>
                <w:sz w:val="18"/>
                <w:szCs w:val="18"/>
              </w:rPr>
              <w:t>Can you say what kind of gambling was involved?</w:t>
            </w:r>
          </w:p>
          <w:p w14:paraId="5DE23F2E" w14:textId="77777777" w:rsidR="00DC5689" w:rsidRPr="00630DAD" w:rsidRDefault="00DC5689" w:rsidP="00DC5689">
            <w:pPr>
              <w:spacing w:before="0" w:line="240" w:lineRule="auto"/>
              <w:ind w:left="78"/>
              <w:jc w:val="left"/>
              <w:rPr>
                <w:rFonts w:asciiTheme="minorHAnsi" w:hAnsiTheme="minorHAnsi" w:cstheme="minorHAnsi"/>
                <w:sz w:val="18"/>
                <w:szCs w:val="18"/>
              </w:rPr>
            </w:pPr>
          </w:p>
        </w:tc>
        <w:tc>
          <w:tcPr>
            <w:tcW w:w="4110" w:type="dxa"/>
            <w:tcBorders>
              <w:top w:val="single" w:sz="4" w:space="0" w:color="auto"/>
              <w:bottom w:val="single" w:sz="4" w:space="0" w:color="auto"/>
            </w:tcBorders>
            <w:shd w:val="clear" w:color="auto" w:fill="DAEEF3" w:themeFill="accent5" w:themeFillTint="33"/>
          </w:tcPr>
          <w:p w14:paraId="4B9EA346"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Lotto (including Strike, Powerball and Big Wednesday)</w:t>
            </w:r>
          </w:p>
          <w:p w14:paraId="1FEA8CEC"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Keno (not in a casino)</w:t>
            </w:r>
          </w:p>
          <w:p w14:paraId="042D0112"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Instant Kiwi or other Scratch ticket</w:t>
            </w:r>
          </w:p>
          <w:p w14:paraId="4D8EC004"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Housie (bingo) for money</w:t>
            </w:r>
          </w:p>
          <w:p w14:paraId="7869474B"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Horse or dog racing through NZ TAB (excluding office sweepstakes)</w:t>
            </w:r>
          </w:p>
          <w:p w14:paraId="79E11362"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Sports betting through NZ TAB</w:t>
            </w:r>
          </w:p>
          <w:p w14:paraId="4AB1A2A4"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Gaming machines or pokies at a casino</w:t>
            </w:r>
          </w:p>
          <w:p w14:paraId="1BB95A27"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Table games or any other games at a casino</w:t>
            </w:r>
          </w:p>
          <w:p w14:paraId="30C44536"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Gaming machines or pokies in a pub or club (not in a casino)</w:t>
            </w:r>
          </w:p>
          <w:p w14:paraId="74A0078C"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 xml:space="preserve">Paying to gamble on overseas websites (not </w:t>
            </w:r>
            <w:proofErr w:type="spellStart"/>
            <w:r w:rsidRPr="00630DAD">
              <w:rPr>
                <w:rFonts w:asciiTheme="minorHAnsi" w:hAnsiTheme="minorHAnsi" w:cstheme="minorHAnsi"/>
                <w:sz w:val="18"/>
                <w:szCs w:val="18"/>
              </w:rPr>
              <w:t>MyLotto</w:t>
            </w:r>
            <w:proofErr w:type="spellEnd"/>
            <w:r w:rsidRPr="00630DAD">
              <w:rPr>
                <w:rFonts w:asciiTheme="minorHAnsi" w:hAnsiTheme="minorHAnsi" w:cstheme="minorHAnsi"/>
                <w:sz w:val="18"/>
                <w:szCs w:val="18"/>
              </w:rPr>
              <w:t xml:space="preserve"> or NZ TAB)</w:t>
            </w:r>
          </w:p>
          <w:p w14:paraId="3A4E8B62" w14:textId="77777777" w:rsidR="00DC5689" w:rsidRPr="00630DAD" w:rsidRDefault="00DC5689" w:rsidP="00DC5689">
            <w:pPr>
              <w:pStyle w:val="ListParagraph"/>
              <w:numPr>
                <w:ilvl w:val="0"/>
                <w:numId w:val="9"/>
              </w:numPr>
              <w:spacing w:line="240" w:lineRule="auto"/>
              <w:ind w:left="162" w:hanging="162"/>
              <w:jc w:val="left"/>
              <w:rPr>
                <w:rFonts w:asciiTheme="minorHAnsi" w:hAnsiTheme="minorHAnsi" w:cstheme="minorHAnsi"/>
                <w:sz w:val="18"/>
                <w:szCs w:val="18"/>
              </w:rPr>
            </w:pPr>
            <w:r w:rsidRPr="00630DAD">
              <w:rPr>
                <w:rFonts w:asciiTheme="minorHAnsi" w:hAnsiTheme="minorHAnsi" w:cstheme="minorHAnsi"/>
                <w:sz w:val="18"/>
                <w:szCs w:val="18"/>
              </w:rPr>
              <w:t>Other gambling activity</w:t>
            </w:r>
          </w:p>
        </w:tc>
        <w:tc>
          <w:tcPr>
            <w:tcW w:w="1015" w:type="dxa"/>
            <w:tcBorders>
              <w:top w:val="single" w:sz="4" w:space="0" w:color="auto"/>
              <w:bottom w:val="single" w:sz="4" w:space="0" w:color="auto"/>
            </w:tcBorders>
            <w:shd w:val="clear" w:color="auto" w:fill="DAEEF3" w:themeFill="accent5" w:themeFillTint="33"/>
          </w:tcPr>
          <w:p w14:paraId="7245FC73" w14:textId="77777777" w:rsidR="00DC5689" w:rsidRPr="00630DAD" w:rsidRDefault="00DC5689" w:rsidP="00DE062D">
            <w:pPr>
              <w:spacing w:before="0" w:line="240" w:lineRule="auto"/>
              <w:ind w:left="78"/>
              <w:jc w:val="left"/>
              <w:rPr>
                <w:rFonts w:asciiTheme="minorHAnsi" w:hAnsiTheme="minorHAnsi" w:cstheme="minorHAnsi"/>
                <w:sz w:val="18"/>
                <w:szCs w:val="18"/>
              </w:rPr>
            </w:pPr>
            <w:r w:rsidRPr="00630DAD">
              <w:rPr>
                <w:rFonts w:asciiTheme="minorHAnsi" w:hAnsiTheme="minorHAnsi" w:cstheme="minorHAnsi"/>
                <w:sz w:val="18"/>
                <w:szCs w:val="18"/>
              </w:rPr>
              <w:t>Multiple</w:t>
            </w:r>
          </w:p>
        </w:tc>
      </w:tr>
    </w:tbl>
    <w:p w14:paraId="58596C3D" w14:textId="77777777" w:rsidR="003A39BC" w:rsidRPr="00AF3A24" w:rsidRDefault="003A39BC" w:rsidP="003A39BC">
      <w:pPr>
        <w:rPr>
          <w:rFonts w:asciiTheme="minorHAnsi" w:hAnsiTheme="minorHAnsi"/>
        </w:rPr>
      </w:pPr>
    </w:p>
    <w:p w14:paraId="799A4D1B" w14:textId="77777777" w:rsidR="003A39BC" w:rsidRPr="00AF3A24" w:rsidRDefault="003A39BC" w:rsidP="003A39BC">
      <w:pPr>
        <w:rPr>
          <w:rFonts w:asciiTheme="minorHAnsi" w:hAnsiTheme="minorHAnsi"/>
        </w:rPr>
      </w:pPr>
    </w:p>
    <w:p w14:paraId="2F8CF9B3" w14:textId="77777777" w:rsidR="003A39BC" w:rsidRPr="00AF3A24" w:rsidRDefault="003A39BC">
      <w:pPr>
        <w:spacing w:before="0" w:after="200" w:line="276" w:lineRule="auto"/>
        <w:jc w:val="left"/>
        <w:rPr>
          <w:rFonts w:asciiTheme="minorHAnsi" w:hAnsiTheme="minorHAnsi" w:cstheme="minorHAnsi"/>
          <w:b/>
          <w:bCs/>
          <w:iCs/>
          <w:color w:val="1F497D"/>
        </w:rPr>
      </w:pPr>
      <w:r w:rsidRPr="00AF3A24">
        <w:rPr>
          <w:rFonts w:asciiTheme="minorHAnsi" w:hAnsiTheme="minorHAnsi"/>
        </w:rPr>
        <w:br w:type="page"/>
      </w:r>
    </w:p>
    <w:p w14:paraId="4E54094A" w14:textId="77777777" w:rsidR="003A39BC" w:rsidRPr="00FB0B7B" w:rsidRDefault="003A39BC" w:rsidP="008F7A58">
      <w:pPr>
        <w:pStyle w:val="FionasAppendixtitles"/>
        <w:ind w:left="1134"/>
      </w:pPr>
      <w:bookmarkStart w:id="273" w:name="_Ref397446012"/>
      <w:bookmarkStart w:id="274" w:name="_Toc403833212"/>
      <w:r w:rsidRPr="00FB0B7B">
        <w:lastRenderedPageBreak/>
        <w:t>Past year participation in individual gambling activities by demographics</w:t>
      </w:r>
      <w:bookmarkEnd w:id="273"/>
      <w:bookmarkEnd w:id="274"/>
    </w:p>
    <w:p w14:paraId="08F53DBE" w14:textId="77777777" w:rsidR="003A39BC" w:rsidRPr="00AF3A24" w:rsidRDefault="003A39BC" w:rsidP="003A39BC">
      <w:pPr>
        <w:pStyle w:val="Caption"/>
        <w:keepNext/>
        <w:spacing w:line="276" w:lineRule="auto"/>
        <w:ind w:left="993" w:hanging="993"/>
        <w:rPr>
          <w:rFonts w:asciiTheme="minorHAnsi" w:hAnsiTheme="minorHAnsi" w:cstheme="minorHAnsi"/>
          <w:i/>
          <w:vertAlign w:val="superscript"/>
        </w:rPr>
      </w:pPr>
      <w:bookmarkStart w:id="275" w:name="_Ref397445991"/>
      <w:bookmarkStart w:id="276" w:name="_Toc425426886"/>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19</w:t>
      </w:r>
      <w:r w:rsidRPr="00AF3A24">
        <w:rPr>
          <w:rFonts w:asciiTheme="minorHAnsi" w:hAnsiTheme="minorHAnsi"/>
          <w:i/>
        </w:rPr>
        <w:fldChar w:fldCharType="end"/>
      </w:r>
      <w:bookmarkEnd w:id="275"/>
      <w:r w:rsidRPr="00AF3A24">
        <w:rPr>
          <w:rFonts w:asciiTheme="minorHAnsi" w:hAnsiTheme="minorHAnsi"/>
          <w:i/>
        </w:rPr>
        <w:t>:</w:t>
      </w:r>
      <w:r w:rsidRPr="00AF3A24">
        <w:rPr>
          <w:rFonts w:asciiTheme="minorHAnsi" w:hAnsiTheme="minorHAnsi" w:cstheme="minorHAnsi"/>
          <w:i/>
        </w:rPr>
        <w:tab/>
        <w:t xml:space="preserve">Past year participation in specific types of gambling activities by demographics, total population aged 15 years and over (unadjusted prevalence; N=12,596) </w:t>
      </w:r>
      <w:r w:rsidRPr="00AF3A24">
        <w:rPr>
          <w:rFonts w:asciiTheme="minorHAnsi" w:hAnsiTheme="minorHAnsi" w:cstheme="minorHAnsi"/>
          <w:i/>
          <w:vertAlign w:val="superscript"/>
        </w:rPr>
        <w:t>1</w:t>
      </w:r>
      <w:bookmarkEnd w:id="276"/>
      <w:r w:rsidRPr="00AF3A24">
        <w:rPr>
          <w:rFonts w:asciiTheme="minorHAnsi" w:hAnsiTheme="minorHAnsi" w:cstheme="minorHAnsi"/>
          <w:i/>
          <w:vertAlign w:val="superscript"/>
        </w:rPr>
        <w:t xml:space="preserve"> </w:t>
      </w:r>
    </w:p>
    <w:tbl>
      <w:tblPr>
        <w:tblStyle w:val="TableGrid"/>
        <w:tblW w:w="11199" w:type="dxa"/>
        <w:tblInd w:w="-459" w:type="dxa"/>
        <w:tblLayout w:type="fixed"/>
        <w:tblLook w:val="04A0" w:firstRow="1" w:lastRow="0" w:firstColumn="1" w:lastColumn="0" w:noHBand="0" w:noVBand="1"/>
      </w:tblPr>
      <w:tblGrid>
        <w:gridCol w:w="1418"/>
        <w:gridCol w:w="1134"/>
        <w:gridCol w:w="709"/>
        <w:gridCol w:w="1452"/>
        <w:gridCol w:w="674"/>
        <w:gridCol w:w="1488"/>
        <w:gridCol w:w="638"/>
        <w:gridCol w:w="1524"/>
        <w:gridCol w:w="744"/>
        <w:gridCol w:w="1418"/>
      </w:tblGrid>
      <w:tr w:rsidR="003A39BC" w:rsidRPr="00AF3A24" w14:paraId="695055E8" w14:textId="77777777" w:rsidTr="00203BC6">
        <w:trPr>
          <w:trHeight w:val="386"/>
        </w:trPr>
        <w:tc>
          <w:tcPr>
            <w:tcW w:w="2552" w:type="dxa"/>
            <w:gridSpan w:val="2"/>
            <w:vMerge w:val="restart"/>
            <w:shd w:val="clear" w:color="auto" w:fill="92CDDC" w:themeFill="accent5" w:themeFillTint="99"/>
          </w:tcPr>
          <w:p w14:paraId="434E5E0B"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8647" w:type="dxa"/>
            <w:gridSpan w:val="8"/>
            <w:tcBorders>
              <w:bottom w:val="single" w:sz="4" w:space="0" w:color="auto"/>
              <w:right w:val="single" w:sz="8" w:space="0" w:color="auto"/>
            </w:tcBorders>
            <w:shd w:val="clear" w:color="auto" w:fill="92CDDC" w:themeFill="accent5" w:themeFillTint="99"/>
            <w:vAlign w:val="center"/>
          </w:tcPr>
          <w:p w14:paraId="307A926E"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GAMBLING ACTIVITY – PAST YEAR PARTICIPATION </w:t>
            </w:r>
            <w:r w:rsidRPr="00AF3A24">
              <w:rPr>
                <w:rFonts w:asciiTheme="minorHAnsi" w:hAnsiTheme="minorHAnsi" w:cstheme="minorHAnsi"/>
                <w:b/>
                <w:sz w:val="18"/>
                <w:szCs w:val="18"/>
                <w:vertAlign w:val="superscript"/>
              </w:rPr>
              <w:t>2</w:t>
            </w:r>
          </w:p>
        </w:tc>
      </w:tr>
      <w:tr w:rsidR="003A39BC" w:rsidRPr="00AF3A24" w14:paraId="6D50DEE0" w14:textId="77777777" w:rsidTr="00203BC6">
        <w:trPr>
          <w:trHeight w:val="386"/>
        </w:trPr>
        <w:tc>
          <w:tcPr>
            <w:tcW w:w="2552" w:type="dxa"/>
            <w:gridSpan w:val="2"/>
            <w:vMerge/>
            <w:shd w:val="clear" w:color="auto" w:fill="92CDDC" w:themeFill="accent5" w:themeFillTint="99"/>
          </w:tcPr>
          <w:p w14:paraId="49FC9E37"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2161" w:type="dxa"/>
            <w:gridSpan w:val="2"/>
            <w:tcBorders>
              <w:bottom w:val="single" w:sz="4" w:space="0" w:color="auto"/>
            </w:tcBorders>
            <w:shd w:val="clear" w:color="auto" w:fill="92CDDC" w:themeFill="accent5" w:themeFillTint="99"/>
            <w:vAlign w:val="center"/>
          </w:tcPr>
          <w:p w14:paraId="7B4E8443"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Lotto only </w:t>
            </w:r>
            <w:r w:rsidRPr="00AF3A24">
              <w:rPr>
                <w:rFonts w:asciiTheme="minorHAnsi" w:hAnsiTheme="minorHAnsi" w:cstheme="minorHAnsi"/>
                <w:b/>
                <w:sz w:val="18"/>
                <w:szCs w:val="18"/>
                <w:vertAlign w:val="superscript"/>
              </w:rPr>
              <w:t>3</w:t>
            </w:r>
          </w:p>
        </w:tc>
        <w:tc>
          <w:tcPr>
            <w:tcW w:w="2162" w:type="dxa"/>
            <w:gridSpan w:val="2"/>
            <w:tcBorders>
              <w:bottom w:val="single" w:sz="4" w:space="0" w:color="auto"/>
            </w:tcBorders>
            <w:shd w:val="clear" w:color="auto" w:fill="92CDDC" w:themeFill="accent5" w:themeFillTint="99"/>
            <w:vAlign w:val="center"/>
          </w:tcPr>
          <w:p w14:paraId="0E34E7D8"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Any non-Lotto gambling activity</w:t>
            </w:r>
          </w:p>
        </w:tc>
        <w:tc>
          <w:tcPr>
            <w:tcW w:w="2162" w:type="dxa"/>
            <w:gridSpan w:val="2"/>
            <w:tcBorders>
              <w:bottom w:val="single" w:sz="4" w:space="0" w:color="auto"/>
            </w:tcBorders>
            <w:shd w:val="clear" w:color="auto" w:fill="92CDDC" w:themeFill="accent5" w:themeFillTint="99"/>
            <w:vAlign w:val="center"/>
          </w:tcPr>
          <w:p w14:paraId="1EAEF35B" w14:textId="77777777" w:rsidR="003A39BC" w:rsidRPr="00B26F2F" w:rsidRDefault="003A39BC" w:rsidP="00142106">
            <w:pPr>
              <w:spacing w:before="0" w:line="240" w:lineRule="auto"/>
              <w:jc w:val="center"/>
              <w:rPr>
                <w:rFonts w:asciiTheme="minorHAnsi" w:hAnsiTheme="minorHAnsi" w:cstheme="minorHAnsi"/>
                <w:b/>
                <w:sz w:val="18"/>
                <w:szCs w:val="18"/>
              </w:rPr>
            </w:pPr>
            <w:r w:rsidRPr="00B26F2F">
              <w:rPr>
                <w:rFonts w:asciiTheme="minorHAnsi" w:hAnsiTheme="minorHAnsi" w:cstheme="minorHAnsi"/>
                <w:b/>
                <w:sz w:val="18"/>
                <w:szCs w:val="18"/>
              </w:rPr>
              <w:t>Any gaming machine (casino or non-casino)</w:t>
            </w:r>
            <w:r w:rsidR="00B26F2F">
              <w:rPr>
                <w:rFonts w:asciiTheme="minorHAnsi" w:hAnsiTheme="minorHAnsi" w:cstheme="minorHAnsi"/>
                <w:b/>
                <w:sz w:val="18"/>
                <w:szCs w:val="18"/>
              </w:rPr>
              <w:t xml:space="preserve"> </w:t>
            </w:r>
            <w:r w:rsidR="00B26F2F" w:rsidRPr="00B26F2F">
              <w:rPr>
                <w:rFonts w:asciiTheme="minorHAnsi" w:hAnsiTheme="minorHAnsi" w:cstheme="minorHAnsi"/>
                <w:b/>
                <w:sz w:val="18"/>
                <w:szCs w:val="18"/>
                <w:vertAlign w:val="superscript"/>
              </w:rPr>
              <w:t>5</w:t>
            </w:r>
          </w:p>
        </w:tc>
        <w:tc>
          <w:tcPr>
            <w:tcW w:w="2162" w:type="dxa"/>
            <w:gridSpan w:val="2"/>
            <w:tcBorders>
              <w:bottom w:val="single" w:sz="4" w:space="0" w:color="auto"/>
              <w:right w:val="single" w:sz="8" w:space="0" w:color="auto"/>
            </w:tcBorders>
            <w:shd w:val="clear" w:color="auto" w:fill="92CDDC" w:themeFill="accent5" w:themeFillTint="99"/>
            <w:vAlign w:val="center"/>
          </w:tcPr>
          <w:p w14:paraId="38BAB224" w14:textId="77777777" w:rsidR="003A39BC" w:rsidRPr="00B26F2F" w:rsidRDefault="003A39BC" w:rsidP="00142106">
            <w:pPr>
              <w:spacing w:before="0" w:line="240" w:lineRule="auto"/>
              <w:jc w:val="center"/>
              <w:rPr>
                <w:rFonts w:asciiTheme="minorHAnsi" w:hAnsiTheme="minorHAnsi" w:cstheme="minorHAnsi"/>
                <w:b/>
                <w:sz w:val="18"/>
                <w:szCs w:val="18"/>
              </w:rPr>
            </w:pPr>
            <w:r w:rsidRPr="00B26F2F">
              <w:rPr>
                <w:rFonts w:asciiTheme="minorHAnsi" w:hAnsiTheme="minorHAnsi" w:cstheme="minorHAnsi"/>
                <w:b/>
                <w:sz w:val="18"/>
                <w:szCs w:val="18"/>
              </w:rPr>
              <w:t>Any casino gambling (tables or gaming machines)</w:t>
            </w:r>
            <w:r w:rsidR="00B26F2F">
              <w:rPr>
                <w:rFonts w:asciiTheme="minorHAnsi" w:hAnsiTheme="minorHAnsi" w:cstheme="minorHAnsi"/>
                <w:b/>
                <w:sz w:val="18"/>
                <w:szCs w:val="18"/>
              </w:rPr>
              <w:t xml:space="preserve"> </w:t>
            </w:r>
            <w:r w:rsidR="00B26F2F" w:rsidRPr="00B26F2F">
              <w:rPr>
                <w:rFonts w:asciiTheme="minorHAnsi" w:hAnsiTheme="minorHAnsi" w:cstheme="minorHAnsi"/>
                <w:b/>
                <w:sz w:val="18"/>
                <w:szCs w:val="18"/>
                <w:vertAlign w:val="superscript"/>
              </w:rPr>
              <w:t>5</w:t>
            </w:r>
          </w:p>
        </w:tc>
      </w:tr>
      <w:tr w:rsidR="003A39BC" w:rsidRPr="00AF3A24" w14:paraId="4A861C2A" w14:textId="77777777" w:rsidTr="00203BC6">
        <w:trPr>
          <w:trHeight w:val="386"/>
        </w:trPr>
        <w:tc>
          <w:tcPr>
            <w:tcW w:w="2552" w:type="dxa"/>
            <w:gridSpan w:val="2"/>
            <w:vMerge/>
            <w:tcBorders>
              <w:bottom w:val="single" w:sz="4" w:space="0" w:color="auto"/>
            </w:tcBorders>
            <w:shd w:val="clear" w:color="auto" w:fill="92CDDC" w:themeFill="accent5" w:themeFillTint="99"/>
            <w:vAlign w:val="center"/>
          </w:tcPr>
          <w:p w14:paraId="5283225F"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709" w:type="dxa"/>
            <w:tcBorders>
              <w:bottom w:val="single" w:sz="4" w:space="0" w:color="auto"/>
            </w:tcBorders>
            <w:shd w:val="clear" w:color="auto" w:fill="92CDDC" w:themeFill="accent5" w:themeFillTint="99"/>
            <w:vAlign w:val="center"/>
          </w:tcPr>
          <w:p w14:paraId="0BCA7F0A"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52" w:type="dxa"/>
            <w:tcBorders>
              <w:bottom w:val="single" w:sz="4" w:space="0" w:color="auto"/>
            </w:tcBorders>
            <w:shd w:val="clear" w:color="auto" w:fill="92CDDC" w:themeFill="accent5" w:themeFillTint="99"/>
            <w:vAlign w:val="center"/>
          </w:tcPr>
          <w:p w14:paraId="72786504"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FC8481C"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674" w:type="dxa"/>
            <w:tcBorders>
              <w:bottom w:val="single" w:sz="4" w:space="0" w:color="auto"/>
            </w:tcBorders>
            <w:shd w:val="clear" w:color="auto" w:fill="92CDDC" w:themeFill="accent5" w:themeFillTint="99"/>
            <w:vAlign w:val="center"/>
          </w:tcPr>
          <w:p w14:paraId="1183252E"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88" w:type="dxa"/>
            <w:tcBorders>
              <w:bottom w:val="single" w:sz="4" w:space="0" w:color="auto"/>
            </w:tcBorders>
            <w:shd w:val="clear" w:color="auto" w:fill="92CDDC" w:themeFill="accent5" w:themeFillTint="99"/>
            <w:vAlign w:val="center"/>
          </w:tcPr>
          <w:p w14:paraId="6F36025E"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605B3E2"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638" w:type="dxa"/>
            <w:tcBorders>
              <w:bottom w:val="single" w:sz="4" w:space="0" w:color="auto"/>
            </w:tcBorders>
            <w:shd w:val="clear" w:color="auto" w:fill="92CDDC" w:themeFill="accent5" w:themeFillTint="99"/>
            <w:vAlign w:val="center"/>
          </w:tcPr>
          <w:p w14:paraId="23D28F97"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24" w:type="dxa"/>
            <w:tcBorders>
              <w:bottom w:val="single" w:sz="4" w:space="0" w:color="auto"/>
            </w:tcBorders>
            <w:shd w:val="clear" w:color="auto" w:fill="92CDDC" w:themeFill="accent5" w:themeFillTint="99"/>
            <w:vAlign w:val="center"/>
          </w:tcPr>
          <w:p w14:paraId="5FDB46F4"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A3DFA32"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44" w:type="dxa"/>
            <w:tcBorders>
              <w:bottom w:val="single" w:sz="4" w:space="0" w:color="auto"/>
            </w:tcBorders>
            <w:shd w:val="clear" w:color="auto" w:fill="92CDDC" w:themeFill="accent5" w:themeFillTint="99"/>
            <w:vAlign w:val="center"/>
          </w:tcPr>
          <w:p w14:paraId="36B43E29"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8" w:type="dxa"/>
            <w:tcBorders>
              <w:bottom w:val="single" w:sz="4" w:space="0" w:color="auto"/>
              <w:right w:val="single" w:sz="8" w:space="0" w:color="auto"/>
            </w:tcBorders>
            <w:shd w:val="clear" w:color="auto" w:fill="92CDDC" w:themeFill="accent5" w:themeFillTint="99"/>
            <w:vAlign w:val="center"/>
          </w:tcPr>
          <w:p w14:paraId="3BC1773F"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8088940"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3A39BC" w:rsidRPr="00AF3A24" w14:paraId="66490325" w14:textId="77777777" w:rsidTr="00203BC6">
        <w:tc>
          <w:tcPr>
            <w:tcW w:w="2552" w:type="dxa"/>
            <w:gridSpan w:val="2"/>
            <w:tcBorders>
              <w:top w:val="nil"/>
              <w:bottom w:val="nil"/>
            </w:tcBorders>
            <w:shd w:val="clear" w:color="auto" w:fill="DAEEF3" w:themeFill="accent5" w:themeFillTint="33"/>
            <w:vAlign w:val="center"/>
          </w:tcPr>
          <w:p w14:paraId="15F34EC7" w14:textId="77777777" w:rsidR="003A39BC" w:rsidRPr="00AF3A24" w:rsidRDefault="003A39BC" w:rsidP="00203BC6">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09" w:type="dxa"/>
            <w:tcBorders>
              <w:top w:val="nil"/>
              <w:bottom w:val="nil"/>
              <w:right w:val="nil"/>
            </w:tcBorders>
            <w:shd w:val="clear" w:color="auto" w:fill="DAEEF3" w:themeFill="accent5" w:themeFillTint="33"/>
            <w:vAlign w:val="center"/>
          </w:tcPr>
          <w:p w14:paraId="3221E1C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3,428</w:t>
            </w:r>
          </w:p>
        </w:tc>
        <w:tc>
          <w:tcPr>
            <w:tcW w:w="1452" w:type="dxa"/>
            <w:tcBorders>
              <w:top w:val="nil"/>
              <w:left w:val="nil"/>
              <w:bottom w:val="nil"/>
              <w:right w:val="single" w:sz="4" w:space="0" w:color="auto"/>
            </w:tcBorders>
            <w:shd w:val="clear" w:color="auto" w:fill="DAEEF3" w:themeFill="accent5" w:themeFillTint="33"/>
            <w:vAlign w:val="center"/>
          </w:tcPr>
          <w:p w14:paraId="58DEDBE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27.0</w:t>
            </w:r>
            <w:r w:rsidRPr="00AF3A24">
              <w:rPr>
                <w:rFonts w:asciiTheme="minorHAnsi" w:hAnsiTheme="minorHAnsi"/>
                <w:bCs/>
                <w:color w:val="000000"/>
                <w:sz w:val="16"/>
                <w:szCs w:val="16"/>
              </w:rPr>
              <w:br/>
              <w:t>(25.9 - 28.1)</w:t>
            </w:r>
          </w:p>
        </w:tc>
        <w:tc>
          <w:tcPr>
            <w:tcW w:w="674" w:type="dxa"/>
            <w:tcBorders>
              <w:top w:val="nil"/>
              <w:left w:val="nil"/>
              <w:bottom w:val="nil"/>
              <w:right w:val="nil"/>
            </w:tcBorders>
            <w:shd w:val="clear" w:color="auto" w:fill="DAEEF3" w:themeFill="accent5" w:themeFillTint="33"/>
            <w:vAlign w:val="center"/>
          </w:tcPr>
          <w:p w14:paraId="78A6A2C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3,121</w:t>
            </w:r>
          </w:p>
        </w:tc>
        <w:tc>
          <w:tcPr>
            <w:tcW w:w="1488" w:type="dxa"/>
            <w:tcBorders>
              <w:top w:val="nil"/>
              <w:left w:val="nil"/>
              <w:bottom w:val="nil"/>
              <w:right w:val="single" w:sz="4" w:space="0" w:color="auto"/>
            </w:tcBorders>
            <w:shd w:val="clear" w:color="auto" w:fill="DAEEF3" w:themeFill="accent5" w:themeFillTint="33"/>
            <w:vAlign w:val="center"/>
          </w:tcPr>
          <w:p w14:paraId="2BC07EA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25.3</w:t>
            </w:r>
            <w:r w:rsidRPr="00AF3A24">
              <w:rPr>
                <w:rFonts w:asciiTheme="minorHAnsi" w:hAnsiTheme="minorHAnsi"/>
                <w:bCs/>
                <w:color w:val="000000"/>
                <w:sz w:val="16"/>
                <w:szCs w:val="16"/>
              </w:rPr>
              <w:br/>
              <w:t>(24.1 - 26.4)</w:t>
            </w:r>
          </w:p>
        </w:tc>
        <w:tc>
          <w:tcPr>
            <w:tcW w:w="638" w:type="dxa"/>
            <w:tcBorders>
              <w:top w:val="nil"/>
              <w:left w:val="nil"/>
              <w:bottom w:val="nil"/>
              <w:right w:val="nil"/>
            </w:tcBorders>
            <w:shd w:val="clear" w:color="auto" w:fill="DAEEF3" w:themeFill="accent5" w:themeFillTint="33"/>
            <w:vAlign w:val="center"/>
          </w:tcPr>
          <w:p w14:paraId="12C84B0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1,157</w:t>
            </w:r>
          </w:p>
        </w:tc>
        <w:tc>
          <w:tcPr>
            <w:tcW w:w="1524" w:type="dxa"/>
            <w:tcBorders>
              <w:top w:val="nil"/>
              <w:left w:val="nil"/>
              <w:bottom w:val="nil"/>
              <w:right w:val="single" w:sz="4" w:space="0" w:color="auto"/>
            </w:tcBorders>
            <w:shd w:val="clear" w:color="auto" w:fill="DAEEF3" w:themeFill="accent5" w:themeFillTint="33"/>
            <w:vAlign w:val="center"/>
          </w:tcPr>
          <w:p w14:paraId="28F3FEE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r w:rsidRPr="00AF3A24">
              <w:rPr>
                <w:rFonts w:asciiTheme="minorHAnsi" w:hAnsiTheme="minorHAnsi"/>
                <w:bCs/>
                <w:color w:val="000000"/>
                <w:sz w:val="16"/>
                <w:szCs w:val="16"/>
              </w:rPr>
              <w:br/>
              <w:t>(8.4 - 9.8)</w:t>
            </w:r>
          </w:p>
        </w:tc>
        <w:tc>
          <w:tcPr>
            <w:tcW w:w="744" w:type="dxa"/>
            <w:tcBorders>
              <w:top w:val="nil"/>
              <w:left w:val="nil"/>
              <w:bottom w:val="nil"/>
              <w:right w:val="nil"/>
            </w:tcBorders>
            <w:shd w:val="clear" w:color="auto" w:fill="DAEEF3" w:themeFill="accent5" w:themeFillTint="33"/>
            <w:vAlign w:val="center"/>
          </w:tcPr>
          <w:p w14:paraId="33869AD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601</w:t>
            </w:r>
          </w:p>
        </w:tc>
        <w:tc>
          <w:tcPr>
            <w:tcW w:w="1418" w:type="dxa"/>
            <w:tcBorders>
              <w:top w:val="nil"/>
              <w:left w:val="nil"/>
              <w:bottom w:val="nil"/>
              <w:right w:val="single" w:sz="8" w:space="0" w:color="auto"/>
            </w:tcBorders>
            <w:shd w:val="clear" w:color="auto" w:fill="DAEEF3" w:themeFill="accent5" w:themeFillTint="33"/>
            <w:vAlign w:val="center"/>
          </w:tcPr>
          <w:p w14:paraId="4DEF096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r w:rsidRPr="00AF3A24">
              <w:rPr>
                <w:rFonts w:asciiTheme="minorHAnsi" w:hAnsiTheme="minorHAnsi"/>
                <w:bCs/>
                <w:color w:val="000000"/>
                <w:sz w:val="16"/>
                <w:szCs w:val="16"/>
              </w:rPr>
              <w:br/>
              <w:t>(4.8 - 5.9)</w:t>
            </w:r>
          </w:p>
        </w:tc>
      </w:tr>
      <w:tr w:rsidR="003A39BC" w:rsidRPr="00AF3A24" w14:paraId="460A1EB9" w14:textId="77777777" w:rsidTr="00203BC6">
        <w:tc>
          <w:tcPr>
            <w:tcW w:w="1418" w:type="dxa"/>
            <w:vMerge w:val="restart"/>
            <w:tcBorders>
              <w:top w:val="single" w:sz="4" w:space="0" w:color="auto"/>
            </w:tcBorders>
            <w:shd w:val="clear" w:color="auto" w:fill="DAEEF3" w:themeFill="accent5" w:themeFillTint="33"/>
            <w:vAlign w:val="center"/>
          </w:tcPr>
          <w:p w14:paraId="1A0A81E7"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1134" w:type="dxa"/>
            <w:tcBorders>
              <w:top w:val="single" w:sz="4" w:space="0" w:color="auto"/>
              <w:bottom w:val="nil"/>
            </w:tcBorders>
            <w:shd w:val="clear" w:color="auto" w:fill="DAEEF3" w:themeFill="accent5" w:themeFillTint="33"/>
            <w:vAlign w:val="center"/>
          </w:tcPr>
          <w:p w14:paraId="20263E22"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09" w:type="dxa"/>
            <w:tcBorders>
              <w:bottom w:val="nil"/>
              <w:right w:val="nil"/>
            </w:tcBorders>
            <w:shd w:val="clear" w:color="auto" w:fill="DAEEF3" w:themeFill="accent5" w:themeFillTint="33"/>
            <w:vAlign w:val="center"/>
          </w:tcPr>
          <w:p w14:paraId="762A4F3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1,955</w:t>
            </w:r>
          </w:p>
        </w:tc>
        <w:tc>
          <w:tcPr>
            <w:tcW w:w="1452" w:type="dxa"/>
            <w:tcBorders>
              <w:left w:val="nil"/>
              <w:bottom w:val="nil"/>
              <w:right w:val="single" w:sz="4" w:space="0" w:color="auto"/>
            </w:tcBorders>
            <w:shd w:val="clear" w:color="auto" w:fill="DAEEF3" w:themeFill="accent5" w:themeFillTint="33"/>
            <w:vAlign w:val="center"/>
          </w:tcPr>
          <w:p w14:paraId="502D683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26.4</w:t>
            </w:r>
            <w:r w:rsidRPr="00AF3A24">
              <w:rPr>
                <w:rFonts w:asciiTheme="minorHAnsi" w:hAnsiTheme="minorHAnsi"/>
                <w:bCs/>
                <w:color w:val="000000"/>
                <w:sz w:val="16"/>
                <w:szCs w:val="16"/>
              </w:rPr>
              <w:br/>
              <w:t>(24.9 - 27.9)</w:t>
            </w:r>
          </w:p>
        </w:tc>
        <w:tc>
          <w:tcPr>
            <w:tcW w:w="674" w:type="dxa"/>
            <w:tcBorders>
              <w:left w:val="nil"/>
              <w:bottom w:val="nil"/>
              <w:right w:val="nil"/>
            </w:tcBorders>
            <w:shd w:val="clear" w:color="auto" w:fill="DAEEF3" w:themeFill="accent5" w:themeFillTint="33"/>
            <w:vAlign w:val="center"/>
          </w:tcPr>
          <w:p w14:paraId="7903D63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1,832</w:t>
            </w:r>
          </w:p>
        </w:tc>
        <w:tc>
          <w:tcPr>
            <w:tcW w:w="1488" w:type="dxa"/>
            <w:tcBorders>
              <w:left w:val="nil"/>
              <w:bottom w:val="nil"/>
              <w:right w:val="single" w:sz="4" w:space="0" w:color="auto"/>
            </w:tcBorders>
            <w:shd w:val="clear" w:color="auto" w:fill="DAEEF3" w:themeFill="accent5" w:themeFillTint="33"/>
            <w:vAlign w:val="center"/>
          </w:tcPr>
          <w:p w14:paraId="233E5D8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24.3</w:t>
            </w:r>
            <w:r w:rsidRPr="00AF3A24">
              <w:rPr>
                <w:rFonts w:asciiTheme="minorHAnsi" w:hAnsiTheme="minorHAnsi"/>
                <w:bCs/>
                <w:color w:val="000000"/>
                <w:sz w:val="16"/>
                <w:szCs w:val="16"/>
              </w:rPr>
              <w:br/>
              <w:t>(22.9 - 25.7)</w:t>
            </w:r>
          </w:p>
        </w:tc>
        <w:tc>
          <w:tcPr>
            <w:tcW w:w="638" w:type="dxa"/>
            <w:tcBorders>
              <w:left w:val="nil"/>
              <w:bottom w:val="nil"/>
              <w:right w:val="nil"/>
            </w:tcBorders>
            <w:shd w:val="clear" w:color="auto" w:fill="DAEEF3" w:themeFill="accent5" w:themeFillTint="33"/>
            <w:vAlign w:val="center"/>
          </w:tcPr>
          <w:p w14:paraId="2A9660E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691</w:t>
            </w:r>
          </w:p>
        </w:tc>
        <w:tc>
          <w:tcPr>
            <w:tcW w:w="1524" w:type="dxa"/>
            <w:tcBorders>
              <w:left w:val="nil"/>
              <w:bottom w:val="nil"/>
              <w:right w:val="single" w:sz="4" w:space="0" w:color="auto"/>
            </w:tcBorders>
            <w:shd w:val="clear" w:color="auto" w:fill="DAEEF3" w:themeFill="accent5" w:themeFillTint="33"/>
            <w:vAlign w:val="center"/>
          </w:tcPr>
          <w:p w14:paraId="6610507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r w:rsidRPr="00AF3A24">
              <w:rPr>
                <w:rFonts w:asciiTheme="minorHAnsi" w:hAnsiTheme="minorHAnsi"/>
                <w:bCs/>
                <w:color w:val="000000"/>
                <w:sz w:val="16"/>
                <w:szCs w:val="16"/>
              </w:rPr>
              <w:br/>
              <w:t>(8.1 - 9.9)</w:t>
            </w:r>
          </w:p>
        </w:tc>
        <w:tc>
          <w:tcPr>
            <w:tcW w:w="744" w:type="dxa"/>
            <w:tcBorders>
              <w:left w:val="nil"/>
              <w:bottom w:val="nil"/>
              <w:right w:val="nil"/>
            </w:tcBorders>
            <w:shd w:val="clear" w:color="auto" w:fill="DAEEF3" w:themeFill="accent5" w:themeFillTint="33"/>
            <w:vAlign w:val="center"/>
          </w:tcPr>
          <w:p w14:paraId="1AECABB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342</w:t>
            </w:r>
          </w:p>
        </w:tc>
        <w:tc>
          <w:tcPr>
            <w:tcW w:w="1418" w:type="dxa"/>
            <w:tcBorders>
              <w:left w:val="nil"/>
              <w:bottom w:val="nil"/>
              <w:right w:val="single" w:sz="8" w:space="0" w:color="auto"/>
            </w:tcBorders>
            <w:shd w:val="clear" w:color="auto" w:fill="DAEEF3" w:themeFill="accent5" w:themeFillTint="33"/>
            <w:vAlign w:val="center"/>
          </w:tcPr>
          <w:p w14:paraId="04838EC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r w:rsidRPr="00AF3A24">
              <w:rPr>
                <w:rFonts w:asciiTheme="minorHAnsi" w:hAnsiTheme="minorHAnsi"/>
                <w:bCs/>
                <w:color w:val="000000"/>
                <w:sz w:val="16"/>
                <w:szCs w:val="16"/>
              </w:rPr>
              <w:br/>
              <w:t>(4.2 - 5.5)</w:t>
            </w:r>
          </w:p>
        </w:tc>
      </w:tr>
      <w:tr w:rsidR="003A39BC" w:rsidRPr="00AF3A24" w14:paraId="34A3FEA9" w14:textId="77777777" w:rsidTr="00203BC6">
        <w:tc>
          <w:tcPr>
            <w:tcW w:w="1418" w:type="dxa"/>
            <w:vMerge/>
            <w:tcBorders>
              <w:bottom w:val="nil"/>
            </w:tcBorders>
            <w:shd w:val="clear" w:color="auto" w:fill="DAEEF3" w:themeFill="accent5" w:themeFillTint="33"/>
            <w:vAlign w:val="center"/>
          </w:tcPr>
          <w:p w14:paraId="0D49674B"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single" w:sz="4" w:space="0" w:color="auto"/>
            </w:tcBorders>
            <w:shd w:val="clear" w:color="auto" w:fill="DAEEF3" w:themeFill="accent5" w:themeFillTint="33"/>
            <w:vAlign w:val="center"/>
          </w:tcPr>
          <w:p w14:paraId="540C51AE"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09" w:type="dxa"/>
            <w:tcBorders>
              <w:top w:val="nil"/>
              <w:bottom w:val="single" w:sz="4" w:space="0" w:color="auto"/>
              <w:right w:val="nil"/>
            </w:tcBorders>
            <w:shd w:val="clear" w:color="auto" w:fill="DAEEF3" w:themeFill="accent5" w:themeFillTint="33"/>
            <w:vAlign w:val="center"/>
          </w:tcPr>
          <w:p w14:paraId="77A66B3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1,473</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466BB8C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27.7</w:t>
            </w:r>
            <w:r w:rsidRPr="00AF3A24">
              <w:rPr>
                <w:rFonts w:asciiTheme="minorHAnsi" w:hAnsiTheme="minorHAnsi"/>
                <w:bCs/>
                <w:color w:val="000000"/>
                <w:sz w:val="16"/>
                <w:szCs w:val="16"/>
              </w:rPr>
              <w:br/>
              <w:t>(26.1 - 29.2)</w:t>
            </w:r>
          </w:p>
        </w:tc>
        <w:tc>
          <w:tcPr>
            <w:tcW w:w="674" w:type="dxa"/>
            <w:tcBorders>
              <w:top w:val="nil"/>
              <w:left w:val="nil"/>
              <w:bottom w:val="single" w:sz="4" w:space="0" w:color="auto"/>
              <w:right w:val="nil"/>
            </w:tcBorders>
            <w:shd w:val="clear" w:color="auto" w:fill="DAEEF3" w:themeFill="accent5" w:themeFillTint="33"/>
            <w:vAlign w:val="center"/>
          </w:tcPr>
          <w:p w14:paraId="2D9C931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1,289</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6AC4C42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26.3</w:t>
            </w:r>
            <w:r w:rsidRPr="00AF3A24">
              <w:rPr>
                <w:rFonts w:asciiTheme="minorHAnsi" w:hAnsiTheme="minorHAnsi"/>
                <w:bCs/>
                <w:color w:val="000000"/>
                <w:sz w:val="16"/>
                <w:szCs w:val="16"/>
              </w:rPr>
              <w:br/>
              <w:t>(24.6 - 27.9)</w:t>
            </w:r>
          </w:p>
        </w:tc>
        <w:tc>
          <w:tcPr>
            <w:tcW w:w="638" w:type="dxa"/>
            <w:tcBorders>
              <w:top w:val="nil"/>
              <w:left w:val="nil"/>
              <w:bottom w:val="single" w:sz="4" w:space="0" w:color="auto"/>
              <w:right w:val="nil"/>
            </w:tcBorders>
            <w:shd w:val="clear" w:color="auto" w:fill="DAEEF3" w:themeFill="accent5" w:themeFillTint="33"/>
            <w:vAlign w:val="center"/>
          </w:tcPr>
          <w:p w14:paraId="19A61FB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466</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151B08E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r w:rsidRPr="00AF3A24">
              <w:rPr>
                <w:rFonts w:asciiTheme="minorHAnsi" w:hAnsiTheme="minorHAnsi"/>
                <w:bCs/>
                <w:color w:val="000000"/>
                <w:sz w:val="16"/>
                <w:szCs w:val="16"/>
              </w:rPr>
              <w:br/>
              <w:t>(8.0 - 10.2)</w:t>
            </w:r>
          </w:p>
        </w:tc>
        <w:tc>
          <w:tcPr>
            <w:tcW w:w="744" w:type="dxa"/>
            <w:tcBorders>
              <w:top w:val="nil"/>
              <w:left w:val="nil"/>
              <w:bottom w:val="single" w:sz="4" w:space="0" w:color="auto"/>
              <w:right w:val="nil"/>
            </w:tcBorders>
            <w:shd w:val="clear" w:color="auto" w:fill="DAEEF3" w:themeFill="accent5" w:themeFillTint="33"/>
            <w:vAlign w:val="center"/>
          </w:tcPr>
          <w:p w14:paraId="4930FE2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259</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7791EFA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r w:rsidRPr="00AF3A24">
              <w:rPr>
                <w:rFonts w:asciiTheme="minorHAnsi" w:hAnsiTheme="minorHAnsi"/>
                <w:bCs/>
                <w:color w:val="000000"/>
                <w:sz w:val="16"/>
                <w:szCs w:val="16"/>
              </w:rPr>
              <w:br/>
              <w:t>(5.0 - 6.8)</w:t>
            </w:r>
          </w:p>
        </w:tc>
      </w:tr>
      <w:tr w:rsidR="003A39BC" w:rsidRPr="00AF3A24" w14:paraId="4C6DA693" w14:textId="77777777" w:rsidTr="00203BC6">
        <w:trPr>
          <w:trHeight w:val="435"/>
        </w:trPr>
        <w:tc>
          <w:tcPr>
            <w:tcW w:w="1418" w:type="dxa"/>
            <w:vMerge w:val="restart"/>
            <w:tcBorders>
              <w:top w:val="single" w:sz="4" w:space="0" w:color="auto"/>
            </w:tcBorders>
            <w:shd w:val="clear" w:color="auto" w:fill="DAEEF3" w:themeFill="accent5" w:themeFillTint="33"/>
            <w:vAlign w:val="center"/>
          </w:tcPr>
          <w:p w14:paraId="126D7256"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1134" w:type="dxa"/>
            <w:tcBorders>
              <w:top w:val="single" w:sz="4" w:space="0" w:color="auto"/>
              <w:bottom w:val="nil"/>
            </w:tcBorders>
            <w:shd w:val="clear" w:color="auto" w:fill="DAEEF3" w:themeFill="accent5" w:themeFillTint="33"/>
            <w:vAlign w:val="center"/>
          </w:tcPr>
          <w:p w14:paraId="0BC81806" w14:textId="77777777" w:rsidR="003A39BC" w:rsidRPr="00AF3A24" w:rsidRDefault="003A39BC" w:rsidP="00203BC6">
            <w:pPr>
              <w:spacing w:before="0" w:line="240" w:lineRule="auto"/>
              <w:ind w:left="78"/>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09" w:type="dxa"/>
            <w:tcBorders>
              <w:bottom w:val="nil"/>
              <w:right w:val="nil"/>
            </w:tcBorders>
            <w:shd w:val="clear" w:color="auto" w:fill="DAEEF3" w:themeFill="accent5" w:themeFillTint="33"/>
            <w:vAlign w:val="center"/>
          </w:tcPr>
          <w:p w14:paraId="164E5C4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w:t>
            </w:r>
          </w:p>
        </w:tc>
        <w:tc>
          <w:tcPr>
            <w:tcW w:w="1452" w:type="dxa"/>
            <w:tcBorders>
              <w:left w:val="nil"/>
              <w:bottom w:val="nil"/>
              <w:right w:val="single" w:sz="4" w:space="0" w:color="auto"/>
            </w:tcBorders>
            <w:shd w:val="clear" w:color="auto" w:fill="DAEEF3" w:themeFill="accent5" w:themeFillTint="33"/>
            <w:vAlign w:val="center"/>
          </w:tcPr>
          <w:p w14:paraId="5737995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r w:rsidRPr="00AF3A24">
              <w:rPr>
                <w:rFonts w:asciiTheme="minorHAnsi" w:hAnsiTheme="minorHAnsi"/>
                <w:bCs/>
                <w:color w:val="000000"/>
                <w:sz w:val="16"/>
                <w:szCs w:val="16"/>
              </w:rPr>
              <w:br/>
              <w:t>(5.3 - 8.8)</w:t>
            </w:r>
          </w:p>
        </w:tc>
        <w:tc>
          <w:tcPr>
            <w:tcW w:w="674" w:type="dxa"/>
            <w:tcBorders>
              <w:bottom w:val="nil"/>
              <w:right w:val="nil"/>
            </w:tcBorders>
            <w:shd w:val="clear" w:color="auto" w:fill="DAEEF3" w:themeFill="accent5" w:themeFillTint="33"/>
            <w:vAlign w:val="center"/>
          </w:tcPr>
          <w:p w14:paraId="0B026E4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372</w:t>
            </w:r>
          </w:p>
        </w:tc>
        <w:tc>
          <w:tcPr>
            <w:tcW w:w="1488" w:type="dxa"/>
            <w:tcBorders>
              <w:left w:val="nil"/>
              <w:bottom w:val="nil"/>
              <w:right w:val="single" w:sz="4" w:space="0" w:color="auto"/>
            </w:tcBorders>
            <w:shd w:val="clear" w:color="auto" w:fill="DAEEF3" w:themeFill="accent5" w:themeFillTint="33"/>
            <w:vAlign w:val="center"/>
          </w:tcPr>
          <w:p w14:paraId="774C90A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25.7</w:t>
            </w:r>
            <w:r w:rsidRPr="00AF3A24">
              <w:rPr>
                <w:rFonts w:asciiTheme="minorHAnsi" w:hAnsiTheme="minorHAnsi"/>
                <w:bCs/>
                <w:color w:val="000000"/>
                <w:sz w:val="16"/>
                <w:szCs w:val="16"/>
              </w:rPr>
              <w:br/>
              <w:t>(22.8 - 28.6)</w:t>
            </w:r>
          </w:p>
        </w:tc>
        <w:tc>
          <w:tcPr>
            <w:tcW w:w="638" w:type="dxa"/>
            <w:tcBorders>
              <w:bottom w:val="nil"/>
              <w:right w:val="nil"/>
            </w:tcBorders>
            <w:shd w:val="clear" w:color="auto" w:fill="DAEEF3" w:themeFill="accent5" w:themeFillTint="33"/>
            <w:vAlign w:val="center"/>
          </w:tcPr>
          <w:p w14:paraId="4F57074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139</w:t>
            </w:r>
          </w:p>
        </w:tc>
        <w:tc>
          <w:tcPr>
            <w:tcW w:w="1524" w:type="dxa"/>
            <w:tcBorders>
              <w:left w:val="nil"/>
              <w:bottom w:val="nil"/>
              <w:right w:val="single" w:sz="4" w:space="0" w:color="auto"/>
            </w:tcBorders>
            <w:shd w:val="clear" w:color="auto" w:fill="DAEEF3" w:themeFill="accent5" w:themeFillTint="33"/>
            <w:vAlign w:val="center"/>
          </w:tcPr>
          <w:p w14:paraId="58BE0A5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8.8</w:t>
            </w:r>
            <w:r w:rsidRPr="00AF3A24">
              <w:rPr>
                <w:rFonts w:asciiTheme="minorHAnsi" w:hAnsiTheme="minorHAnsi"/>
                <w:bCs/>
                <w:color w:val="000000"/>
                <w:sz w:val="16"/>
                <w:szCs w:val="16"/>
              </w:rPr>
              <w:br/>
              <w:t>(7.0 - 10.6)</w:t>
            </w:r>
          </w:p>
        </w:tc>
        <w:tc>
          <w:tcPr>
            <w:tcW w:w="744" w:type="dxa"/>
            <w:tcBorders>
              <w:bottom w:val="nil"/>
              <w:right w:val="nil"/>
            </w:tcBorders>
            <w:shd w:val="clear" w:color="auto" w:fill="DAEEF3" w:themeFill="accent5" w:themeFillTint="33"/>
            <w:vAlign w:val="center"/>
          </w:tcPr>
          <w:p w14:paraId="0D9EF77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w:t>
            </w:r>
          </w:p>
        </w:tc>
        <w:tc>
          <w:tcPr>
            <w:tcW w:w="1418" w:type="dxa"/>
            <w:tcBorders>
              <w:left w:val="nil"/>
              <w:bottom w:val="nil"/>
              <w:right w:val="single" w:sz="8" w:space="0" w:color="auto"/>
            </w:tcBorders>
            <w:shd w:val="clear" w:color="auto" w:fill="DAEEF3" w:themeFill="accent5" w:themeFillTint="33"/>
            <w:vAlign w:val="center"/>
          </w:tcPr>
          <w:p w14:paraId="26880D2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r w:rsidRPr="00AF3A24">
              <w:rPr>
                <w:rFonts w:asciiTheme="minorHAnsi" w:hAnsiTheme="minorHAnsi"/>
                <w:bCs/>
                <w:color w:val="000000"/>
                <w:sz w:val="16"/>
                <w:szCs w:val="16"/>
              </w:rPr>
              <w:br/>
              <w:t>(3.9 - 7.0)</w:t>
            </w:r>
          </w:p>
        </w:tc>
      </w:tr>
      <w:tr w:rsidR="003A39BC" w:rsidRPr="00AF3A24" w14:paraId="36180489" w14:textId="77777777" w:rsidTr="00203BC6">
        <w:tc>
          <w:tcPr>
            <w:tcW w:w="1418" w:type="dxa"/>
            <w:vMerge/>
            <w:shd w:val="clear" w:color="auto" w:fill="DAEEF3" w:themeFill="accent5" w:themeFillTint="33"/>
            <w:vAlign w:val="center"/>
          </w:tcPr>
          <w:p w14:paraId="259C3696"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74E6E285"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09" w:type="dxa"/>
            <w:tcBorders>
              <w:top w:val="nil"/>
              <w:bottom w:val="nil"/>
              <w:right w:val="nil"/>
            </w:tcBorders>
            <w:shd w:val="clear" w:color="auto" w:fill="DAEEF3" w:themeFill="accent5" w:themeFillTint="33"/>
            <w:vAlign w:val="center"/>
          </w:tcPr>
          <w:p w14:paraId="588CF3D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400</w:t>
            </w:r>
          </w:p>
        </w:tc>
        <w:tc>
          <w:tcPr>
            <w:tcW w:w="1452" w:type="dxa"/>
            <w:tcBorders>
              <w:top w:val="nil"/>
              <w:left w:val="nil"/>
              <w:bottom w:val="nil"/>
              <w:right w:val="single" w:sz="4" w:space="0" w:color="auto"/>
            </w:tcBorders>
            <w:shd w:val="clear" w:color="auto" w:fill="DAEEF3" w:themeFill="accent5" w:themeFillTint="33"/>
            <w:vAlign w:val="center"/>
          </w:tcPr>
          <w:p w14:paraId="32734BC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22.1</w:t>
            </w:r>
            <w:r w:rsidRPr="00AF3A24">
              <w:rPr>
                <w:rFonts w:asciiTheme="minorHAnsi" w:hAnsiTheme="minorHAnsi"/>
                <w:bCs/>
                <w:color w:val="000000"/>
                <w:sz w:val="16"/>
                <w:szCs w:val="16"/>
              </w:rPr>
              <w:br/>
              <w:t>(19.6 - 24.5)</w:t>
            </w:r>
          </w:p>
        </w:tc>
        <w:tc>
          <w:tcPr>
            <w:tcW w:w="674" w:type="dxa"/>
            <w:tcBorders>
              <w:top w:val="nil"/>
              <w:left w:val="nil"/>
              <w:bottom w:val="nil"/>
              <w:right w:val="nil"/>
            </w:tcBorders>
            <w:shd w:val="clear" w:color="auto" w:fill="DAEEF3" w:themeFill="accent5" w:themeFillTint="33"/>
            <w:vAlign w:val="center"/>
          </w:tcPr>
          <w:p w14:paraId="0C2E245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584</w:t>
            </w:r>
          </w:p>
        </w:tc>
        <w:tc>
          <w:tcPr>
            <w:tcW w:w="1488" w:type="dxa"/>
            <w:tcBorders>
              <w:top w:val="nil"/>
              <w:left w:val="nil"/>
              <w:bottom w:val="nil"/>
              <w:right w:val="single" w:sz="4" w:space="0" w:color="auto"/>
            </w:tcBorders>
            <w:shd w:val="clear" w:color="auto" w:fill="DAEEF3" w:themeFill="accent5" w:themeFillTint="33"/>
            <w:vAlign w:val="center"/>
          </w:tcPr>
          <w:p w14:paraId="6135402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31.9</w:t>
            </w:r>
            <w:r w:rsidRPr="00AF3A24">
              <w:rPr>
                <w:rFonts w:asciiTheme="minorHAnsi" w:hAnsiTheme="minorHAnsi"/>
                <w:bCs/>
                <w:color w:val="000000"/>
                <w:sz w:val="16"/>
                <w:szCs w:val="16"/>
              </w:rPr>
              <w:br/>
              <w:t>(29.1 - 34.7)</w:t>
            </w:r>
          </w:p>
        </w:tc>
        <w:tc>
          <w:tcPr>
            <w:tcW w:w="638" w:type="dxa"/>
            <w:tcBorders>
              <w:top w:val="nil"/>
              <w:left w:val="nil"/>
              <w:bottom w:val="nil"/>
              <w:right w:val="nil"/>
            </w:tcBorders>
            <w:shd w:val="clear" w:color="auto" w:fill="DAEEF3" w:themeFill="accent5" w:themeFillTint="33"/>
            <w:vAlign w:val="center"/>
          </w:tcPr>
          <w:p w14:paraId="52E9E4A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229</w:t>
            </w:r>
          </w:p>
        </w:tc>
        <w:tc>
          <w:tcPr>
            <w:tcW w:w="1524" w:type="dxa"/>
            <w:tcBorders>
              <w:top w:val="nil"/>
              <w:left w:val="nil"/>
              <w:bottom w:val="nil"/>
              <w:right w:val="single" w:sz="4" w:space="0" w:color="auto"/>
            </w:tcBorders>
            <w:shd w:val="clear" w:color="auto" w:fill="DAEEF3" w:themeFill="accent5" w:themeFillTint="33"/>
            <w:vAlign w:val="center"/>
          </w:tcPr>
          <w:p w14:paraId="71F5395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11.9</w:t>
            </w:r>
            <w:r w:rsidRPr="00AF3A24">
              <w:rPr>
                <w:rFonts w:asciiTheme="minorHAnsi" w:hAnsiTheme="minorHAnsi"/>
                <w:bCs/>
                <w:color w:val="000000"/>
                <w:sz w:val="16"/>
                <w:szCs w:val="16"/>
              </w:rPr>
              <w:br/>
              <w:t>(10.1 - 13.7)</w:t>
            </w:r>
          </w:p>
        </w:tc>
        <w:tc>
          <w:tcPr>
            <w:tcW w:w="744" w:type="dxa"/>
            <w:tcBorders>
              <w:top w:val="nil"/>
              <w:left w:val="nil"/>
              <w:bottom w:val="nil"/>
              <w:right w:val="nil"/>
            </w:tcBorders>
            <w:shd w:val="clear" w:color="auto" w:fill="DAEEF3" w:themeFill="accent5" w:themeFillTint="33"/>
            <w:vAlign w:val="center"/>
          </w:tcPr>
          <w:p w14:paraId="67A5058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147</w:t>
            </w:r>
          </w:p>
        </w:tc>
        <w:tc>
          <w:tcPr>
            <w:tcW w:w="1418" w:type="dxa"/>
            <w:tcBorders>
              <w:top w:val="nil"/>
              <w:left w:val="nil"/>
              <w:bottom w:val="nil"/>
              <w:right w:val="single" w:sz="8" w:space="0" w:color="auto"/>
            </w:tcBorders>
            <w:shd w:val="clear" w:color="auto" w:fill="DAEEF3" w:themeFill="accent5" w:themeFillTint="33"/>
            <w:vAlign w:val="center"/>
          </w:tcPr>
          <w:p w14:paraId="40D13CD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8.4</w:t>
            </w:r>
            <w:r w:rsidRPr="00AF3A24">
              <w:rPr>
                <w:rFonts w:asciiTheme="minorHAnsi" w:hAnsiTheme="minorHAnsi"/>
                <w:bCs/>
                <w:color w:val="000000"/>
                <w:sz w:val="16"/>
                <w:szCs w:val="16"/>
              </w:rPr>
              <w:br/>
              <w:t>(6.7 - 10.0)</w:t>
            </w:r>
          </w:p>
        </w:tc>
      </w:tr>
      <w:tr w:rsidR="003A39BC" w:rsidRPr="00AF3A24" w14:paraId="1EB09408" w14:textId="77777777" w:rsidTr="00203BC6">
        <w:tc>
          <w:tcPr>
            <w:tcW w:w="1418" w:type="dxa"/>
            <w:vMerge/>
            <w:shd w:val="clear" w:color="auto" w:fill="DAEEF3" w:themeFill="accent5" w:themeFillTint="33"/>
            <w:vAlign w:val="center"/>
          </w:tcPr>
          <w:p w14:paraId="5272BBFB"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16A27F93"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09" w:type="dxa"/>
            <w:tcBorders>
              <w:top w:val="nil"/>
              <w:bottom w:val="nil"/>
              <w:right w:val="nil"/>
            </w:tcBorders>
            <w:shd w:val="clear" w:color="auto" w:fill="DAEEF3" w:themeFill="accent5" w:themeFillTint="33"/>
            <w:vAlign w:val="center"/>
          </w:tcPr>
          <w:p w14:paraId="7304F9C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707</w:t>
            </w:r>
          </w:p>
        </w:tc>
        <w:tc>
          <w:tcPr>
            <w:tcW w:w="1452" w:type="dxa"/>
            <w:tcBorders>
              <w:top w:val="nil"/>
              <w:left w:val="nil"/>
              <w:bottom w:val="nil"/>
              <w:right w:val="single" w:sz="4" w:space="0" w:color="auto"/>
            </w:tcBorders>
            <w:shd w:val="clear" w:color="auto" w:fill="DAEEF3" w:themeFill="accent5" w:themeFillTint="33"/>
            <w:vAlign w:val="center"/>
          </w:tcPr>
          <w:p w14:paraId="20EE224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32.1</w:t>
            </w:r>
            <w:r w:rsidRPr="00AF3A24">
              <w:rPr>
                <w:rFonts w:asciiTheme="minorHAnsi" w:hAnsiTheme="minorHAnsi"/>
                <w:bCs/>
                <w:color w:val="000000"/>
                <w:sz w:val="16"/>
                <w:szCs w:val="16"/>
              </w:rPr>
              <w:br/>
              <w:t>(29.6 - 34.5)</w:t>
            </w:r>
          </w:p>
        </w:tc>
        <w:tc>
          <w:tcPr>
            <w:tcW w:w="674" w:type="dxa"/>
            <w:tcBorders>
              <w:top w:val="nil"/>
              <w:left w:val="nil"/>
              <w:bottom w:val="nil"/>
              <w:right w:val="nil"/>
            </w:tcBorders>
            <w:shd w:val="clear" w:color="auto" w:fill="DAEEF3" w:themeFill="accent5" w:themeFillTint="33"/>
            <w:vAlign w:val="center"/>
          </w:tcPr>
          <w:p w14:paraId="6AA6BF0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585</w:t>
            </w:r>
          </w:p>
        </w:tc>
        <w:tc>
          <w:tcPr>
            <w:tcW w:w="1488" w:type="dxa"/>
            <w:tcBorders>
              <w:top w:val="nil"/>
              <w:left w:val="nil"/>
              <w:bottom w:val="nil"/>
              <w:right w:val="single" w:sz="4" w:space="0" w:color="auto"/>
            </w:tcBorders>
            <w:shd w:val="clear" w:color="auto" w:fill="DAEEF3" w:themeFill="accent5" w:themeFillTint="33"/>
            <w:vAlign w:val="center"/>
          </w:tcPr>
          <w:p w14:paraId="19FAA42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24.7</w:t>
            </w:r>
            <w:r w:rsidRPr="00AF3A24">
              <w:rPr>
                <w:rFonts w:asciiTheme="minorHAnsi" w:hAnsiTheme="minorHAnsi"/>
                <w:bCs/>
                <w:color w:val="000000"/>
                <w:sz w:val="16"/>
                <w:szCs w:val="16"/>
              </w:rPr>
              <w:br/>
              <w:t>(22.3 - 27.1)</w:t>
            </w:r>
          </w:p>
        </w:tc>
        <w:tc>
          <w:tcPr>
            <w:tcW w:w="638" w:type="dxa"/>
            <w:tcBorders>
              <w:top w:val="nil"/>
              <w:left w:val="nil"/>
              <w:bottom w:val="nil"/>
              <w:right w:val="nil"/>
            </w:tcBorders>
            <w:shd w:val="clear" w:color="auto" w:fill="DAEEF3" w:themeFill="accent5" w:themeFillTint="33"/>
            <w:vAlign w:val="center"/>
          </w:tcPr>
          <w:p w14:paraId="3F78C37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202</w:t>
            </w:r>
          </w:p>
        </w:tc>
        <w:tc>
          <w:tcPr>
            <w:tcW w:w="1524" w:type="dxa"/>
            <w:tcBorders>
              <w:top w:val="nil"/>
              <w:left w:val="nil"/>
              <w:bottom w:val="nil"/>
              <w:right w:val="single" w:sz="4" w:space="0" w:color="auto"/>
            </w:tcBorders>
            <w:shd w:val="clear" w:color="auto" w:fill="DAEEF3" w:themeFill="accent5" w:themeFillTint="33"/>
            <w:vAlign w:val="center"/>
          </w:tcPr>
          <w:p w14:paraId="16EE73E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8.8</w:t>
            </w:r>
            <w:r w:rsidRPr="00AF3A24">
              <w:rPr>
                <w:rFonts w:asciiTheme="minorHAnsi" w:hAnsiTheme="minorHAnsi"/>
                <w:bCs/>
                <w:color w:val="000000"/>
                <w:sz w:val="16"/>
                <w:szCs w:val="16"/>
              </w:rPr>
              <w:br/>
              <w:t>(7.2 - 10.5)</w:t>
            </w:r>
          </w:p>
        </w:tc>
        <w:tc>
          <w:tcPr>
            <w:tcW w:w="744" w:type="dxa"/>
            <w:tcBorders>
              <w:top w:val="nil"/>
              <w:left w:val="nil"/>
              <w:bottom w:val="nil"/>
              <w:right w:val="nil"/>
            </w:tcBorders>
            <w:shd w:val="clear" w:color="auto" w:fill="DAEEF3" w:themeFill="accent5" w:themeFillTint="33"/>
            <w:vAlign w:val="center"/>
          </w:tcPr>
          <w:p w14:paraId="54E16B6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w:t>
            </w:r>
          </w:p>
        </w:tc>
        <w:tc>
          <w:tcPr>
            <w:tcW w:w="1418" w:type="dxa"/>
            <w:tcBorders>
              <w:top w:val="nil"/>
              <w:left w:val="nil"/>
              <w:bottom w:val="nil"/>
              <w:right w:val="single" w:sz="8" w:space="0" w:color="auto"/>
            </w:tcBorders>
            <w:shd w:val="clear" w:color="auto" w:fill="DAEEF3" w:themeFill="accent5" w:themeFillTint="33"/>
            <w:vAlign w:val="center"/>
          </w:tcPr>
          <w:p w14:paraId="66E29D1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w:t>
            </w:r>
            <w:r w:rsidRPr="00AF3A24">
              <w:rPr>
                <w:rFonts w:asciiTheme="minorHAnsi" w:hAnsiTheme="minorHAnsi"/>
                <w:bCs/>
                <w:color w:val="000000"/>
                <w:sz w:val="16"/>
                <w:szCs w:val="16"/>
              </w:rPr>
              <w:br/>
              <w:t>(4.0 - 6.4)</w:t>
            </w:r>
          </w:p>
        </w:tc>
      </w:tr>
      <w:tr w:rsidR="003A39BC" w:rsidRPr="00AF3A24" w14:paraId="14FE1B55" w14:textId="77777777" w:rsidTr="00203BC6">
        <w:tc>
          <w:tcPr>
            <w:tcW w:w="1418" w:type="dxa"/>
            <w:vMerge/>
            <w:shd w:val="clear" w:color="auto" w:fill="DAEEF3" w:themeFill="accent5" w:themeFillTint="33"/>
            <w:vAlign w:val="center"/>
          </w:tcPr>
          <w:p w14:paraId="772BBE3C"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642E0100"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09" w:type="dxa"/>
            <w:tcBorders>
              <w:top w:val="nil"/>
              <w:bottom w:val="nil"/>
              <w:right w:val="nil"/>
            </w:tcBorders>
            <w:shd w:val="clear" w:color="auto" w:fill="DAEEF3" w:themeFill="accent5" w:themeFillTint="33"/>
            <w:vAlign w:val="center"/>
          </w:tcPr>
          <w:p w14:paraId="53E94AE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732</w:t>
            </w:r>
          </w:p>
        </w:tc>
        <w:tc>
          <w:tcPr>
            <w:tcW w:w="1452" w:type="dxa"/>
            <w:tcBorders>
              <w:top w:val="nil"/>
              <w:left w:val="nil"/>
              <w:bottom w:val="nil"/>
              <w:right w:val="single" w:sz="4" w:space="0" w:color="auto"/>
            </w:tcBorders>
            <w:shd w:val="clear" w:color="auto" w:fill="DAEEF3" w:themeFill="accent5" w:themeFillTint="33"/>
            <w:vAlign w:val="center"/>
          </w:tcPr>
          <w:p w14:paraId="37EC051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36.4</w:t>
            </w:r>
            <w:r w:rsidRPr="00AF3A24">
              <w:rPr>
                <w:rFonts w:asciiTheme="minorHAnsi" w:hAnsiTheme="minorHAnsi"/>
                <w:bCs/>
                <w:color w:val="000000"/>
                <w:sz w:val="16"/>
                <w:szCs w:val="16"/>
              </w:rPr>
              <w:br/>
              <w:t>(33.6 - 39.1)</w:t>
            </w:r>
          </w:p>
        </w:tc>
        <w:tc>
          <w:tcPr>
            <w:tcW w:w="674" w:type="dxa"/>
            <w:tcBorders>
              <w:top w:val="nil"/>
              <w:left w:val="nil"/>
              <w:bottom w:val="nil"/>
              <w:right w:val="nil"/>
            </w:tcBorders>
            <w:shd w:val="clear" w:color="auto" w:fill="DAEEF3" w:themeFill="accent5" w:themeFillTint="33"/>
            <w:vAlign w:val="center"/>
          </w:tcPr>
          <w:p w14:paraId="748D316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522</w:t>
            </w:r>
          </w:p>
        </w:tc>
        <w:tc>
          <w:tcPr>
            <w:tcW w:w="1488" w:type="dxa"/>
            <w:tcBorders>
              <w:top w:val="nil"/>
              <w:left w:val="nil"/>
              <w:bottom w:val="nil"/>
              <w:right w:val="single" w:sz="4" w:space="0" w:color="auto"/>
            </w:tcBorders>
            <w:shd w:val="clear" w:color="auto" w:fill="DAEEF3" w:themeFill="accent5" w:themeFillTint="33"/>
            <w:vAlign w:val="center"/>
          </w:tcPr>
          <w:p w14:paraId="67AC3C2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24.7</w:t>
            </w:r>
            <w:r w:rsidRPr="00AF3A24">
              <w:rPr>
                <w:rFonts w:asciiTheme="minorHAnsi" w:hAnsiTheme="minorHAnsi"/>
                <w:bCs/>
                <w:color w:val="000000"/>
                <w:sz w:val="16"/>
                <w:szCs w:val="16"/>
              </w:rPr>
              <w:br/>
              <w:t>(22.2 - 27.2)</w:t>
            </w:r>
          </w:p>
        </w:tc>
        <w:tc>
          <w:tcPr>
            <w:tcW w:w="638" w:type="dxa"/>
            <w:tcBorders>
              <w:top w:val="nil"/>
              <w:left w:val="nil"/>
              <w:bottom w:val="nil"/>
              <w:right w:val="nil"/>
            </w:tcBorders>
            <w:shd w:val="clear" w:color="auto" w:fill="DAEEF3" w:themeFill="accent5" w:themeFillTint="33"/>
            <w:vAlign w:val="center"/>
          </w:tcPr>
          <w:p w14:paraId="558C0C1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182</w:t>
            </w:r>
          </w:p>
        </w:tc>
        <w:tc>
          <w:tcPr>
            <w:tcW w:w="1524" w:type="dxa"/>
            <w:tcBorders>
              <w:top w:val="nil"/>
              <w:left w:val="nil"/>
              <w:bottom w:val="nil"/>
              <w:right w:val="single" w:sz="4" w:space="0" w:color="auto"/>
            </w:tcBorders>
            <w:shd w:val="clear" w:color="auto" w:fill="DAEEF3" w:themeFill="accent5" w:themeFillTint="33"/>
            <w:vAlign w:val="center"/>
          </w:tcPr>
          <w:p w14:paraId="78B9A8F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7.7</w:t>
            </w:r>
            <w:r w:rsidRPr="00AF3A24">
              <w:rPr>
                <w:rFonts w:asciiTheme="minorHAnsi" w:hAnsiTheme="minorHAnsi"/>
                <w:bCs/>
                <w:color w:val="000000"/>
                <w:sz w:val="16"/>
                <w:szCs w:val="16"/>
              </w:rPr>
              <w:br/>
              <w:t>(6.2 - 9.3)</w:t>
            </w:r>
          </w:p>
        </w:tc>
        <w:tc>
          <w:tcPr>
            <w:tcW w:w="744" w:type="dxa"/>
            <w:tcBorders>
              <w:top w:val="nil"/>
              <w:left w:val="nil"/>
              <w:bottom w:val="nil"/>
              <w:right w:val="nil"/>
            </w:tcBorders>
            <w:shd w:val="clear" w:color="auto" w:fill="DAEEF3" w:themeFill="accent5" w:themeFillTint="33"/>
            <w:vAlign w:val="center"/>
          </w:tcPr>
          <w:p w14:paraId="05943CA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p>
        </w:tc>
        <w:tc>
          <w:tcPr>
            <w:tcW w:w="1418" w:type="dxa"/>
            <w:tcBorders>
              <w:top w:val="nil"/>
              <w:left w:val="nil"/>
              <w:bottom w:val="nil"/>
              <w:right w:val="single" w:sz="8" w:space="0" w:color="auto"/>
            </w:tcBorders>
            <w:shd w:val="clear" w:color="auto" w:fill="DAEEF3" w:themeFill="accent5" w:themeFillTint="33"/>
            <w:vAlign w:val="center"/>
          </w:tcPr>
          <w:p w14:paraId="22E70D8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r w:rsidRPr="00AF3A24">
              <w:rPr>
                <w:rFonts w:asciiTheme="minorHAnsi" w:hAnsiTheme="minorHAnsi"/>
                <w:bCs/>
                <w:color w:val="000000"/>
                <w:sz w:val="16"/>
                <w:szCs w:val="16"/>
              </w:rPr>
              <w:br/>
              <w:t>(3.5 - 6.0)</w:t>
            </w:r>
          </w:p>
        </w:tc>
      </w:tr>
      <w:tr w:rsidR="003A39BC" w:rsidRPr="00AF3A24" w14:paraId="51F6864C" w14:textId="77777777" w:rsidTr="00203BC6">
        <w:tc>
          <w:tcPr>
            <w:tcW w:w="1418" w:type="dxa"/>
            <w:vMerge/>
            <w:shd w:val="clear" w:color="auto" w:fill="DAEEF3" w:themeFill="accent5" w:themeFillTint="33"/>
            <w:vAlign w:val="center"/>
          </w:tcPr>
          <w:p w14:paraId="736B3CF4"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740E5BDE"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09" w:type="dxa"/>
            <w:tcBorders>
              <w:top w:val="nil"/>
              <w:bottom w:val="nil"/>
              <w:right w:val="nil"/>
            </w:tcBorders>
            <w:shd w:val="clear" w:color="auto" w:fill="DAEEF3" w:themeFill="accent5" w:themeFillTint="33"/>
            <w:vAlign w:val="center"/>
          </w:tcPr>
          <w:p w14:paraId="65E73DF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685</w:t>
            </w:r>
          </w:p>
        </w:tc>
        <w:tc>
          <w:tcPr>
            <w:tcW w:w="1452" w:type="dxa"/>
            <w:tcBorders>
              <w:top w:val="nil"/>
              <w:left w:val="nil"/>
              <w:bottom w:val="nil"/>
              <w:right w:val="single" w:sz="4" w:space="0" w:color="auto"/>
            </w:tcBorders>
            <w:shd w:val="clear" w:color="auto" w:fill="DAEEF3" w:themeFill="accent5" w:themeFillTint="33"/>
            <w:vAlign w:val="center"/>
          </w:tcPr>
          <w:p w14:paraId="734149B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35.5</w:t>
            </w:r>
            <w:r w:rsidRPr="00AF3A24">
              <w:rPr>
                <w:rFonts w:asciiTheme="minorHAnsi" w:hAnsiTheme="minorHAnsi"/>
                <w:bCs/>
                <w:color w:val="000000"/>
                <w:sz w:val="16"/>
                <w:szCs w:val="16"/>
              </w:rPr>
              <w:br/>
              <w:t>(32.8 - 38.2)</w:t>
            </w:r>
          </w:p>
        </w:tc>
        <w:tc>
          <w:tcPr>
            <w:tcW w:w="674" w:type="dxa"/>
            <w:tcBorders>
              <w:top w:val="nil"/>
              <w:left w:val="nil"/>
              <w:bottom w:val="nil"/>
              <w:right w:val="nil"/>
            </w:tcBorders>
            <w:shd w:val="clear" w:color="auto" w:fill="DAEEF3" w:themeFill="accent5" w:themeFillTint="33"/>
            <w:vAlign w:val="center"/>
          </w:tcPr>
          <w:p w14:paraId="2AB56CD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491</w:t>
            </w:r>
          </w:p>
        </w:tc>
        <w:tc>
          <w:tcPr>
            <w:tcW w:w="1488" w:type="dxa"/>
            <w:tcBorders>
              <w:top w:val="nil"/>
              <w:left w:val="nil"/>
              <w:bottom w:val="nil"/>
              <w:right w:val="single" w:sz="4" w:space="0" w:color="auto"/>
            </w:tcBorders>
            <w:shd w:val="clear" w:color="auto" w:fill="DAEEF3" w:themeFill="accent5" w:themeFillTint="33"/>
            <w:vAlign w:val="center"/>
          </w:tcPr>
          <w:p w14:paraId="0D1D1DB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23.7</w:t>
            </w:r>
            <w:r w:rsidRPr="00AF3A24">
              <w:rPr>
                <w:rFonts w:asciiTheme="minorHAnsi" w:hAnsiTheme="minorHAnsi"/>
                <w:bCs/>
                <w:color w:val="000000"/>
                <w:sz w:val="16"/>
                <w:szCs w:val="16"/>
              </w:rPr>
              <w:br/>
              <w:t>(21.2 - 26.2)</w:t>
            </w:r>
          </w:p>
        </w:tc>
        <w:tc>
          <w:tcPr>
            <w:tcW w:w="638" w:type="dxa"/>
            <w:tcBorders>
              <w:top w:val="nil"/>
              <w:left w:val="nil"/>
              <w:bottom w:val="nil"/>
              <w:right w:val="nil"/>
            </w:tcBorders>
            <w:shd w:val="clear" w:color="auto" w:fill="DAEEF3" w:themeFill="accent5" w:themeFillTint="33"/>
            <w:vAlign w:val="center"/>
          </w:tcPr>
          <w:p w14:paraId="3108E1D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213</w:t>
            </w:r>
          </w:p>
        </w:tc>
        <w:tc>
          <w:tcPr>
            <w:tcW w:w="1524" w:type="dxa"/>
            <w:tcBorders>
              <w:top w:val="nil"/>
              <w:left w:val="nil"/>
              <w:bottom w:val="nil"/>
              <w:right w:val="single" w:sz="4" w:space="0" w:color="auto"/>
            </w:tcBorders>
            <w:shd w:val="clear" w:color="auto" w:fill="DAEEF3" w:themeFill="accent5" w:themeFillTint="33"/>
            <w:vAlign w:val="center"/>
          </w:tcPr>
          <w:p w14:paraId="3CCE084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w:t>
            </w:r>
            <w:r w:rsidRPr="00AF3A24">
              <w:rPr>
                <w:rFonts w:asciiTheme="minorHAnsi" w:hAnsiTheme="minorHAnsi"/>
                <w:bCs/>
                <w:color w:val="000000"/>
                <w:sz w:val="16"/>
                <w:szCs w:val="16"/>
              </w:rPr>
              <w:br/>
              <w:t>(8.3 - 11.7)</w:t>
            </w:r>
          </w:p>
        </w:tc>
        <w:tc>
          <w:tcPr>
            <w:tcW w:w="744" w:type="dxa"/>
            <w:tcBorders>
              <w:top w:val="nil"/>
              <w:left w:val="nil"/>
              <w:bottom w:val="nil"/>
              <w:right w:val="nil"/>
            </w:tcBorders>
            <w:shd w:val="clear" w:color="auto" w:fill="DAEEF3" w:themeFill="accent5" w:themeFillTint="33"/>
            <w:vAlign w:val="center"/>
          </w:tcPr>
          <w:p w14:paraId="47210EB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96</w:t>
            </w:r>
          </w:p>
        </w:tc>
        <w:tc>
          <w:tcPr>
            <w:tcW w:w="1418" w:type="dxa"/>
            <w:tcBorders>
              <w:top w:val="nil"/>
              <w:left w:val="nil"/>
              <w:bottom w:val="nil"/>
              <w:right w:val="single" w:sz="8" w:space="0" w:color="auto"/>
            </w:tcBorders>
            <w:shd w:val="clear" w:color="auto" w:fill="DAEEF3" w:themeFill="accent5" w:themeFillTint="33"/>
            <w:vAlign w:val="center"/>
          </w:tcPr>
          <w:p w14:paraId="5A3F85A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r w:rsidRPr="00AF3A24">
              <w:rPr>
                <w:rFonts w:asciiTheme="minorHAnsi" w:hAnsiTheme="minorHAnsi"/>
                <w:bCs/>
                <w:color w:val="000000"/>
                <w:sz w:val="16"/>
                <w:szCs w:val="16"/>
              </w:rPr>
              <w:br/>
              <w:t>(3.7 - 6.1)</w:t>
            </w:r>
          </w:p>
        </w:tc>
      </w:tr>
      <w:tr w:rsidR="003A39BC" w:rsidRPr="00AF3A24" w14:paraId="4732FBD9" w14:textId="77777777" w:rsidTr="00203BC6">
        <w:tc>
          <w:tcPr>
            <w:tcW w:w="1418" w:type="dxa"/>
            <w:vMerge/>
            <w:tcBorders>
              <w:bottom w:val="nil"/>
            </w:tcBorders>
            <w:shd w:val="clear" w:color="auto" w:fill="DAEEF3" w:themeFill="accent5" w:themeFillTint="33"/>
            <w:vAlign w:val="center"/>
          </w:tcPr>
          <w:p w14:paraId="798AE168"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5FF63DC7"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09" w:type="dxa"/>
            <w:tcBorders>
              <w:top w:val="nil"/>
              <w:bottom w:val="nil"/>
              <w:right w:val="nil"/>
            </w:tcBorders>
            <w:shd w:val="clear" w:color="auto" w:fill="DAEEF3" w:themeFill="accent5" w:themeFillTint="33"/>
            <w:vAlign w:val="center"/>
          </w:tcPr>
          <w:p w14:paraId="04ACE3D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803</w:t>
            </w:r>
          </w:p>
        </w:tc>
        <w:tc>
          <w:tcPr>
            <w:tcW w:w="1452" w:type="dxa"/>
            <w:tcBorders>
              <w:top w:val="nil"/>
              <w:left w:val="nil"/>
              <w:bottom w:val="nil"/>
              <w:right w:val="single" w:sz="4" w:space="0" w:color="auto"/>
            </w:tcBorders>
            <w:shd w:val="clear" w:color="auto" w:fill="DAEEF3" w:themeFill="accent5" w:themeFillTint="33"/>
            <w:vAlign w:val="center"/>
          </w:tcPr>
          <w:p w14:paraId="77ACB1A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31.4</w:t>
            </w:r>
            <w:r w:rsidRPr="00AF3A24">
              <w:rPr>
                <w:rFonts w:asciiTheme="minorHAnsi" w:hAnsiTheme="minorHAnsi"/>
                <w:bCs/>
                <w:color w:val="000000"/>
                <w:sz w:val="16"/>
                <w:szCs w:val="16"/>
              </w:rPr>
              <w:br/>
              <w:t>(29.2 - 33.6)</w:t>
            </w:r>
          </w:p>
        </w:tc>
        <w:tc>
          <w:tcPr>
            <w:tcW w:w="674" w:type="dxa"/>
            <w:tcBorders>
              <w:top w:val="nil"/>
              <w:left w:val="nil"/>
              <w:bottom w:val="nil"/>
              <w:right w:val="nil"/>
            </w:tcBorders>
            <w:shd w:val="clear" w:color="auto" w:fill="DAEEF3" w:themeFill="accent5" w:themeFillTint="33"/>
            <w:vAlign w:val="center"/>
          </w:tcPr>
          <w:p w14:paraId="3729112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567</w:t>
            </w:r>
          </w:p>
        </w:tc>
        <w:tc>
          <w:tcPr>
            <w:tcW w:w="1488" w:type="dxa"/>
            <w:tcBorders>
              <w:top w:val="nil"/>
              <w:left w:val="nil"/>
              <w:bottom w:val="nil"/>
              <w:right w:val="single" w:sz="4" w:space="0" w:color="auto"/>
            </w:tcBorders>
            <w:shd w:val="clear" w:color="auto" w:fill="DAEEF3" w:themeFill="accent5" w:themeFillTint="33"/>
            <w:vAlign w:val="center"/>
          </w:tcPr>
          <w:p w14:paraId="3D835D1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20.9</w:t>
            </w:r>
            <w:r w:rsidRPr="00AF3A24">
              <w:rPr>
                <w:rFonts w:asciiTheme="minorHAnsi" w:hAnsiTheme="minorHAnsi"/>
                <w:bCs/>
                <w:color w:val="000000"/>
                <w:sz w:val="16"/>
                <w:szCs w:val="16"/>
              </w:rPr>
              <w:br/>
              <w:t>(18.9 - 22.9)</w:t>
            </w:r>
          </w:p>
        </w:tc>
        <w:tc>
          <w:tcPr>
            <w:tcW w:w="638" w:type="dxa"/>
            <w:tcBorders>
              <w:top w:val="nil"/>
              <w:left w:val="nil"/>
              <w:bottom w:val="nil"/>
              <w:right w:val="nil"/>
            </w:tcBorders>
            <w:shd w:val="clear" w:color="auto" w:fill="DAEEF3" w:themeFill="accent5" w:themeFillTint="33"/>
            <w:vAlign w:val="center"/>
          </w:tcPr>
          <w:p w14:paraId="7396C1A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192</w:t>
            </w:r>
          </w:p>
        </w:tc>
        <w:tc>
          <w:tcPr>
            <w:tcW w:w="1524" w:type="dxa"/>
            <w:tcBorders>
              <w:top w:val="nil"/>
              <w:left w:val="nil"/>
              <w:bottom w:val="nil"/>
              <w:right w:val="single" w:sz="4" w:space="0" w:color="auto"/>
            </w:tcBorders>
            <w:shd w:val="clear" w:color="auto" w:fill="DAEEF3" w:themeFill="accent5" w:themeFillTint="33"/>
            <w:vAlign w:val="center"/>
          </w:tcPr>
          <w:p w14:paraId="798FE10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7.4</w:t>
            </w:r>
            <w:r w:rsidRPr="00AF3A24">
              <w:rPr>
                <w:rFonts w:asciiTheme="minorHAnsi" w:hAnsiTheme="minorHAnsi"/>
                <w:bCs/>
                <w:color w:val="000000"/>
                <w:sz w:val="16"/>
                <w:szCs w:val="16"/>
              </w:rPr>
              <w:br/>
              <w:t>(6.1 - 8.6)</w:t>
            </w:r>
          </w:p>
        </w:tc>
        <w:tc>
          <w:tcPr>
            <w:tcW w:w="744" w:type="dxa"/>
            <w:tcBorders>
              <w:top w:val="nil"/>
              <w:left w:val="nil"/>
              <w:bottom w:val="nil"/>
              <w:right w:val="nil"/>
            </w:tcBorders>
            <w:shd w:val="clear" w:color="auto" w:fill="DAEEF3" w:themeFill="accent5" w:themeFillTint="33"/>
            <w:vAlign w:val="center"/>
          </w:tcPr>
          <w:p w14:paraId="1FB8E71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tc>
        <w:tc>
          <w:tcPr>
            <w:tcW w:w="1418" w:type="dxa"/>
            <w:tcBorders>
              <w:top w:val="nil"/>
              <w:left w:val="nil"/>
              <w:bottom w:val="nil"/>
              <w:right w:val="single" w:sz="8" w:space="0" w:color="auto"/>
            </w:tcBorders>
            <w:shd w:val="clear" w:color="auto" w:fill="DAEEF3" w:themeFill="accent5" w:themeFillTint="33"/>
            <w:vAlign w:val="center"/>
          </w:tcPr>
          <w:p w14:paraId="1387437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r w:rsidRPr="00AF3A24">
              <w:rPr>
                <w:rFonts w:asciiTheme="minorHAnsi" w:hAnsiTheme="minorHAnsi"/>
                <w:bCs/>
                <w:color w:val="000000"/>
                <w:sz w:val="16"/>
                <w:szCs w:val="16"/>
              </w:rPr>
              <w:br/>
              <w:t>(2.9 - 4.7)</w:t>
            </w:r>
          </w:p>
        </w:tc>
      </w:tr>
      <w:tr w:rsidR="003A39BC" w:rsidRPr="00AF3A24" w14:paraId="33D13735" w14:textId="77777777" w:rsidTr="00203BC6">
        <w:tc>
          <w:tcPr>
            <w:tcW w:w="1418" w:type="dxa"/>
            <w:vMerge w:val="restart"/>
            <w:tcBorders>
              <w:top w:val="single" w:sz="4" w:space="0" w:color="auto"/>
            </w:tcBorders>
            <w:shd w:val="clear" w:color="auto" w:fill="DAEEF3" w:themeFill="accent5" w:themeFillTint="33"/>
            <w:vAlign w:val="center"/>
          </w:tcPr>
          <w:p w14:paraId="09F49DB6"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r w:rsidRPr="00AF3A24">
              <w:rPr>
                <w:rFonts w:asciiTheme="minorHAnsi" w:hAnsiTheme="minorHAnsi" w:cstheme="minorHAnsi"/>
                <w:sz w:val="16"/>
                <w:szCs w:val="16"/>
                <w:vertAlign w:val="superscript"/>
              </w:rPr>
              <w:t>4</w:t>
            </w:r>
          </w:p>
        </w:tc>
        <w:tc>
          <w:tcPr>
            <w:tcW w:w="1134" w:type="dxa"/>
            <w:tcBorders>
              <w:top w:val="single" w:sz="4" w:space="0" w:color="auto"/>
              <w:bottom w:val="nil"/>
            </w:tcBorders>
            <w:shd w:val="clear" w:color="auto" w:fill="DAEEF3" w:themeFill="accent5" w:themeFillTint="33"/>
            <w:vAlign w:val="center"/>
          </w:tcPr>
          <w:p w14:paraId="0852F57C"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09" w:type="dxa"/>
            <w:tcBorders>
              <w:bottom w:val="nil"/>
              <w:right w:val="nil"/>
            </w:tcBorders>
            <w:shd w:val="clear" w:color="auto" w:fill="DAEEF3" w:themeFill="accent5" w:themeFillTint="33"/>
            <w:vAlign w:val="center"/>
          </w:tcPr>
          <w:p w14:paraId="71A0498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655</w:t>
            </w:r>
          </w:p>
        </w:tc>
        <w:tc>
          <w:tcPr>
            <w:tcW w:w="1452" w:type="dxa"/>
            <w:tcBorders>
              <w:left w:val="nil"/>
              <w:bottom w:val="nil"/>
              <w:right w:val="single" w:sz="4" w:space="0" w:color="auto"/>
            </w:tcBorders>
            <w:shd w:val="clear" w:color="auto" w:fill="DAEEF3" w:themeFill="accent5" w:themeFillTint="33"/>
            <w:vAlign w:val="center"/>
          </w:tcPr>
          <w:p w14:paraId="2D316B5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22.6</w:t>
            </w:r>
          </w:p>
          <w:p w14:paraId="5BF0353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(20.7 - 24.5)</w:t>
            </w:r>
          </w:p>
        </w:tc>
        <w:tc>
          <w:tcPr>
            <w:tcW w:w="674" w:type="dxa"/>
            <w:tcBorders>
              <w:left w:val="nil"/>
              <w:bottom w:val="nil"/>
              <w:right w:val="nil"/>
            </w:tcBorders>
            <w:shd w:val="clear" w:color="auto" w:fill="DAEEF3" w:themeFill="accent5" w:themeFillTint="33"/>
            <w:vAlign w:val="center"/>
          </w:tcPr>
          <w:p w14:paraId="29371AF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753</w:t>
            </w:r>
          </w:p>
        </w:tc>
        <w:tc>
          <w:tcPr>
            <w:tcW w:w="1488" w:type="dxa"/>
            <w:tcBorders>
              <w:left w:val="nil"/>
              <w:bottom w:val="nil"/>
              <w:right w:val="single" w:sz="4" w:space="0" w:color="auto"/>
            </w:tcBorders>
            <w:shd w:val="clear" w:color="auto" w:fill="DAEEF3" w:themeFill="accent5" w:themeFillTint="33"/>
            <w:vAlign w:val="center"/>
          </w:tcPr>
          <w:p w14:paraId="421212E1"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31.5</w:t>
            </w:r>
          </w:p>
          <w:p w14:paraId="4A6B0E7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(28.9 - 34.1)</w:t>
            </w:r>
          </w:p>
        </w:tc>
        <w:tc>
          <w:tcPr>
            <w:tcW w:w="638" w:type="dxa"/>
            <w:tcBorders>
              <w:left w:val="nil"/>
              <w:bottom w:val="nil"/>
              <w:right w:val="nil"/>
            </w:tcBorders>
            <w:shd w:val="clear" w:color="auto" w:fill="DAEEF3" w:themeFill="accent5" w:themeFillTint="33"/>
            <w:vAlign w:val="center"/>
          </w:tcPr>
          <w:p w14:paraId="0816C513"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324</w:t>
            </w:r>
          </w:p>
        </w:tc>
        <w:tc>
          <w:tcPr>
            <w:tcW w:w="1524" w:type="dxa"/>
            <w:tcBorders>
              <w:left w:val="nil"/>
              <w:bottom w:val="nil"/>
              <w:right w:val="single" w:sz="4" w:space="0" w:color="auto"/>
            </w:tcBorders>
            <w:shd w:val="clear" w:color="auto" w:fill="DAEEF3" w:themeFill="accent5" w:themeFillTint="33"/>
            <w:vAlign w:val="center"/>
          </w:tcPr>
          <w:p w14:paraId="6C931535"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13.9</w:t>
            </w:r>
          </w:p>
          <w:p w14:paraId="61A19201"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(11.9 - 15.8)</w:t>
            </w:r>
          </w:p>
        </w:tc>
        <w:tc>
          <w:tcPr>
            <w:tcW w:w="744" w:type="dxa"/>
            <w:tcBorders>
              <w:left w:val="nil"/>
              <w:bottom w:val="nil"/>
              <w:right w:val="nil"/>
            </w:tcBorders>
            <w:shd w:val="clear" w:color="auto" w:fill="DAEEF3" w:themeFill="accent5" w:themeFillTint="33"/>
            <w:vAlign w:val="center"/>
          </w:tcPr>
          <w:p w14:paraId="0E6B2508"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131</w:t>
            </w:r>
          </w:p>
        </w:tc>
        <w:tc>
          <w:tcPr>
            <w:tcW w:w="1418" w:type="dxa"/>
            <w:tcBorders>
              <w:left w:val="nil"/>
              <w:bottom w:val="nil"/>
              <w:right w:val="single" w:sz="8" w:space="0" w:color="auto"/>
            </w:tcBorders>
            <w:shd w:val="clear" w:color="auto" w:fill="DAEEF3" w:themeFill="accent5" w:themeFillTint="33"/>
            <w:vAlign w:val="center"/>
          </w:tcPr>
          <w:p w14:paraId="3F785044"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5.8</w:t>
            </w:r>
          </w:p>
          <w:p w14:paraId="05AC0890"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(4.5 - 7.1)</w:t>
            </w:r>
          </w:p>
        </w:tc>
      </w:tr>
      <w:tr w:rsidR="003A39BC" w:rsidRPr="00AF3A24" w14:paraId="2DE83A97" w14:textId="77777777" w:rsidTr="00203BC6">
        <w:tc>
          <w:tcPr>
            <w:tcW w:w="1418" w:type="dxa"/>
            <w:vMerge/>
            <w:shd w:val="clear" w:color="auto" w:fill="DAEEF3" w:themeFill="accent5" w:themeFillTint="33"/>
            <w:vAlign w:val="center"/>
          </w:tcPr>
          <w:p w14:paraId="7C3FBD3F"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344C27A7"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09" w:type="dxa"/>
            <w:tcBorders>
              <w:top w:val="nil"/>
              <w:bottom w:val="nil"/>
              <w:right w:val="nil"/>
            </w:tcBorders>
            <w:shd w:val="clear" w:color="auto" w:fill="DAEEF3" w:themeFill="accent5" w:themeFillTint="33"/>
            <w:vAlign w:val="center"/>
          </w:tcPr>
          <w:p w14:paraId="6899FE9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208</w:t>
            </w:r>
          </w:p>
        </w:tc>
        <w:tc>
          <w:tcPr>
            <w:tcW w:w="1452" w:type="dxa"/>
            <w:tcBorders>
              <w:top w:val="nil"/>
              <w:left w:val="nil"/>
              <w:bottom w:val="nil"/>
              <w:right w:val="single" w:sz="4" w:space="0" w:color="auto"/>
            </w:tcBorders>
            <w:shd w:val="clear" w:color="auto" w:fill="DAEEF3" w:themeFill="accent5" w:themeFillTint="33"/>
            <w:vAlign w:val="center"/>
          </w:tcPr>
          <w:p w14:paraId="76C9E22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24.2</w:t>
            </w:r>
          </w:p>
          <w:p w14:paraId="39F56AC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(20.9 - 27.5)</w:t>
            </w:r>
          </w:p>
        </w:tc>
        <w:tc>
          <w:tcPr>
            <w:tcW w:w="674" w:type="dxa"/>
            <w:tcBorders>
              <w:top w:val="nil"/>
              <w:left w:val="nil"/>
              <w:bottom w:val="nil"/>
              <w:right w:val="nil"/>
            </w:tcBorders>
            <w:shd w:val="clear" w:color="auto" w:fill="DAEEF3" w:themeFill="accent5" w:themeFillTint="33"/>
            <w:vAlign w:val="center"/>
          </w:tcPr>
          <w:p w14:paraId="170D225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211</w:t>
            </w:r>
          </w:p>
        </w:tc>
        <w:tc>
          <w:tcPr>
            <w:tcW w:w="1488" w:type="dxa"/>
            <w:tcBorders>
              <w:top w:val="nil"/>
              <w:left w:val="nil"/>
              <w:bottom w:val="nil"/>
              <w:right w:val="single" w:sz="4" w:space="0" w:color="auto"/>
            </w:tcBorders>
            <w:shd w:val="clear" w:color="auto" w:fill="DAEEF3" w:themeFill="accent5" w:themeFillTint="33"/>
            <w:vAlign w:val="center"/>
          </w:tcPr>
          <w:p w14:paraId="6DEB2E3B"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23.9</w:t>
            </w:r>
          </w:p>
          <w:p w14:paraId="72598A5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(19.7 - 28.0)</w:t>
            </w:r>
          </w:p>
        </w:tc>
        <w:tc>
          <w:tcPr>
            <w:tcW w:w="638" w:type="dxa"/>
            <w:tcBorders>
              <w:top w:val="nil"/>
              <w:left w:val="nil"/>
              <w:bottom w:val="nil"/>
              <w:right w:val="nil"/>
            </w:tcBorders>
            <w:shd w:val="clear" w:color="auto" w:fill="DAEEF3" w:themeFill="accent5" w:themeFillTint="33"/>
            <w:vAlign w:val="center"/>
          </w:tcPr>
          <w:p w14:paraId="701CFDA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93</w:t>
            </w:r>
          </w:p>
        </w:tc>
        <w:tc>
          <w:tcPr>
            <w:tcW w:w="1524" w:type="dxa"/>
            <w:tcBorders>
              <w:top w:val="nil"/>
              <w:left w:val="nil"/>
              <w:bottom w:val="nil"/>
              <w:right w:val="single" w:sz="4" w:space="0" w:color="auto"/>
            </w:tcBorders>
            <w:shd w:val="clear" w:color="auto" w:fill="DAEEF3" w:themeFill="accent5" w:themeFillTint="33"/>
            <w:vAlign w:val="center"/>
          </w:tcPr>
          <w:p w14:paraId="233BC59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9.5</w:t>
            </w:r>
          </w:p>
          <w:p w14:paraId="4718D8B3"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(7.1 - 11.9)</w:t>
            </w:r>
          </w:p>
        </w:tc>
        <w:tc>
          <w:tcPr>
            <w:tcW w:w="744" w:type="dxa"/>
            <w:tcBorders>
              <w:top w:val="nil"/>
              <w:left w:val="nil"/>
              <w:bottom w:val="nil"/>
              <w:right w:val="nil"/>
            </w:tcBorders>
            <w:shd w:val="clear" w:color="auto" w:fill="DAEEF3" w:themeFill="accent5" w:themeFillTint="33"/>
            <w:vAlign w:val="center"/>
          </w:tcPr>
          <w:p w14:paraId="1F3E1B81"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53</w:t>
            </w:r>
          </w:p>
        </w:tc>
        <w:tc>
          <w:tcPr>
            <w:tcW w:w="1418" w:type="dxa"/>
            <w:tcBorders>
              <w:top w:val="nil"/>
              <w:left w:val="nil"/>
              <w:bottom w:val="nil"/>
              <w:right w:val="single" w:sz="8" w:space="0" w:color="auto"/>
            </w:tcBorders>
            <w:shd w:val="clear" w:color="auto" w:fill="DAEEF3" w:themeFill="accent5" w:themeFillTint="33"/>
            <w:vAlign w:val="center"/>
          </w:tcPr>
          <w:p w14:paraId="2CB1DA7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5.6</w:t>
            </w:r>
          </w:p>
          <w:p w14:paraId="3E17B0D9"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(3.5 - 7.7)</w:t>
            </w:r>
          </w:p>
        </w:tc>
      </w:tr>
      <w:tr w:rsidR="003A39BC" w:rsidRPr="00AF3A24" w14:paraId="59ABBECC" w14:textId="77777777" w:rsidTr="00203BC6">
        <w:tc>
          <w:tcPr>
            <w:tcW w:w="1418" w:type="dxa"/>
            <w:vMerge/>
            <w:shd w:val="clear" w:color="auto" w:fill="DAEEF3" w:themeFill="accent5" w:themeFillTint="33"/>
            <w:vAlign w:val="center"/>
          </w:tcPr>
          <w:p w14:paraId="411C90D1"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7FEC7338"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09" w:type="dxa"/>
            <w:tcBorders>
              <w:top w:val="nil"/>
              <w:bottom w:val="nil"/>
              <w:right w:val="nil"/>
            </w:tcBorders>
            <w:shd w:val="clear" w:color="auto" w:fill="DAEEF3" w:themeFill="accent5" w:themeFillTint="33"/>
            <w:vAlign w:val="center"/>
          </w:tcPr>
          <w:p w14:paraId="2D0D2E9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216</w:t>
            </w:r>
          </w:p>
        </w:tc>
        <w:tc>
          <w:tcPr>
            <w:tcW w:w="1452" w:type="dxa"/>
            <w:tcBorders>
              <w:top w:val="nil"/>
              <w:left w:val="nil"/>
              <w:bottom w:val="nil"/>
              <w:right w:val="single" w:sz="4" w:space="0" w:color="auto"/>
            </w:tcBorders>
            <w:shd w:val="clear" w:color="auto" w:fill="DAEEF3" w:themeFill="accent5" w:themeFillTint="33"/>
            <w:vAlign w:val="center"/>
          </w:tcPr>
          <w:p w14:paraId="6DC2463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24.8</w:t>
            </w:r>
          </w:p>
          <w:p w14:paraId="510D0F5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(20.9 - 28.7)</w:t>
            </w:r>
          </w:p>
        </w:tc>
        <w:tc>
          <w:tcPr>
            <w:tcW w:w="674" w:type="dxa"/>
            <w:tcBorders>
              <w:top w:val="nil"/>
              <w:left w:val="nil"/>
              <w:bottom w:val="nil"/>
              <w:right w:val="nil"/>
            </w:tcBorders>
            <w:shd w:val="clear" w:color="auto" w:fill="DAEEF3" w:themeFill="accent5" w:themeFillTint="33"/>
            <w:vAlign w:val="center"/>
          </w:tcPr>
          <w:p w14:paraId="7D114DCB"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126</w:t>
            </w:r>
          </w:p>
        </w:tc>
        <w:tc>
          <w:tcPr>
            <w:tcW w:w="1488" w:type="dxa"/>
            <w:tcBorders>
              <w:top w:val="nil"/>
              <w:left w:val="nil"/>
              <w:bottom w:val="nil"/>
              <w:right w:val="single" w:sz="4" w:space="0" w:color="auto"/>
            </w:tcBorders>
            <w:shd w:val="clear" w:color="auto" w:fill="DAEEF3" w:themeFill="accent5" w:themeFillTint="33"/>
            <w:vAlign w:val="center"/>
          </w:tcPr>
          <w:p w14:paraId="1BE26DD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12.3</w:t>
            </w:r>
          </w:p>
          <w:p w14:paraId="589DA0B5"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(9.9 - 14.6)</w:t>
            </w:r>
          </w:p>
        </w:tc>
        <w:tc>
          <w:tcPr>
            <w:tcW w:w="638" w:type="dxa"/>
            <w:tcBorders>
              <w:top w:val="nil"/>
              <w:left w:val="nil"/>
              <w:bottom w:val="nil"/>
              <w:right w:val="nil"/>
            </w:tcBorders>
            <w:shd w:val="clear" w:color="auto" w:fill="DAEEF3" w:themeFill="accent5" w:themeFillTint="33"/>
            <w:vAlign w:val="center"/>
          </w:tcPr>
          <w:p w14:paraId="322B2F6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52</w:t>
            </w:r>
          </w:p>
        </w:tc>
        <w:tc>
          <w:tcPr>
            <w:tcW w:w="1524" w:type="dxa"/>
            <w:tcBorders>
              <w:top w:val="nil"/>
              <w:left w:val="nil"/>
              <w:bottom w:val="nil"/>
              <w:right w:val="single" w:sz="4" w:space="0" w:color="auto"/>
            </w:tcBorders>
            <w:shd w:val="clear" w:color="auto" w:fill="DAEEF3" w:themeFill="accent5" w:themeFillTint="33"/>
            <w:vAlign w:val="center"/>
          </w:tcPr>
          <w:p w14:paraId="3DC6284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4.8</w:t>
            </w:r>
          </w:p>
          <w:p w14:paraId="76033B6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(3.3 - 6.3)</w:t>
            </w:r>
          </w:p>
        </w:tc>
        <w:tc>
          <w:tcPr>
            <w:tcW w:w="744" w:type="dxa"/>
            <w:tcBorders>
              <w:top w:val="nil"/>
              <w:left w:val="nil"/>
              <w:bottom w:val="nil"/>
              <w:right w:val="nil"/>
            </w:tcBorders>
            <w:shd w:val="clear" w:color="auto" w:fill="DAEEF3" w:themeFill="accent5" w:themeFillTint="33"/>
            <w:vAlign w:val="center"/>
          </w:tcPr>
          <w:p w14:paraId="750AA69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50</w:t>
            </w:r>
          </w:p>
        </w:tc>
        <w:tc>
          <w:tcPr>
            <w:tcW w:w="1418" w:type="dxa"/>
            <w:tcBorders>
              <w:top w:val="nil"/>
              <w:left w:val="nil"/>
              <w:bottom w:val="nil"/>
              <w:right w:val="single" w:sz="8" w:space="0" w:color="auto"/>
            </w:tcBorders>
            <w:shd w:val="clear" w:color="auto" w:fill="DAEEF3" w:themeFill="accent5" w:themeFillTint="33"/>
            <w:vAlign w:val="center"/>
          </w:tcPr>
          <w:p w14:paraId="34A52C3F"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4.8</w:t>
            </w:r>
          </w:p>
          <w:p w14:paraId="3F9F347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(3.4 - 6.3)</w:t>
            </w:r>
          </w:p>
        </w:tc>
      </w:tr>
      <w:tr w:rsidR="003A39BC" w:rsidRPr="00AF3A24" w14:paraId="1F4EE16F" w14:textId="77777777" w:rsidTr="00203BC6">
        <w:tc>
          <w:tcPr>
            <w:tcW w:w="1418" w:type="dxa"/>
            <w:vMerge/>
            <w:tcBorders>
              <w:bottom w:val="nil"/>
            </w:tcBorders>
            <w:shd w:val="clear" w:color="auto" w:fill="DAEEF3" w:themeFill="accent5" w:themeFillTint="33"/>
            <w:vAlign w:val="center"/>
          </w:tcPr>
          <w:p w14:paraId="2CC37998"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621C7BC2"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09" w:type="dxa"/>
            <w:tcBorders>
              <w:top w:val="nil"/>
              <w:bottom w:val="nil"/>
              <w:right w:val="nil"/>
            </w:tcBorders>
            <w:shd w:val="clear" w:color="auto" w:fill="DAEEF3" w:themeFill="accent5" w:themeFillTint="33"/>
            <w:vAlign w:val="center"/>
          </w:tcPr>
          <w:p w14:paraId="79C49C8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2,786</w:t>
            </w:r>
          </w:p>
        </w:tc>
        <w:tc>
          <w:tcPr>
            <w:tcW w:w="1452" w:type="dxa"/>
            <w:tcBorders>
              <w:top w:val="nil"/>
              <w:left w:val="nil"/>
              <w:bottom w:val="nil"/>
              <w:right w:val="single" w:sz="4" w:space="0" w:color="auto"/>
            </w:tcBorders>
            <w:shd w:val="clear" w:color="auto" w:fill="DAEEF3" w:themeFill="accent5" w:themeFillTint="33"/>
            <w:vAlign w:val="center"/>
          </w:tcPr>
          <w:p w14:paraId="06B5420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25.5</w:t>
            </w:r>
          </w:p>
          <w:p w14:paraId="72B2EAD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(24.3 - 26.7)</w:t>
            </w:r>
          </w:p>
        </w:tc>
        <w:tc>
          <w:tcPr>
            <w:tcW w:w="674" w:type="dxa"/>
            <w:tcBorders>
              <w:top w:val="nil"/>
              <w:left w:val="nil"/>
              <w:bottom w:val="nil"/>
              <w:right w:val="nil"/>
            </w:tcBorders>
            <w:shd w:val="clear" w:color="auto" w:fill="DAEEF3" w:themeFill="accent5" w:themeFillTint="33"/>
            <w:vAlign w:val="center"/>
          </w:tcPr>
          <w:p w14:paraId="54E94F2B"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2,510</w:t>
            </w:r>
          </w:p>
        </w:tc>
        <w:tc>
          <w:tcPr>
            <w:tcW w:w="1488" w:type="dxa"/>
            <w:tcBorders>
              <w:top w:val="nil"/>
              <w:left w:val="nil"/>
              <w:bottom w:val="nil"/>
              <w:right w:val="single" w:sz="4" w:space="0" w:color="auto"/>
            </w:tcBorders>
            <w:shd w:val="clear" w:color="auto" w:fill="DAEEF3" w:themeFill="accent5" w:themeFillTint="33"/>
            <w:vAlign w:val="center"/>
          </w:tcPr>
          <w:p w14:paraId="158EFCAA"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27.2</w:t>
            </w:r>
          </w:p>
          <w:p w14:paraId="297FC9A5"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(25.8 - 28.6)</w:t>
            </w:r>
          </w:p>
        </w:tc>
        <w:tc>
          <w:tcPr>
            <w:tcW w:w="638" w:type="dxa"/>
            <w:tcBorders>
              <w:top w:val="nil"/>
              <w:left w:val="nil"/>
              <w:bottom w:val="nil"/>
              <w:right w:val="nil"/>
            </w:tcBorders>
            <w:shd w:val="clear" w:color="auto" w:fill="DAEEF3" w:themeFill="accent5" w:themeFillTint="33"/>
            <w:vAlign w:val="center"/>
          </w:tcPr>
          <w:p w14:paraId="2667882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896</w:t>
            </w:r>
          </w:p>
        </w:tc>
        <w:tc>
          <w:tcPr>
            <w:tcW w:w="1524" w:type="dxa"/>
            <w:tcBorders>
              <w:top w:val="nil"/>
              <w:left w:val="nil"/>
              <w:bottom w:val="nil"/>
              <w:right w:val="single" w:sz="4" w:space="0" w:color="auto"/>
            </w:tcBorders>
            <w:shd w:val="clear" w:color="auto" w:fill="DAEEF3" w:themeFill="accent5" w:themeFillTint="33"/>
            <w:vAlign w:val="center"/>
          </w:tcPr>
          <w:p w14:paraId="6CDEDF09"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9.3</w:t>
            </w:r>
          </w:p>
          <w:p w14:paraId="3D1F562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(8.5 - 10.2)</w:t>
            </w:r>
          </w:p>
        </w:tc>
        <w:tc>
          <w:tcPr>
            <w:tcW w:w="744" w:type="dxa"/>
            <w:tcBorders>
              <w:top w:val="nil"/>
              <w:left w:val="nil"/>
              <w:bottom w:val="nil"/>
              <w:right w:val="nil"/>
            </w:tcBorders>
            <w:shd w:val="clear" w:color="auto" w:fill="DAEEF3" w:themeFill="accent5" w:themeFillTint="33"/>
            <w:vAlign w:val="center"/>
          </w:tcPr>
          <w:p w14:paraId="7639EA90"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469</w:t>
            </w:r>
          </w:p>
        </w:tc>
        <w:tc>
          <w:tcPr>
            <w:tcW w:w="1418" w:type="dxa"/>
            <w:tcBorders>
              <w:top w:val="nil"/>
              <w:left w:val="nil"/>
              <w:bottom w:val="nil"/>
              <w:right w:val="single" w:sz="8" w:space="0" w:color="auto"/>
            </w:tcBorders>
            <w:shd w:val="clear" w:color="auto" w:fill="DAEEF3" w:themeFill="accent5" w:themeFillTint="33"/>
            <w:vAlign w:val="center"/>
          </w:tcPr>
          <w:p w14:paraId="26E89DEF"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5.8</w:t>
            </w:r>
          </w:p>
          <w:p w14:paraId="44FFAAF9"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(5.1 - 6.5)</w:t>
            </w:r>
          </w:p>
        </w:tc>
      </w:tr>
      <w:tr w:rsidR="003A39BC" w:rsidRPr="00AF3A24" w14:paraId="0E7B9F29" w14:textId="77777777" w:rsidTr="00203BC6">
        <w:tc>
          <w:tcPr>
            <w:tcW w:w="1418" w:type="dxa"/>
            <w:vMerge w:val="restart"/>
            <w:tcBorders>
              <w:top w:val="single" w:sz="4" w:space="0" w:color="auto"/>
            </w:tcBorders>
            <w:shd w:val="clear" w:color="auto" w:fill="DAEEF3" w:themeFill="accent5" w:themeFillTint="33"/>
            <w:vAlign w:val="center"/>
          </w:tcPr>
          <w:p w14:paraId="302B2409"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1134" w:type="dxa"/>
            <w:tcBorders>
              <w:top w:val="single" w:sz="4" w:space="0" w:color="auto"/>
              <w:bottom w:val="nil"/>
            </w:tcBorders>
            <w:shd w:val="clear" w:color="auto" w:fill="DAEEF3" w:themeFill="accent5" w:themeFillTint="33"/>
            <w:vAlign w:val="center"/>
          </w:tcPr>
          <w:p w14:paraId="02123667"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09" w:type="dxa"/>
            <w:tcBorders>
              <w:bottom w:val="nil"/>
              <w:right w:val="nil"/>
            </w:tcBorders>
            <w:shd w:val="clear" w:color="auto" w:fill="DAEEF3" w:themeFill="accent5" w:themeFillTint="33"/>
            <w:vAlign w:val="center"/>
          </w:tcPr>
          <w:p w14:paraId="0FBDCBB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635</w:t>
            </w:r>
          </w:p>
        </w:tc>
        <w:tc>
          <w:tcPr>
            <w:tcW w:w="1452" w:type="dxa"/>
            <w:tcBorders>
              <w:left w:val="nil"/>
              <w:bottom w:val="nil"/>
              <w:right w:val="single" w:sz="4" w:space="0" w:color="auto"/>
            </w:tcBorders>
            <w:shd w:val="clear" w:color="auto" w:fill="DAEEF3" w:themeFill="accent5" w:themeFillTint="33"/>
            <w:vAlign w:val="center"/>
          </w:tcPr>
          <w:p w14:paraId="7F3BD03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30.3</w:t>
            </w:r>
            <w:r w:rsidRPr="00AF3A24">
              <w:rPr>
                <w:rFonts w:asciiTheme="minorHAnsi" w:hAnsiTheme="minorHAnsi"/>
                <w:bCs/>
                <w:color w:val="000000"/>
                <w:sz w:val="16"/>
                <w:szCs w:val="16"/>
              </w:rPr>
              <w:br/>
              <w:t>(27.7 - 33.0)</w:t>
            </w:r>
          </w:p>
        </w:tc>
        <w:tc>
          <w:tcPr>
            <w:tcW w:w="674" w:type="dxa"/>
            <w:tcBorders>
              <w:left w:val="nil"/>
              <w:bottom w:val="nil"/>
              <w:right w:val="nil"/>
            </w:tcBorders>
            <w:shd w:val="clear" w:color="auto" w:fill="DAEEF3" w:themeFill="accent5" w:themeFillTint="33"/>
            <w:vAlign w:val="center"/>
          </w:tcPr>
          <w:p w14:paraId="34B0B8E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454</w:t>
            </w:r>
          </w:p>
        </w:tc>
        <w:tc>
          <w:tcPr>
            <w:tcW w:w="1488" w:type="dxa"/>
            <w:tcBorders>
              <w:left w:val="nil"/>
              <w:bottom w:val="nil"/>
              <w:right w:val="single" w:sz="4" w:space="0" w:color="auto"/>
            </w:tcBorders>
            <w:shd w:val="clear" w:color="auto" w:fill="DAEEF3" w:themeFill="accent5" w:themeFillTint="33"/>
            <w:vAlign w:val="center"/>
          </w:tcPr>
          <w:p w14:paraId="7AB37D9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23.8</w:t>
            </w:r>
            <w:r w:rsidRPr="00AF3A24">
              <w:rPr>
                <w:rFonts w:asciiTheme="minorHAnsi" w:hAnsiTheme="minorHAnsi"/>
                <w:bCs/>
                <w:color w:val="000000"/>
                <w:sz w:val="16"/>
                <w:szCs w:val="16"/>
              </w:rPr>
              <w:br/>
              <w:t>(21.4 - 26.3)</w:t>
            </w:r>
          </w:p>
        </w:tc>
        <w:tc>
          <w:tcPr>
            <w:tcW w:w="638" w:type="dxa"/>
            <w:tcBorders>
              <w:left w:val="nil"/>
              <w:bottom w:val="nil"/>
              <w:right w:val="nil"/>
            </w:tcBorders>
            <w:shd w:val="clear" w:color="auto" w:fill="DAEEF3" w:themeFill="accent5" w:themeFillTint="33"/>
            <w:vAlign w:val="center"/>
          </w:tcPr>
          <w:p w14:paraId="52E50E3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144</w:t>
            </w:r>
          </w:p>
        </w:tc>
        <w:tc>
          <w:tcPr>
            <w:tcW w:w="1524" w:type="dxa"/>
            <w:tcBorders>
              <w:left w:val="nil"/>
              <w:bottom w:val="nil"/>
              <w:right w:val="single" w:sz="4" w:space="0" w:color="auto"/>
            </w:tcBorders>
            <w:shd w:val="clear" w:color="auto" w:fill="DAEEF3" w:themeFill="accent5" w:themeFillTint="33"/>
            <w:vAlign w:val="center"/>
          </w:tcPr>
          <w:p w14:paraId="385F85F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7.8</w:t>
            </w:r>
            <w:r w:rsidRPr="00AF3A24">
              <w:rPr>
                <w:rFonts w:asciiTheme="minorHAnsi" w:hAnsiTheme="minorHAnsi"/>
                <w:bCs/>
                <w:color w:val="000000"/>
                <w:sz w:val="16"/>
                <w:szCs w:val="16"/>
              </w:rPr>
              <w:br/>
              <w:t>(6.4 - 9.3)</w:t>
            </w:r>
          </w:p>
        </w:tc>
        <w:tc>
          <w:tcPr>
            <w:tcW w:w="744" w:type="dxa"/>
            <w:tcBorders>
              <w:left w:val="nil"/>
              <w:bottom w:val="nil"/>
              <w:right w:val="nil"/>
            </w:tcBorders>
            <w:shd w:val="clear" w:color="auto" w:fill="DAEEF3" w:themeFill="accent5" w:themeFillTint="33"/>
            <w:vAlign w:val="center"/>
          </w:tcPr>
          <w:p w14:paraId="43A20AE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105</w:t>
            </w:r>
          </w:p>
        </w:tc>
        <w:tc>
          <w:tcPr>
            <w:tcW w:w="1418" w:type="dxa"/>
            <w:tcBorders>
              <w:left w:val="nil"/>
              <w:bottom w:val="nil"/>
              <w:right w:val="single" w:sz="8" w:space="0" w:color="auto"/>
            </w:tcBorders>
            <w:shd w:val="clear" w:color="auto" w:fill="DAEEF3" w:themeFill="accent5" w:themeFillTint="33"/>
            <w:vAlign w:val="center"/>
          </w:tcPr>
          <w:p w14:paraId="3A88002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r w:rsidRPr="00AF3A24">
              <w:rPr>
                <w:rFonts w:asciiTheme="minorHAnsi" w:hAnsiTheme="minorHAnsi"/>
                <w:bCs/>
                <w:color w:val="000000"/>
                <w:sz w:val="16"/>
                <w:szCs w:val="16"/>
              </w:rPr>
              <w:br/>
              <w:t>(4.9 - 7.9)</w:t>
            </w:r>
          </w:p>
        </w:tc>
      </w:tr>
      <w:tr w:rsidR="003A39BC" w:rsidRPr="00AF3A24" w14:paraId="0D00C109" w14:textId="77777777" w:rsidTr="00203BC6">
        <w:tc>
          <w:tcPr>
            <w:tcW w:w="1418" w:type="dxa"/>
            <w:vMerge/>
            <w:shd w:val="clear" w:color="auto" w:fill="DAEEF3" w:themeFill="accent5" w:themeFillTint="33"/>
            <w:vAlign w:val="center"/>
          </w:tcPr>
          <w:p w14:paraId="37958F15"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7F9EF264"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09" w:type="dxa"/>
            <w:tcBorders>
              <w:top w:val="nil"/>
              <w:bottom w:val="nil"/>
              <w:right w:val="nil"/>
            </w:tcBorders>
            <w:shd w:val="clear" w:color="auto" w:fill="DAEEF3" w:themeFill="accent5" w:themeFillTint="33"/>
            <w:vAlign w:val="center"/>
          </w:tcPr>
          <w:p w14:paraId="0FC5D76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572</w:t>
            </w:r>
          </w:p>
        </w:tc>
        <w:tc>
          <w:tcPr>
            <w:tcW w:w="1452" w:type="dxa"/>
            <w:tcBorders>
              <w:top w:val="nil"/>
              <w:left w:val="nil"/>
              <w:bottom w:val="nil"/>
              <w:right w:val="single" w:sz="4" w:space="0" w:color="auto"/>
            </w:tcBorders>
            <w:shd w:val="clear" w:color="auto" w:fill="DAEEF3" w:themeFill="accent5" w:themeFillTint="33"/>
            <w:vAlign w:val="center"/>
          </w:tcPr>
          <w:p w14:paraId="33E51B4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29.3</w:t>
            </w:r>
            <w:r w:rsidRPr="00AF3A24">
              <w:rPr>
                <w:rFonts w:asciiTheme="minorHAnsi" w:hAnsiTheme="minorHAnsi"/>
                <w:bCs/>
                <w:color w:val="000000"/>
                <w:sz w:val="16"/>
                <w:szCs w:val="16"/>
              </w:rPr>
              <w:br/>
              <w:t>(26.4 - 32.2)</w:t>
            </w:r>
          </w:p>
        </w:tc>
        <w:tc>
          <w:tcPr>
            <w:tcW w:w="674" w:type="dxa"/>
            <w:tcBorders>
              <w:top w:val="nil"/>
              <w:left w:val="nil"/>
              <w:bottom w:val="nil"/>
              <w:right w:val="nil"/>
            </w:tcBorders>
            <w:shd w:val="clear" w:color="auto" w:fill="DAEEF3" w:themeFill="accent5" w:themeFillTint="33"/>
            <w:vAlign w:val="center"/>
          </w:tcPr>
          <w:p w14:paraId="7754479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455</w:t>
            </w:r>
          </w:p>
        </w:tc>
        <w:tc>
          <w:tcPr>
            <w:tcW w:w="1488" w:type="dxa"/>
            <w:tcBorders>
              <w:top w:val="nil"/>
              <w:left w:val="nil"/>
              <w:bottom w:val="nil"/>
              <w:right w:val="single" w:sz="4" w:space="0" w:color="auto"/>
            </w:tcBorders>
            <w:shd w:val="clear" w:color="auto" w:fill="DAEEF3" w:themeFill="accent5" w:themeFillTint="33"/>
            <w:vAlign w:val="center"/>
          </w:tcPr>
          <w:p w14:paraId="774C1D2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24.3</w:t>
            </w:r>
            <w:r w:rsidRPr="00AF3A24">
              <w:rPr>
                <w:rFonts w:asciiTheme="minorHAnsi" w:hAnsiTheme="minorHAnsi"/>
                <w:bCs/>
                <w:color w:val="000000"/>
                <w:sz w:val="16"/>
                <w:szCs w:val="16"/>
              </w:rPr>
              <w:br/>
              <w:t>(21.3 - 27.3)</w:t>
            </w:r>
          </w:p>
        </w:tc>
        <w:tc>
          <w:tcPr>
            <w:tcW w:w="638" w:type="dxa"/>
            <w:tcBorders>
              <w:top w:val="nil"/>
              <w:left w:val="nil"/>
              <w:bottom w:val="nil"/>
              <w:right w:val="nil"/>
            </w:tcBorders>
            <w:shd w:val="clear" w:color="auto" w:fill="DAEEF3" w:themeFill="accent5" w:themeFillTint="33"/>
            <w:vAlign w:val="center"/>
          </w:tcPr>
          <w:p w14:paraId="3E089B7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162</w:t>
            </w:r>
          </w:p>
        </w:tc>
        <w:tc>
          <w:tcPr>
            <w:tcW w:w="1524" w:type="dxa"/>
            <w:tcBorders>
              <w:top w:val="nil"/>
              <w:left w:val="nil"/>
              <w:bottom w:val="nil"/>
              <w:right w:val="single" w:sz="4" w:space="0" w:color="auto"/>
            </w:tcBorders>
            <w:shd w:val="clear" w:color="auto" w:fill="DAEEF3" w:themeFill="accent5" w:themeFillTint="33"/>
            <w:vAlign w:val="center"/>
          </w:tcPr>
          <w:p w14:paraId="6B412D1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w:t>
            </w:r>
            <w:r w:rsidRPr="00AF3A24">
              <w:rPr>
                <w:rFonts w:asciiTheme="minorHAnsi" w:hAnsiTheme="minorHAnsi"/>
                <w:bCs/>
                <w:color w:val="000000"/>
                <w:sz w:val="16"/>
                <w:szCs w:val="16"/>
              </w:rPr>
              <w:br/>
              <w:t>(6.5 - 10.1)</w:t>
            </w:r>
          </w:p>
        </w:tc>
        <w:tc>
          <w:tcPr>
            <w:tcW w:w="744" w:type="dxa"/>
            <w:tcBorders>
              <w:top w:val="nil"/>
              <w:left w:val="nil"/>
              <w:bottom w:val="nil"/>
              <w:right w:val="nil"/>
            </w:tcBorders>
            <w:shd w:val="clear" w:color="auto" w:fill="DAEEF3" w:themeFill="accent5" w:themeFillTint="33"/>
            <w:vAlign w:val="center"/>
          </w:tcPr>
          <w:p w14:paraId="3E6CF8F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w:t>
            </w:r>
          </w:p>
        </w:tc>
        <w:tc>
          <w:tcPr>
            <w:tcW w:w="1418" w:type="dxa"/>
            <w:tcBorders>
              <w:top w:val="nil"/>
              <w:left w:val="nil"/>
              <w:bottom w:val="nil"/>
              <w:right w:val="single" w:sz="8" w:space="0" w:color="auto"/>
            </w:tcBorders>
            <w:shd w:val="clear" w:color="auto" w:fill="DAEEF3" w:themeFill="accent5" w:themeFillTint="33"/>
            <w:vAlign w:val="center"/>
          </w:tcPr>
          <w:p w14:paraId="7599167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(3.3 - 5.8)</w:t>
            </w:r>
          </w:p>
        </w:tc>
      </w:tr>
      <w:tr w:rsidR="003A39BC" w:rsidRPr="00AF3A24" w14:paraId="68BC2E0F" w14:textId="77777777" w:rsidTr="00203BC6">
        <w:tc>
          <w:tcPr>
            <w:tcW w:w="1418" w:type="dxa"/>
            <w:vMerge/>
            <w:shd w:val="clear" w:color="auto" w:fill="DAEEF3" w:themeFill="accent5" w:themeFillTint="33"/>
            <w:vAlign w:val="center"/>
          </w:tcPr>
          <w:p w14:paraId="70FA210D"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46D2E50F"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09" w:type="dxa"/>
            <w:tcBorders>
              <w:top w:val="nil"/>
              <w:bottom w:val="nil"/>
              <w:right w:val="nil"/>
            </w:tcBorders>
            <w:shd w:val="clear" w:color="auto" w:fill="DAEEF3" w:themeFill="accent5" w:themeFillTint="33"/>
            <w:vAlign w:val="center"/>
          </w:tcPr>
          <w:p w14:paraId="23AA5BA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688</w:t>
            </w:r>
          </w:p>
        </w:tc>
        <w:tc>
          <w:tcPr>
            <w:tcW w:w="1452" w:type="dxa"/>
            <w:tcBorders>
              <w:top w:val="nil"/>
              <w:left w:val="nil"/>
              <w:bottom w:val="nil"/>
              <w:right w:val="single" w:sz="4" w:space="0" w:color="auto"/>
            </w:tcBorders>
            <w:shd w:val="clear" w:color="auto" w:fill="DAEEF3" w:themeFill="accent5" w:themeFillTint="33"/>
            <w:vAlign w:val="center"/>
          </w:tcPr>
          <w:p w14:paraId="598BAC8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w:t>
            </w:r>
            <w:r w:rsidRPr="00AF3A24">
              <w:rPr>
                <w:rFonts w:asciiTheme="minorHAnsi" w:hAnsiTheme="minorHAnsi"/>
                <w:bCs/>
                <w:color w:val="000000"/>
                <w:sz w:val="16"/>
                <w:szCs w:val="16"/>
              </w:rPr>
              <w:br/>
              <w:t>(24.7 - 29.7)</w:t>
            </w:r>
          </w:p>
        </w:tc>
        <w:tc>
          <w:tcPr>
            <w:tcW w:w="674" w:type="dxa"/>
            <w:tcBorders>
              <w:top w:val="nil"/>
              <w:left w:val="nil"/>
              <w:bottom w:val="nil"/>
              <w:right w:val="nil"/>
            </w:tcBorders>
            <w:shd w:val="clear" w:color="auto" w:fill="DAEEF3" w:themeFill="accent5" w:themeFillTint="33"/>
            <w:vAlign w:val="center"/>
          </w:tcPr>
          <w:p w14:paraId="5E67799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639</w:t>
            </w:r>
          </w:p>
        </w:tc>
        <w:tc>
          <w:tcPr>
            <w:tcW w:w="1488" w:type="dxa"/>
            <w:tcBorders>
              <w:top w:val="nil"/>
              <w:left w:val="nil"/>
              <w:bottom w:val="nil"/>
              <w:right w:val="single" w:sz="4" w:space="0" w:color="auto"/>
            </w:tcBorders>
            <w:shd w:val="clear" w:color="auto" w:fill="DAEEF3" w:themeFill="accent5" w:themeFillTint="33"/>
            <w:vAlign w:val="center"/>
          </w:tcPr>
          <w:p w14:paraId="42B12E1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26.6</w:t>
            </w:r>
            <w:r w:rsidRPr="00AF3A24">
              <w:rPr>
                <w:rFonts w:asciiTheme="minorHAnsi" w:hAnsiTheme="minorHAnsi"/>
                <w:bCs/>
                <w:color w:val="000000"/>
                <w:sz w:val="16"/>
                <w:szCs w:val="16"/>
              </w:rPr>
              <w:br/>
              <w:t>(23.7 - 29.5)</w:t>
            </w:r>
          </w:p>
        </w:tc>
        <w:tc>
          <w:tcPr>
            <w:tcW w:w="638" w:type="dxa"/>
            <w:tcBorders>
              <w:top w:val="nil"/>
              <w:left w:val="nil"/>
              <w:bottom w:val="nil"/>
              <w:right w:val="nil"/>
            </w:tcBorders>
            <w:shd w:val="clear" w:color="auto" w:fill="DAEEF3" w:themeFill="accent5" w:themeFillTint="33"/>
            <w:vAlign w:val="center"/>
          </w:tcPr>
          <w:p w14:paraId="2241E8B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240</w:t>
            </w:r>
          </w:p>
        </w:tc>
        <w:tc>
          <w:tcPr>
            <w:tcW w:w="1524" w:type="dxa"/>
            <w:tcBorders>
              <w:top w:val="nil"/>
              <w:left w:val="nil"/>
              <w:bottom w:val="nil"/>
              <w:right w:val="single" w:sz="4" w:space="0" w:color="auto"/>
            </w:tcBorders>
            <w:shd w:val="clear" w:color="auto" w:fill="DAEEF3" w:themeFill="accent5" w:themeFillTint="33"/>
            <w:vAlign w:val="center"/>
          </w:tcPr>
          <w:p w14:paraId="5589B5C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9.4</w:t>
            </w:r>
            <w:r w:rsidRPr="00AF3A24">
              <w:rPr>
                <w:rFonts w:asciiTheme="minorHAnsi" w:hAnsiTheme="minorHAnsi"/>
                <w:bCs/>
                <w:color w:val="000000"/>
                <w:sz w:val="16"/>
                <w:szCs w:val="16"/>
              </w:rPr>
              <w:br/>
              <w:t>(7.8 - 11.1)</w:t>
            </w:r>
          </w:p>
        </w:tc>
        <w:tc>
          <w:tcPr>
            <w:tcW w:w="744" w:type="dxa"/>
            <w:tcBorders>
              <w:top w:val="nil"/>
              <w:left w:val="nil"/>
              <w:bottom w:val="nil"/>
              <w:right w:val="nil"/>
            </w:tcBorders>
            <w:shd w:val="clear" w:color="auto" w:fill="DAEEF3" w:themeFill="accent5" w:themeFillTint="33"/>
            <w:vAlign w:val="center"/>
          </w:tcPr>
          <w:p w14:paraId="1F108D4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126</w:t>
            </w:r>
          </w:p>
        </w:tc>
        <w:tc>
          <w:tcPr>
            <w:tcW w:w="1418" w:type="dxa"/>
            <w:tcBorders>
              <w:top w:val="nil"/>
              <w:left w:val="nil"/>
              <w:bottom w:val="nil"/>
              <w:right w:val="single" w:sz="8" w:space="0" w:color="auto"/>
            </w:tcBorders>
            <w:shd w:val="clear" w:color="auto" w:fill="DAEEF3" w:themeFill="accent5" w:themeFillTint="33"/>
            <w:vAlign w:val="center"/>
          </w:tcPr>
          <w:p w14:paraId="5909D1A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r w:rsidRPr="00AF3A24">
              <w:rPr>
                <w:rFonts w:asciiTheme="minorHAnsi" w:hAnsiTheme="minorHAnsi"/>
                <w:bCs/>
                <w:color w:val="000000"/>
                <w:sz w:val="16"/>
                <w:szCs w:val="16"/>
              </w:rPr>
              <w:br/>
              <w:t>(4.4 - 6.9)</w:t>
            </w:r>
          </w:p>
        </w:tc>
      </w:tr>
      <w:tr w:rsidR="003A39BC" w:rsidRPr="00AF3A24" w14:paraId="12DDDA26" w14:textId="77777777" w:rsidTr="00203BC6">
        <w:tc>
          <w:tcPr>
            <w:tcW w:w="1418" w:type="dxa"/>
            <w:vMerge/>
            <w:shd w:val="clear" w:color="auto" w:fill="DAEEF3" w:themeFill="accent5" w:themeFillTint="33"/>
            <w:vAlign w:val="center"/>
          </w:tcPr>
          <w:p w14:paraId="163FD91B"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nil"/>
            </w:tcBorders>
            <w:shd w:val="clear" w:color="auto" w:fill="DAEEF3" w:themeFill="accent5" w:themeFillTint="33"/>
            <w:vAlign w:val="center"/>
          </w:tcPr>
          <w:p w14:paraId="2A78AA9D"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09" w:type="dxa"/>
            <w:tcBorders>
              <w:top w:val="nil"/>
              <w:bottom w:val="nil"/>
              <w:right w:val="nil"/>
            </w:tcBorders>
            <w:shd w:val="clear" w:color="auto" w:fill="DAEEF3" w:themeFill="accent5" w:themeFillTint="33"/>
            <w:vAlign w:val="center"/>
          </w:tcPr>
          <w:p w14:paraId="72361FA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714</w:t>
            </w:r>
          </w:p>
        </w:tc>
        <w:tc>
          <w:tcPr>
            <w:tcW w:w="1452" w:type="dxa"/>
            <w:tcBorders>
              <w:top w:val="nil"/>
              <w:left w:val="nil"/>
              <w:bottom w:val="nil"/>
              <w:right w:val="single" w:sz="4" w:space="0" w:color="auto"/>
            </w:tcBorders>
            <w:shd w:val="clear" w:color="auto" w:fill="DAEEF3" w:themeFill="accent5" w:themeFillTint="33"/>
            <w:vAlign w:val="center"/>
          </w:tcPr>
          <w:p w14:paraId="2169229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25.7</w:t>
            </w:r>
            <w:r w:rsidRPr="00AF3A24">
              <w:rPr>
                <w:rFonts w:asciiTheme="minorHAnsi" w:hAnsiTheme="minorHAnsi"/>
                <w:bCs/>
                <w:color w:val="000000"/>
                <w:sz w:val="16"/>
                <w:szCs w:val="16"/>
              </w:rPr>
              <w:br/>
              <w:t>(23.3 - 28.2)</w:t>
            </w:r>
          </w:p>
        </w:tc>
        <w:tc>
          <w:tcPr>
            <w:tcW w:w="674" w:type="dxa"/>
            <w:tcBorders>
              <w:top w:val="nil"/>
              <w:left w:val="nil"/>
              <w:bottom w:val="nil"/>
              <w:right w:val="nil"/>
            </w:tcBorders>
            <w:shd w:val="clear" w:color="auto" w:fill="DAEEF3" w:themeFill="accent5" w:themeFillTint="33"/>
            <w:vAlign w:val="center"/>
          </w:tcPr>
          <w:p w14:paraId="5961858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699</w:t>
            </w:r>
          </w:p>
        </w:tc>
        <w:tc>
          <w:tcPr>
            <w:tcW w:w="1488" w:type="dxa"/>
            <w:tcBorders>
              <w:top w:val="nil"/>
              <w:left w:val="nil"/>
              <w:bottom w:val="nil"/>
              <w:right w:val="single" w:sz="4" w:space="0" w:color="auto"/>
            </w:tcBorders>
            <w:shd w:val="clear" w:color="auto" w:fill="DAEEF3" w:themeFill="accent5" w:themeFillTint="33"/>
            <w:vAlign w:val="center"/>
          </w:tcPr>
          <w:p w14:paraId="0D4C512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25.9</w:t>
            </w:r>
            <w:r w:rsidRPr="00AF3A24">
              <w:rPr>
                <w:rFonts w:asciiTheme="minorHAnsi" w:hAnsiTheme="minorHAnsi"/>
                <w:bCs/>
                <w:color w:val="000000"/>
                <w:sz w:val="16"/>
                <w:szCs w:val="16"/>
              </w:rPr>
              <w:br/>
              <w:t>(23.4 - 28.4)</w:t>
            </w:r>
          </w:p>
        </w:tc>
        <w:tc>
          <w:tcPr>
            <w:tcW w:w="638" w:type="dxa"/>
            <w:tcBorders>
              <w:top w:val="nil"/>
              <w:left w:val="nil"/>
              <w:bottom w:val="nil"/>
              <w:right w:val="nil"/>
            </w:tcBorders>
            <w:shd w:val="clear" w:color="auto" w:fill="DAEEF3" w:themeFill="accent5" w:themeFillTint="33"/>
            <w:vAlign w:val="center"/>
          </w:tcPr>
          <w:p w14:paraId="43D1249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w:t>
            </w:r>
          </w:p>
        </w:tc>
        <w:tc>
          <w:tcPr>
            <w:tcW w:w="1524" w:type="dxa"/>
            <w:tcBorders>
              <w:top w:val="nil"/>
              <w:left w:val="nil"/>
              <w:bottom w:val="nil"/>
              <w:right w:val="single" w:sz="4" w:space="0" w:color="auto"/>
            </w:tcBorders>
            <w:shd w:val="clear" w:color="auto" w:fill="DAEEF3" w:themeFill="accent5" w:themeFillTint="33"/>
            <w:vAlign w:val="center"/>
          </w:tcPr>
          <w:p w14:paraId="4975D19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w:t>
            </w:r>
            <w:r w:rsidRPr="00AF3A24">
              <w:rPr>
                <w:rFonts w:asciiTheme="minorHAnsi" w:hAnsiTheme="minorHAnsi"/>
                <w:bCs/>
                <w:color w:val="000000"/>
                <w:sz w:val="16"/>
                <w:szCs w:val="16"/>
              </w:rPr>
              <w:br/>
              <w:t>(8.5 - 11.6)</w:t>
            </w:r>
          </w:p>
        </w:tc>
        <w:tc>
          <w:tcPr>
            <w:tcW w:w="744" w:type="dxa"/>
            <w:tcBorders>
              <w:top w:val="nil"/>
              <w:left w:val="nil"/>
              <w:bottom w:val="nil"/>
              <w:right w:val="nil"/>
            </w:tcBorders>
            <w:shd w:val="clear" w:color="auto" w:fill="DAEEF3" w:themeFill="accent5" w:themeFillTint="33"/>
            <w:vAlign w:val="center"/>
          </w:tcPr>
          <w:p w14:paraId="47F700D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131</w:t>
            </w:r>
          </w:p>
        </w:tc>
        <w:tc>
          <w:tcPr>
            <w:tcW w:w="1418" w:type="dxa"/>
            <w:tcBorders>
              <w:top w:val="nil"/>
              <w:left w:val="nil"/>
              <w:bottom w:val="nil"/>
              <w:right w:val="single" w:sz="8" w:space="0" w:color="auto"/>
            </w:tcBorders>
            <w:shd w:val="clear" w:color="auto" w:fill="DAEEF3" w:themeFill="accent5" w:themeFillTint="33"/>
            <w:vAlign w:val="center"/>
          </w:tcPr>
          <w:p w14:paraId="69E860F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w:t>
            </w:r>
            <w:r w:rsidRPr="00AF3A24">
              <w:rPr>
                <w:rFonts w:asciiTheme="minorHAnsi" w:hAnsiTheme="minorHAnsi"/>
                <w:bCs/>
                <w:color w:val="000000"/>
                <w:sz w:val="16"/>
                <w:szCs w:val="16"/>
              </w:rPr>
              <w:br/>
              <w:t>(4.2 - 6.4)</w:t>
            </w:r>
          </w:p>
        </w:tc>
      </w:tr>
      <w:tr w:rsidR="003A39BC" w:rsidRPr="00AF3A24" w14:paraId="27090BA8" w14:textId="77777777" w:rsidTr="00203BC6">
        <w:tc>
          <w:tcPr>
            <w:tcW w:w="1418" w:type="dxa"/>
            <w:vMerge/>
            <w:tcBorders>
              <w:bottom w:val="single" w:sz="4" w:space="0" w:color="auto"/>
            </w:tcBorders>
            <w:shd w:val="clear" w:color="auto" w:fill="DAEEF3" w:themeFill="accent5" w:themeFillTint="33"/>
            <w:vAlign w:val="center"/>
          </w:tcPr>
          <w:p w14:paraId="6406B088"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34" w:type="dxa"/>
            <w:tcBorders>
              <w:top w:val="nil"/>
              <w:bottom w:val="single" w:sz="4" w:space="0" w:color="auto"/>
            </w:tcBorders>
            <w:shd w:val="clear" w:color="auto" w:fill="DAEEF3" w:themeFill="accent5" w:themeFillTint="33"/>
            <w:vAlign w:val="center"/>
          </w:tcPr>
          <w:p w14:paraId="6FAF2B3E"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09" w:type="dxa"/>
            <w:tcBorders>
              <w:top w:val="nil"/>
              <w:bottom w:val="single" w:sz="4" w:space="0" w:color="auto"/>
              <w:right w:val="nil"/>
            </w:tcBorders>
            <w:shd w:val="clear" w:color="auto" w:fill="DAEEF3" w:themeFill="accent5" w:themeFillTint="33"/>
            <w:vAlign w:val="center"/>
          </w:tcPr>
          <w:p w14:paraId="2E1AE18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819</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584C047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22.2</w:t>
            </w:r>
            <w:r w:rsidRPr="00AF3A24">
              <w:rPr>
                <w:rFonts w:asciiTheme="minorHAnsi" w:hAnsiTheme="minorHAnsi"/>
                <w:bCs/>
                <w:color w:val="000000"/>
                <w:sz w:val="16"/>
                <w:szCs w:val="16"/>
              </w:rPr>
              <w:br/>
              <w:t>(20.3 - 24.0)</w:t>
            </w:r>
          </w:p>
        </w:tc>
        <w:tc>
          <w:tcPr>
            <w:tcW w:w="674" w:type="dxa"/>
            <w:tcBorders>
              <w:top w:val="nil"/>
              <w:left w:val="nil"/>
              <w:bottom w:val="single" w:sz="4" w:space="0" w:color="auto"/>
              <w:right w:val="nil"/>
            </w:tcBorders>
            <w:shd w:val="clear" w:color="auto" w:fill="DAEEF3" w:themeFill="accent5" w:themeFillTint="33"/>
            <w:vAlign w:val="center"/>
          </w:tcPr>
          <w:p w14:paraId="77550B9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874</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14A9C9E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25.7</w:t>
            </w:r>
            <w:r w:rsidRPr="00AF3A24">
              <w:rPr>
                <w:rFonts w:asciiTheme="minorHAnsi" w:hAnsiTheme="minorHAnsi"/>
                <w:bCs/>
                <w:color w:val="000000"/>
                <w:sz w:val="16"/>
                <w:szCs w:val="16"/>
              </w:rPr>
              <w:br/>
              <w:t>(23.3 - 28.1)</w:t>
            </w:r>
          </w:p>
        </w:tc>
        <w:tc>
          <w:tcPr>
            <w:tcW w:w="638" w:type="dxa"/>
            <w:tcBorders>
              <w:top w:val="nil"/>
              <w:left w:val="nil"/>
              <w:bottom w:val="single" w:sz="4" w:space="0" w:color="auto"/>
              <w:right w:val="nil"/>
            </w:tcBorders>
            <w:shd w:val="clear" w:color="auto" w:fill="DAEEF3" w:themeFill="accent5" w:themeFillTint="33"/>
            <w:vAlign w:val="center"/>
          </w:tcPr>
          <w:p w14:paraId="50B3E2C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339</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2011000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w:t>
            </w:r>
            <w:r w:rsidRPr="00AF3A24">
              <w:rPr>
                <w:rFonts w:asciiTheme="minorHAnsi" w:hAnsiTheme="minorHAnsi"/>
                <w:bCs/>
                <w:color w:val="000000"/>
                <w:sz w:val="16"/>
                <w:szCs w:val="16"/>
              </w:rPr>
              <w:br/>
              <w:t>(8.4 - 11.1)</w:t>
            </w:r>
          </w:p>
        </w:tc>
        <w:tc>
          <w:tcPr>
            <w:tcW w:w="744" w:type="dxa"/>
            <w:tcBorders>
              <w:top w:val="nil"/>
              <w:left w:val="nil"/>
              <w:bottom w:val="single" w:sz="4" w:space="0" w:color="auto"/>
              <w:right w:val="nil"/>
            </w:tcBorders>
            <w:shd w:val="clear" w:color="auto" w:fill="DAEEF3" w:themeFill="accent5" w:themeFillTint="33"/>
            <w:vAlign w:val="center"/>
          </w:tcPr>
          <w:p w14:paraId="473A1A4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156</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1B0EEF8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r w:rsidRPr="00AF3A24">
              <w:rPr>
                <w:rFonts w:asciiTheme="minorHAnsi" w:hAnsiTheme="minorHAnsi"/>
                <w:bCs/>
                <w:color w:val="000000"/>
                <w:sz w:val="16"/>
                <w:szCs w:val="16"/>
              </w:rPr>
              <w:br/>
              <w:t>(4.0 - 6.0)</w:t>
            </w:r>
          </w:p>
        </w:tc>
      </w:tr>
      <w:tr w:rsidR="003A39BC" w:rsidRPr="00AF3A24" w14:paraId="14BB6676" w14:textId="77777777" w:rsidTr="00203BC6">
        <w:tc>
          <w:tcPr>
            <w:tcW w:w="1418" w:type="dxa"/>
            <w:vMerge w:val="restart"/>
            <w:tcBorders>
              <w:top w:val="single" w:sz="4" w:space="0" w:color="auto"/>
            </w:tcBorders>
            <w:shd w:val="clear" w:color="auto" w:fill="DAEEF3" w:themeFill="accent5" w:themeFillTint="33"/>
            <w:vAlign w:val="center"/>
          </w:tcPr>
          <w:p w14:paraId="2110E32E"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1134" w:type="dxa"/>
            <w:tcBorders>
              <w:top w:val="single" w:sz="4" w:space="0" w:color="auto"/>
              <w:bottom w:val="nil"/>
            </w:tcBorders>
            <w:shd w:val="clear" w:color="auto" w:fill="DAEEF3" w:themeFill="accent5" w:themeFillTint="33"/>
            <w:vAlign w:val="center"/>
          </w:tcPr>
          <w:p w14:paraId="1FE82990"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09" w:type="dxa"/>
            <w:tcBorders>
              <w:bottom w:val="nil"/>
              <w:right w:val="nil"/>
            </w:tcBorders>
            <w:shd w:val="clear" w:color="auto" w:fill="DAEEF3" w:themeFill="accent5" w:themeFillTint="33"/>
            <w:vAlign w:val="center"/>
          </w:tcPr>
          <w:p w14:paraId="288F489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382</w:t>
            </w:r>
          </w:p>
        </w:tc>
        <w:tc>
          <w:tcPr>
            <w:tcW w:w="1452" w:type="dxa"/>
            <w:tcBorders>
              <w:left w:val="nil"/>
              <w:bottom w:val="nil"/>
              <w:right w:val="single" w:sz="4" w:space="0" w:color="auto"/>
            </w:tcBorders>
            <w:shd w:val="clear" w:color="auto" w:fill="DAEEF3" w:themeFill="accent5" w:themeFillTint="33"/>
            <w:vAlign w:val="center"/>
          </w:tcPr>
          <w:p w14:paraId="1BE0831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30.4</w:t>
            </w:r>
            <w:r w:rsidRPr="00AF3A24">
              <w:rPr>
                <w:rFonts w:asciiTheme="minorHAnsi" w:hAnsiTheme="minorHAnsi"/>
                <w:bCs/>
                <w:color w:val="000000"/>
                <w:sz w:val="16"/>
                <w:szCs w:val="16"/>
              </w:rPr>
              <w:br/>
              <w:t>(27.3 - 33.5)</w:t>
            </w:r>
          </w:p>
        </w:tc>
        <w:tc>
          <w:tcPr>
            <w:tcW w:w="674" w:type="dxa"/>
            <w:tcBorders>
              <w:left w:val="nil"/>
              <w:bottom w:val="nil"/>
              <w:right w:val="nil"/>
            </w:tcBorders>
            <w:shd w:val="clear" w:color="auto" w:fill="DAEEF3" w:themeFill="accent5" w:themeFillTint="33"/>
            <w:vAlign w:val="center"/>
          </w:tcPr>
          <w:p w14:paraId="0F114EE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255</w:t>
            </w:r>
          </w:p>
        </w:tc>
        <w:tc>
          <w:tcPr>
            <w:tcW w:w="1488" w:type="dxa"/>
            <w:tcBorders>
              <w:left w:val="nil"/>
              <w:bottom w:val="nil"/>
              <w:right w:val="single" w:sz="4" w:space="0" w:color="auto"/>
            </w:tcBorders>
            <w:shd w:val="clear" w:color="auto" w:fill="DAEEF3" w:themeFill="accent5" w:themeFillTint="33"/>
            <w:vAlign w:val="center"/>
          </w:tcPr>
          <w:p w14:paraId="260D26C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23.1</w:t>
            </w:r>
            <w:r w:rsidRPr="00AF3A24">
              <w:rPr>
                <w:rFonts w:asciiTheme="minorHAnsi" w:hAnsiTheme="minorHAnsi"/>
                <w:bCs/>
                <w:color w:val="000000"/>
                <w:sz w:val="16"/>
                <w:szCs w:val="16"/>
              </w:rPr>
              <w:br/>
              <w:t>(19.4 - 26.9)</w:t>
            </w:r>
          </w:p>
        </w:tc>
        <w:tc>
          <w:tcPr>
            <w:tcW w:w="638" w:type="dxa"/>
            <w:tcBorders>
              <w:left w:val="nil"/>
              <w:bottom w:val="nil"/>
              <w:right w:val="nil"/>
            </w:tcBorders>
            <w:shd w:val="clear" w:color="auto" w:fill="DAEEF3" w:themeFill="accent5" w:themeFillTint="33"/>
            <w:vAlign w:val="center"/>
          </w:tcPr>
          <w:p w14:paraId="6195438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87</w:t>
            </w:r>
          </w:p>
        </w:tc>
        <w:tc>
          <w:tcPr>
            <w:tcW w:w="1524" w:type="dxa"/>
            <w:tcBorders>
              <w:left w:val="nil"/>
              <w:bottom w:val="nil"/>
              <w:right w:val="single" w:sz="4" w:space="0" w:color="auto"/>
            </w:tcBorders>
            <w:shd w:val="clear" w:color="auto" w:fill="DAEEF3" w:themeFill="accent5" w:themeFillTint="33"/>
            <w:vAlign w:val="center"/>
          </w:tcPr>
          <w:p w14:paraId="364BBA4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w:t>
            </w:r>
            <w:r w:rsidRPr="00AF3A24">
              <w:rPr>
                <w:rFonts w:asciiTheme="minorHAnsi" w:hAnsiTheme="minorHAnsi"/>
                <w:bCs/>
                <w:color w:val="000000"/>
                <w:sz w:val="16"/>
                <w:szCs w:val="16"/>
              </w:rPr>
              <w:br/>
              <w:t>(5.4 - 8.6)</w:t>
            </w:r>
          </w:p>
        </w:tc>
        <w:tc>
          <w:tcPr>
            <w:tcW w:w="744" w:type="dxa"/>
            <w:tcBorders>
              <w:left w:val="nil"/>
              <w:bottom w:val="nil"/>
              <w:right w:val="nil"/>
            </w:tcBorders>
            <w:shd w:val="clear" w:color="auto" w:fill="DAEEF3" w:themeFill="accent5" w:themeFillTint="33"/>
            <w:vAlign w:val="center"/>
          </w:tcPr>
          <w:p w14:paraId="1237014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p>
        </w:tc>
        <w:tc>
          <w:tcPr>
            <w:tcW w:w="1418" w:type="dxa"/>
            <w:tcBorders>
              <w:left w:val="nil"/>
              <w:bottom w:val="nil"/>
              <w:right w:val="single" w:sz="8" w:space="0" w:color="auto"/>
            </w:tcBorders>
            <w:shd w:val="clear" w:color="auto" w:fill="DAEEF3" w:themeFill="accent5" w:themeFillTint="33"/>
            <w:vAlign w:val="center"/>
          </w:tcPr>
          <w:p w14:paraId="6338CA7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w:t>
            </w:r>
            <w:r w:rsidRPr="00AF3A24">
              <w:rPr>
                <w:rFonts w:asciiTheme="minorHAnsi" w:hAnsiTheme="minorHAnsi"/>
                <w:bCs/>
                <w:color w:val="000000"/>
                <w:sz w:val="16"/>
                <w:szCs w:val="16"/>
              </w:rPr>
              <w:br/>
              <w:t>(1.9 - 3.8)</w:t>
            </w:r>
          </w:p>
        </w:tc>
      </w:tr>
      <w:tr w:rsidR="003A39BC" w:rsidRPr="00AF3A24" w14:paraId="41EF49BC" w14:textId="77777777" w:rsidTr="00203BC6">
        <w:tc>
          <w:tcPr>
            <w:tcW w:w="1418" w:type="dxa"/>
            <w:vMerge/>
            <w:tcBorders>
              <w:bottom w:val="single" w:sz="4" w:space="0" w:color="auto"/>
            </w:tcBorders>
            <w:shd w:val="clear" w:color="auto" w:fill="DAEEF3" w:themeFill="accent5" w:themeFillTint="33"/>
          </w:tcPr>
          <w:p w14:paraId="745677AF" w14:textId="77777777" w:rsidR="003A39BC" w:rsidRPr="00AF3A24" w:rsidRDefault="003A39BC" w:rsidP="00203BC6">
            <w:pPr>
              <w:spacing w:before="0" w:line="240" w:lineRule="auto"/>
              <w:ind w:left="78"/>
              <w:jc w:val="center"/>
              <w:rPr>
                <w:rFonts w:asciiTheme="minorHAnsi" w:hAnsiTheme="minorHAnsi" w:cstheme="minorHAnsi"/>
                <w:sz w:val="16"/>
                <w:szCs w:val="16"/>
              </w:rPr>
            </w:pPr>
          </w:p>
        </w:tc>
        <w:tc>
          <w:tcPr>
            <w:tcW w:w="1134" w:type="dxa"/>
            <w:tcBorders>
              <w:top w:val="nil"/>
              <w:bottom w:val="single" w:sz="4" w:space="0" w:color="auto"/>
            </w:tcBorders>
            <w:shd w:val="clear" w:color="auto" w:fill="DAEEF3" w:themeFill="accent5" w:themeFillTint="33"/>
            <w:vAlign w:val="center"/>
          </w:tcPr>
          <w:p w14:paraId="343A64F8"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09" w:type="dxa"/>
            <w:tcBorders>
              <w:top w:val="nil"/>
              <w:bottom w:val="single" w:sz="4" w:space="0" w:color="auto"/>
              <w:right w:val="nil"/>
            </w:tcBorders>
            <w:shd w:val="clear" w:color="auto" w:fill="DAEEF3" w:themeFill="accent5" w:themeFillTint="33"/>
            <w:vAlign w:val="center"/>
          </w:tcPr>
          <w:p w14:paraId="3F40434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3,034</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1F60E13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26.6</w:t>
            </w:r>
            <w:r w:rsidRPr="00AF3A24">
              <w:rPr>
                <w:rFonts w:asciiTheme="minorHAnsi" w:hAnsiTheme="minorHAnsi"/>
                <w:bCs/>
                <w:color w:val="000000"/>
                <w:sz w:val="16"/>
                <w:szCs w:val="16"/>
              </w:rPr>
              <w:br/>
              <w:t>(25.4 - 27.8)</w:t>
            </w:r>
          </w:p>
        </w:tc>
        <w:tc>
          <w:tcPr>
            <w:tcW w:w="674" w:type="dxa"/>
            <w:tcBorders>
              <w:top w:val="nil"/>
              <w:left w:val="nil"/>
              <w:bottom w:val="single" w:sz="4" w:space="0" w:color="auto"/>
              <w:right w:val="nil"/>
            </w:tcBorders>
            <w:shd w:val="clear" w:color="auto" w:fill="DAEEF3" w:themeFill="accent5" w:themeFillTint="33"/>
            <w:vAlign w:val="center"/>
          </w:tcPr>
          <w:p w14:paraId="62ABE0B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2,857</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76D8334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25.5</w:t>
            </w:r>
            <w:r w:rsidRPr="00AF3A24">
              <w:rPr>
                <w:rFonts w:asciiTheme="minorHAnsi" w:hAnsiTheme="minorHAnsi"/>
                <w:bCs/>
                <w:color w:val="000000"/>
                <w:sz w:val="16"/>
                <w:szCs w:val="16"/>
              </w:rPr>
              <w:br/>
              <w:t>(24.3 - 26.7)</w:t>
            </w:r>
          </w:p>
        </w:tc>
        <w:tc>
          <w:tcPr>
            <w:tcW w:w="638" w:type="dxa"/>
            <w:tcBorders>
              <w:top w:val="nil"/>
              <w:left w:val="nil"/>
              <w:bottom w:val="single" w:sz="4" w:space="0" w:color="auto"/>
              <w:right w:val="nil"/>
            </w:tcBorders>
            <w:shd w:val="clear" w:color="auto" w:fill="DAEEF3" w:themeFill="accent5" w:themeFillTint="33"/>
            <w:vAlign w:val="center"/>
          </w:tcPr>
          <w:p w14:paraId="5F350FF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1,065</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11B2BF2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w:t>
            </w:r>
            <w:r w:rsidRPr="00AF3A24">
              <w:rPr>
                <w:rFonts w:asciiTheme="minorHAnsi" w:hAnsiTheme="minorHAnsi"/>
                <w:bCs/>
                <w:color w:val="000000"/>
                <w:sz w:val="16"/>
                <w:szCs w:val="16"/>
              </w:rPr>
              <w:br/>
              <w:t>(8.6 - 10.1)</w:t>
            </w:r>
          </w:p>
        </w:tc>
        <w:tc>
          <w:tcPr>
            <w:tcW w:w="744" w:type="dxa"/>
            <w:tcBorders>
              <w:top w:val="nil"/>
              <w:left w:val="nil"/>
              <w:bottom w:val="single" w:sz="4" w:space="0" w:color="auto"/>
              <w:right w:val="nil"/>
            </w:tcBorders>
            <w:shd w:val="clear" w:color="auto" w:fill="DAEEF3" w:themeFill="accent5" w:themeFillTint="33"/>
            <w:vAlign w:val="center"/>
          </w:tcPr>
          <w:p w14:paraId="115C83D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561</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253A202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w:t>
            </w:r>
            <w:r w:rsidRPr="00AF3A24">
              <w:rPr>
                <w:rFonts w:asciiTheme="minorHAnsi" w:hAnsiTheme="minorHAnsi"/>
                <w:bCs/>
                <w:color w:val="000000"/>
                <w:sz w:val="16"/>
                <w:szCs w:val="16"/>
              </w:rPr>
              <w:br/>
              <w:t>(5.1 - 6.3)</w:t>
            </w:r>
          </w:p>
        </w:tc>
      </w:tr>
    </w:tbl>
    <w:p w14:paraId="13EC9089" w14:textId="77777777" w:rsidR="003A39BC" w:rsidRPr="00AF3A24" w:rsidRDefault="003A39BC" w:rsidP="003A39BC">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75718613" w14:textId="77777777" w:rsidR="003A39BC" w:rsidRPr="00AF3A24" w:rsidRDefault="003A39BC" w:rsidP="00D75319">
      <w:pPr>
        <w:pStyle w:val="ListParagraph"/>
        <w:numPr>
          <w:ilvl w:val="0"/>
          <w:numId w:val="10"/>
        </w:numPr>
        <w:spacing w:line="240" w:lineRule="auto"/>
        <w:ind w:left="0"/>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1F316A7C" w14:textId="77777777" w:rsidR="003A39BC" w:rsidRPr="00AF3A24" w:rsidRDefault="003A39BC" w:rsidP="00D75319">
      <w:pPr>
        <w:pStyle w:val="ListParagraph"/>
        <w:numPr>
          <w:ilvl w:val="0"/>
          <w:numId w:val="10"/>
        </w:numPr>
        <w:spacing w:line="240" w:lineRule="auto"/>
        <w:ind w:left="0"/>
        <w:rPr>
          <w:rFonts w:asciiTheme="minorHAnsi" w:hAnsiTheme="minorHAnsi" w:cstheme="minorHAnsi"/>
          <w:sz w:val="16"/>
        </w:rPr>
      </w:pPr>
      <w:r w:rsidRPr="00AF3A24">
        <w:rPr>
          <w:rFonts w:asciiTheme="minorHAnsi" w:hAnsiTheme="minorHAnsi" w:cstheme="minorHAnsi"/>
          <w:sz w:val="16"/>
        </w:rPr>
        <w:t>Due to small cell sizes / denominators (n&lt;30), some activities have been combined with others to enable their inclusion in the analyses.</w:t>
      </w:r>
    </w:p>
    <w:p w14:paraId="45CED9F5" w14:textId="77777777" w:rsidR="003A39BC" w:rsidRPr="00AF3A24" w:rsidRDefault="003A39BC" w:rsidP="00D75319">
      <w:pPr>
        <w:pStyle w:val="ListParagraph"/>
        <w:numPr>
          <w:ilvl w:val="0"/>
          <w:numId w:val="10"/>
        </w:numPr>
        <w:spacing w:line="240" w:lineRule="auto"/>
        <w:ind w:left="0"/>
        <w:rPr>
          <w:rFonts w:asciiTheme="minorHAnsi" w:hAnsiTheme="minorHAnsi" w:cstheme="minorHAnsi"/>
          <w:sz w:val="16"/>
        </w:rPr>
      </w:pPr>
      <w:r w:rsidRPr="00AF3A24">
        <w:rPr>
          <w:rFonts w:asciiTheme="minorHAnsi" w:hAnsiTheme="minorHAnsi" w:cstheme="minorHAnsi"/>
          <w:sz w:val="16"/>
        </w:rPr>
        <w:t xml:space="preserve">Lotto includes ‘Strike’, ‘Powerball’, and ‘Big Wednesday’. </w:t>
      </w:r>
    </w:p>
    <w:p w14:paraId="2B8C6DB6" w14:textId="63415F74" w:rsidR="003A39BC" w:rsidRPr="00B26F2F" w:rsidRDefault="00594C77" w:rsidP="00D75319">
      <w:pPr>
        <w:pStyle w:val="ListParagraph"/>
        <w:numPr>
          <w:ilvl w:val="0"/>
          <w:numId w:val="10"/>
        </w:numPr>
        <w:spacing w:line="240" w:lineRule="auto"/>
        <w:ind w:left="0"/>
        <w:rPr>
          <w:rFonts w:asciiTheme="minorHAnsi" w:hAnsiTheme="minorHAnsi" w:cstheme="minorHAnsi"/>
          <w:sz w:val="16"/>
        </w:rPr>
      </w:pPr>
      <w:r w:rsidRPr="00B26F2F">
        <w:rPr>
          <w:rFonts w:asciiTheme="minorHAnsi" w:hAnsiTheme="minorHAnsi" w:cstheme="minorHAnsi"/>
          <w:sz w:val="16"/>
        </w:rPr>
        <w:t>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Percentages and 95% confidence intervals have been age-standardised in accordance with World Health Organisation (WHO) age population distributions</w:t>
      </w:r>
      <w:r w:rsidR="00645B95" w:rsidRPr="00B26F2F">
        <w:rPr>
          <w:rFonts w:asciiTheme="minorHAnsi" w:hAnsiTheme="minorHAnsi" w:cstheme="minorHAnsi"/>
          <w:sz w:val="16"/>
        </w:rPr>
        <w:t xml:space="preserve"> </w:t>
      </w:r>
      <w:r w:rsidR="00645B95" w:rsidRPr="00B26F2F">
        <w:rPr>
          <w:rFonts w:asciiTheme="minorHAnsi" w:hAnsiTheme="minorHAnsi" w:cstheme="minorHAnsi"/>
          <w:sz w:val="16"/>
        </w:rPr>
        <w:fldChar w:fldCharType="begin"/>
      </w:r>
      <w:r w:rsidR="00A34C5E">
        <w:rPr>
          <w:rFonts w:asciiTheme="minorHAnsi" w:hAnsiTheme="minorHAnsi" w:cstheme="minorHAnsi"/>
          <w:sz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sidRPr="00B26F2F">
        <w:rPr>
          <w:rFonts w:asciiTheme="minorHAnsi" w:hAnsiTheme="minorHAnsi" w:cstheme="minorHAnsi"/>
          <w:sz w:val="16"/>
        </w:rPr>
        <w:fldChar w:fldCharType="separate"/>
      </w:r>
      <w:r w:rsidR="00645B95" w:rsidRPr="00B26F2F">
        <w:rPr>
          <w:rFonts w:asciiTheme="minorHAnsi" w:hAnsiTheme="minorHAnsi" w:cstheme="minorHAnsi"/>
          <w:noProof/>
          <w:sz w:val="16"/>
        </w:rPr>
        <w:t>(</w:t>
      </w:r>
      <w:hyperlink w:anchor="_ENREF_10" w:tooltip="Ahmad, 2001 #912" w:history="1">
        <w:r w:rsidR="00765F46" w:rsidRPr="00B26F2F">
          <w:rPr>
            <w:rFonts w:asciiTheme="minorHAnsi" w:hAnsiTheme="minorHAnsi" w:cstheme="minorHAnsi"/>
            <w:noProof/>
            <w:sz w:val="16"/>
          </w:rPr>
          <w:t>Ahmad et al., 2001</w:t>
        </w:r>
      </w:hyperlink>
      <w:r w:rsidR="00645B95" w:rsidRPr="00B26F2F">
        <w:rPr>
          <w:rFonts w:asciiTheme="minorHAnsi" w:hAnsiTheme="minorHAnsi" w:cstheme="minorHAnsi"/>
          <w:noProof/>
          <w:sz w:val="16"/>
        </w:rPr>
        <w:t>)</w:t>
      </w:r>
      <w:r w:rsidR="00645B95" w:rsidRPr="00B26F2F">
        <w:rPr>
          <w:rFonts w:asciiTheme="minorHAnsi" w:hAnsiTheme="minorHAnsi" w:cstheme="minorHAnsi"/>
          <w:sz w:val="16"/>
        </w:rPr>
        <w:fldChar w:fldCharType="end"/>
      </w:r>
      <w:r w:rsidRPr="00B26F2F">
        <w:rPr>
          <w:rFonts w:asciiTheme="minorHAnsi" w:hAnsiTheme="minorHAnsi" w:cstheme="minorHAnsi"/>
          <w:sz w:val="16"/>
        </w:rPr>
        <w:t>.</w:t>
      </w:r>
    </w:p>
    <w:p w14:paraId="4559B390" w14:textId="77777777" w:rsidR="00B26F2F" w:rsidRPr="00B26F2F" w:rsidRDefault="00B26F2F" w:rsidP="00D75319">
      <w:pPr>
        <w:pStyle w:val="ListParagraph"/>
        <w:numPr>
          <w:ilvl w:val="0"/>
          <w:numId w:val="10"/>
        </w:numPr>
        <w:spacing w:line="240" w:lineRule="auto"/>
        <w:ind w:left="0"/>
        <w:rPr>
          <w:rFonts w:asciiTheme="minorHAnsi" w:hAnsiTheme="minorHAnsi" w:cstheme="minorHAnsi"/>
          <w:sz w:val="16"/>
        </w:rPr>
      </w:pPr>
      <w:r w:rsidRPr="00B26F2F">
        <w:rPr>
          <w:rFonts w:asciiTheme="minorHAnsi" w:hAnsiTheme="minorHAnsi" w:cstheme="minorHAnsi"/>
          <w:sz w:val="16"/>
        </w:rPr>
        <w:t xml:space="preserve">Analyses were undertaken to report past-year participation on these activities for minors (i.e. those aged 19 or less).  Resulting denominators were &lt;30.  </w:t>
      </w:r>
    </w:p>
    <w:p w14:paraId="1D4A69FD" w14:textId="77777777" w:rsidR="003A39BC" w:rsidRPr="00AF3A24" w:rsidRDefault="003A39BC" w:rsidP="003A39BC">
      <w:pPr>
        <w:spacing w:before="0" w:after="200" w:line="276" w:lineRule="auto"/>
        <w:jc w:val="left"/>
        <w:rPr>
          <w:rFonts w:asciiTheme="minorHAnsi" w:hAnsiTheme="minorHAnsi" w:cstheme="minorHAnsi"/>
          <w:sz w:val="18"/>
        </w:rPr>
      </w:pPr>
    </w:p>
    <w:tbl>
      <w:tblPr>
        <w:tblStyle w:val="TableGrid"/>
        <w:tblW w:w="11199" w:type="dxa"/>
        <w:tblInd w:w="-459" w:type="dxa"/>
        <w:tblLayout w:type="fixed"/>
        <w:tblLook w:val="04A0" w:firstRow="1" w:lastRow="0" w:firstColumn="1" w:lastColumn="0" w:noHBand="0" w:noVBand="1"/>
      </w:tblPr>
      <w:tblGrid>
        <w:gridCol w:w="1418"/>
        <w:gridCol w:w="1134"/>
        <w:gridCol w:w="709"/>
        <w:gridCol w:w="1452"/>
        <w:gridCol w:w="674"/>
        <w:gridCol w:w="1488"/>
        <w:gridCol w:w="638"/>
        <w:gridCol w:w="1524"/>
        <w:gridCol w:w="744"/>
        <w:gridCol w:w="1418"/>
      </w:tblGrid>
      <w:tr w:rsidR="003A39BC" w:rsidRPr="00AF3A24" w14:paraId="0BE24F27" w14:textId="77777777" w:rsidTr="00203BC6">
        <w:trPr>
          <w:trHeight w:val="386"/>
        </w:trPr>
        <w:tc>
          <w:tcPr>
            <w:tcW w:w="2552" w:type="dxa"/>
            <w:gridSpan w:val="2"/>
            <w:vMerge w:val="restart"/>
            <w:shd w:val="clear" w:color="auto" w:fill="92CDDC" w:themeFill="accent5" w:themeFillTint="99"/>
          </w:tcPr>
          <w:p w14:paraId="4AD0DE1C"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8647" w:type="dxa"/>
            <w:gridSpan w:val="8"/>
            <w:tcBorders>
              <w:bottom w:val="single" w:sz="4" w:space="0" w:color="auto"/>
              <w:right w:val="single" w:sz="8" w:space="0" w:color="auto"/>
            </w:tcBorders>
            <w:shd w:val="clear" w:color="auto" w:fill="92CDDC" w:themeFill="accent5" w:themeFillTint="99"/>
            <w:vAlign w:val="center"/>
          </w:tcPr>
          <w:p w14:paraId="49E5B1C9"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ACTIVITY – PAST YEAR PARTICIPATION (CONTINUED)</w:t>
            </w:r>
          </w:p>
        </w:tc>
      </w:tr>
      <w:tr w:rsidR="003A39BC" w:rsidRPr="00AF3A24" w14:paraId="6707ADE1" w14:textId="77777777" w:rsidTr="00203BC6">
        <w:trPr>
          <w:trHeight w:val="386"/>
        </w:trPr>
        <w:tc>
          <w:tcPr>
            <w:tcW w:w="2552" w:type="dxa"/>
            <w:gridSpan w:val="2"/>
            <w:vMerge/>
            <w:shd w:val="clear" w:color="auto" w:fill="92CDDC" w:themeFill="accent5" w:themeFillTint="99"/>
          </w:tcPr>
          <w:p w14:paraId="04034A90"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2161" w:type="dxa"/>
            <w:gridSpan w:val="2"/>
            <w:tcBorders>
              <w:bottom w:val="single" w:sz="4" w:space="0" w:color="auto"/>
            </w:tcBorders>
            <w:shd w:val="clear" w:color="auto" w:fill="92CDDC" w:themeFill="accent5" w:themeFillTint="99"/>
            <w:vAlign w:val="center"/>
          </w:tcPr>
          <w:p w14:paraId="0D501D0E" w14:textId="77777777" w:rsidR="003A39BC" w:rsidRPr="00AF3A24" w:rsidRDefault="003A39BC" w:rsidP="00B26F2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Lotto </w:t>
            </w:r>
            <w:r w:rsidR="00942B22">
              <w:rPr>
                <w:rFonts w:asciiTheme="minorHAnsi" w:hAnsiTheme="minorHAnsi" w:cstheme="minorHAnsi"/>
                <w:b/>
                <w:sz w:val="18"/>
                <w:szCs w:val="18"/>
                <w:vertAlign w:val="superscript"/>
              </w:rPr>
              <w:t>6</w:t>
            </w:r>
          </w:p>
        </w:tc>
        <w:tc>
          <w:tcPr>
            <w:tcW w:w="2162" w:type="dxa"/>
            <w:gridSpan w:val="2"/>
            <w:tcBorders>
              <w:bottom w:val="single" w:sz="4" w:space="0" w:color="auto"/>
            </w:tcBorders>
            <w:shd w:val="clear" w:color="auto" w:fill="92CDDC" w:themeFill="accent5" w:themeFillTint="99"/>
            <w:vAlign w:val="center"/>
          </w:tcPr>
          <w:p w14:paraId="5577520A"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Instant Kiwi or other scratch tickets</w:t>
            </w:r>
          </w:p>
        </w:tc>
        <w:tc>
          <w:tcPr>
            <w:tcW w:w="2162" w:type="dxa"/>
            <w:gridSpan w:val="2"/>
            <w:tcBorders>
              <w:bottom w:val="single" w:sz="4" w:space="0" w:color="auto"/>
            </w:tcBorders>
            <w:shd w:val="clear" w:color="auto" w:fill="92CDDC" w:themeFill="accent5" w:themeFillTint="99"/>
            <w:vAlign w:val="center"/>
          </w:tcPr>
          <w:p w14:paraId="5D932D10" w14:textId="77777777" w:rsidR="003A39BC" w:rsidRPr="00AF3A24" w:rsidRDefault="003A39BC" w:rsidP="00142106">
            <w:pPr>
              <w:spacing w:before="0" w:line="240" w:lineRule="auto"/>
              <w:jc w:val="center"/>
              <w:rPr>
                <w:rFonts w:asciiTheme="minorHAnsi" w:hAnsiTheme="minorHAnsi" w:cstheme="minorHAnsi"/>
                <w:b/>
                <w:sz w:val="18"/>
                <w:szCs w:val="18"/>
              </w:rPr>
            </w:pPr>
            <w:r w:rsidRPr="00B26F2F">
              <w:rPr>
                <w:rFonts w:asciiTheme="minorHAnsi" w:hAnsiTheme="minorHAnsi" w:cstheme="minorHAnsi"/>
                <w:b/>
                <w:sz w:val="18"/>
                <w:szCs w:val="18"/>
              </w:rPr>
              <w:t>Non-casino gaming machines</w:t>
            </w:r>
            <w:r w:rsidR="00B26F2F" w:rsidRPr="00B26F2F">
              <w:rPr>
                <w:rFonts w:asciiTheme="minorHAnsi" w:hAnsiTheme="minorHAnsi" w:cstheme="minorHAnsi"/>
                <w:b/>
                <w:sz w:val="18"/>
                <w:szCs w:val="18"/>
              </w:rPr>
              <w:t xml:space="preserve"> </w:t>
            </w:r>
            <w:r w:rsidR="00942B22">
              <w:rPr>
                <w:rFonts w:asciiTheme="minorHAnsi" w:hAnsiTheme="minorHAnsi" w:cstheme="minorHAnsi"/>
                <w:b/>
                <w:sz w:val="18"/>
                <w:szCs w:val="18"/>
                <w:vertAlign w:val="superscript"/>
              </w:rPr>
              <w:t>7</w:t>
            </w:r>
          </w:p>
        </w:tc>
        <w:tc>
          <w:tcPr>
            <w:tcW w:w="2162" w:type="dxa"/>
            <w:gridSpan w:val="2"/>
            <w:tcBorders>
              <w:bottom w:val="single" w:sz="4" w:space="0" w:color="auto"/>
              <w:right w:val="single" w:sz="8" w:space="0" w:color="auto"/>
            </w:tcBorders>
            <w:shd w:val="clear" w:color="auto" w:fill="92CDDC" w:themeFill="accent5" w:themeFillTint="99"/>
            <w:vAlign w:val="center"/>
          </w:tcPr>
          <w:p w14:paraId="72349A13"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Track betting</w:t>
            </w:r>
          </w:p>
        </w:tc>
      </w:tr>
      <w:tr w:rsidR="003A39BC" w:rsidRPr="00AF3A24" w14:paraId="37ED44E8" w14:textId="77777777" w:rsidTr="00203BC6">
        <w:trPr>
          <w:trHeight w:val="386"/>
        </w:trPr>
        <w:tc>
          <w:tcPr>
            <w:tcW w:w="2552" w:type="dxa"/>
            <w:gridSpan w:val="2"/>
            <w:vMerge/>
            <w:tcBorders>
              <w:bottom w:val="single" w:sz="4" w:space="0" w:color="auto"/>
            </w:tcBorders>
            <w:shd w:val="clear" w:color="auto" w:fill="92CDDC" w:themeFill="accent5" w:themeFillTint="99"/>
            <w:vAlign w:val="center"/>
          </w:tcPr>
          <w:p w14:paraId="2CA68EFE"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709" w:type="dxa"/>
            <w:tcBorders>
              <w:bottom w:val="single" w:sz="4" w:space="0" w:color="auto"/>
            </w:tcBorders>
            <w:shd w:val="clear" w:color="auto" w:fill="92CDDC" w:themeFill="accent5" w:themeFillTint="99"/>
            <w:vAlign w:val="center"/>
          </w:tcPr>
          <w:p w14:paraId="0CC88297"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52" w:type="dxa"/>
            <w:tcBorders>
              <w:bottom w:val="single" w:sz="4" w:space="0" w:color="auto"/>
            </w:tcBorders>
            <w:shd w:val="clear" w:color="auto" w:fill="92CDDC" w:themeFill="accent5" w:themeFillTint="99"/>
            <w:vAlign w:val="center"/>
          </w:tcPr>
          <w:p w14:paraId="034685F1"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38D3309"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674" w:type="dxa"/>
            <w:tcBorders>
              <w:bottom w:val="single" w:sz="4" w:space="0" w:color="auto"/>
            </w:tcBorders>
            <w:shd w:val="clear" w:color="auto" w:fill="92CDDC" w:themeFill="accent5" w:themeFillTint="99"/>
            <w:vAlign w:val="center"/>
          </w:tcPr>
          <w:p w14:paraId="1AEBBADD"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88" w:type="dxa"/>
            <w:tcBorders>
              <w:bottom w:val="single" w:sz="4" w:space="0" w:color="auto"/>
            </w:tcBorders>
            <w:shd w:val="clear" w:color="auto" w:fill="92CDDC" w:themeFill="accent5" w:themeFillTint="99"/>
            <w:vAlign w:val="center"/>
          </w:tcPr>
          <w:p w14:paraId="606C6B8D"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3A66F410"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638" w:type="dxa"/>
            <w:tcBorders>
              <w:bottom w:val="single" w:sz="4" w:space="0" w:color="auto"/>
            </w:tcBorders>
            <w:shd w:val="clear" w:color="auto" w:fill="92CDDC" w:themeFill="accent5" w:themeFillTint="99"/>
            <w:vAlign w:val="center"/>
          </w:tcPr>
          <w:p w14:paraId="1AADDC9C"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24" w:type="dxa"/>
            <w:tcBorders>
              <w:bottom w:val="single" w:sz="4" w:space="0" w:color="auto"/>
            </w:tcBorders>
            <w:shd w:val="clear" w:color="auto" w:fill="92CDDC" w:themeFill="accent5" w:themeFillTint="99"/>
            <w:vAlign w:val="center"/>
          </w:tcPr>
          <w:p w14:paraId="1AF51B80"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82CB446"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44" w:type="dxa"/>
            <w:tcBorders>
              <w:bottom w:val="single" w:sz="4" w:space="0" w:color="auto"/>
            </w:tcBorders>
            <w:shd w:val="clear" w:color="auto" w:fill="92CDDC" w:themeFill="accent5" w:themeFillTint="99"/>
            <w:vAlign w:val="center"/>
          </w:tcPr>
          <w:p w14:paraId="760CB2CD"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8" w:type="dxa"/>
            <w:tcBorders>
              <w:bottom w:val="single" w:sz="4" w:space="0" w:color="auto"/>
              <w:right w:val="single" w:sz="8" w:space="0" w:color="auto"/>
            </w:tcBorders>
            <w:shd w:val="clear" w:color="auto" w:fill="92CDDC" w:themeFill="accent5" w:themeFillTint="99"/>
            <w:vAlign w:val="center"/>
          </w:tcPr>
          <w:p w14:paraId="6034465A"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07BC97B"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3A39BC" w:rsidRPr="00AF3A24" w14:paraId="430D4D17" w14:textId="77777777" w:rsidTr="00203BC6">
        <w:tc>
          <w:tcPr>
            <w:tcW w:w="2552" w:type="dxa"/>
            <w:gridSpan w:val="2"/>
            <w:tcBorders>
              <w:top w:val="nil"/>
              <w:bottom w:val="nil"/>
            </w:tcBorders>
            <w:shd w:val="clear" w:color="auto" w:fill="DAEEF3" w:themeFill="accent5" w:themeFillTint="33"/>
            <w:vAlign w:val="center"/>
          </w:tcPr>
          <w:p w14:paraId="24794E3A" w14:textId="77777777" w:rsidR="003A39BC" w:rsidRPr="00AF3A24" w:rsidRDefault="003A39BC" w:rsidP="00203BC6">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09" w:type="dxa"/>
            <w:tcBorders>
              <w:top w:val="nil"/>
              <w:bottom w:val="nil"/>
              <w:right w:val="nil"/>
            </w:tcBorders>
            <w:shd w:val="clear" w:color="auto" w:fill="DAEEF3" w:themeFill="accent5" w:themeFillTint="33"/>
            <w:vAlign w:val="center"/>
          </w:tcPr>
          <w:p w14:paraId="5CBAC7A8" w14:textId="77777777" w:rsidR="003A39BC" w:rsidRPr="00AF3A24" w:rsidRDefault="003A39BC" w:rsidP="00203BC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5,693</w:t>
            </w:r>
          </w:p>
        </w:tc>
        <w:tc>
          <w:tcPr>
            <w:tcW w:w="1452" w:type="dxa"/>
            <w:tcBorders>
              <w:top w:val="nil"/>
              <w:left w:val="nil"/>
              <w:bottom w:val="nil"/>
              <w:right w:val="single" w:sz="4" w:space="0" w:color="auto"/>
            </w:tcBorders>
            <w:shd w:val="clear" w:color="auto" w:fill="DAEEF3" w:themeFill="accent5" w:themeFillTint="33"/>
            <w:vAlign w:val="center"/>
          </w:tcPr>
          <w:p w14:paraId="048A67E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45.2</w:t>
            </w:r>
            <w:r w:rsidRPr="00AF3A24">
              <w:rPr>
                <w:rFonts w:asciiTheme="minorHAnsi" w:hAnsiTheme="minorHAnsi"/>
                <w:bCs/>
                <w:color w:val="000000"/>
                <w:sz w:val="16"/>
                <w:szCs w:val="16"/>
              </w:rPr>
              <w:br/>
              <w:t>(43.8 - 46.7)</w:t>
            </w:r>
          </w:p>
        </w:tc>
        <w:tc>
          <w:tcPr>
            <w:tcW w:w="674" w:type="dxa"/>
            <w:tcBorders>
              <w:top w:val="nil"/>
              <w:left w:val="nil"/>
              <w:bottom w:val="nil"/>
              <w:right w:val="nil"/>
            </w:tcBorders>
            <w:shd w:val="clear" w:color="auto" w:fill="DAEEF3" w:themeFill="accent5" w:themeFillTint="33"/>
            <w:vAlign w:val="center"/>
          </w:tcPr>
          <w:p w14:paraId="4CC0C3A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1,677</w:t>
            </w:r>
          </w:p>
        </w:tc>
        <w:tc>
          <w:tcPr>
            <w:tcW w:w="1488" w:type="dxa"/>
            <w:tcBorders>
              <w:top w:val="nil"/>
              <w:left w:val="nil"/>
              <w:bottom w:val="nil"/>
              <w:right w:val="single" w:sz="4" w:space="0" w:color="auto"/>
            </w:tcBorders>
            <w:shd w:val="clear" w:color="auto" w:fill="DAEEF3" w:themeFill="accent5" w:themeFillTint="33"/>
            <w:vAlign w:val="center"/>
          </w:tcPr>
          <w:p w14:paraId="1A1F13D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r w:rsidRPr="00AF3A24">
              <w:rPr>
                <w:rFonts w:asciiTheme="minorHAnsi" w:hAnsiTheme="minorHAnsi"/>
                <w:bCs/>
                <w:color w:val="000000"/>
                <w:sz w:val="16"/>
                <w:szCs w:val="16"/>
              </w:rPr>
              <w:br/>
              <w:t>(12.7 - 14.5)</w:t>
            </w:r>
          </w:p>
        </w:tc>
        <w:tc>
          <w:tcPr>
            <w:tcW w:w="638" w:type="dxa"/>
            <w:tcBorders>
              <w:top w:val="nil"/>
              <w:left w:val="nil"/>
              <w:bottom w:val="nil"/>
              <w:right w:val="nil"/>
            </w:tcBorders>
            <w:shd w:val="clear" w:color="auto" w:fill="DAEEF3" w:themeFill="accent5" w:themeFillTint="33"/>
            <w:vAlign w:val="center"/>
          </w:tcPr>
          <w:p w14:paraId="3548289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803</w:t>
            </w:r>
          </w:p>
        </w:tc>
        <w:tc>
          <w:tcPr>
            <w:tcW w:w="1524" w:type="dxa"/>
            <w:tcBorders>
              <w:top w:val="nil"/>
              <w:left w:val="nil"/>
              <w:bottom w:val="nil"/>
              <w:right w:val="single" w:sz="4" w:space="0" w:color="auto"/>
            </w:tcBorders>
            <w:shd w:val="clear" w:color="auto" w:fill="DAEEF3" w:themeFill="accent5" w:themeFillTint="33"/>
            <w:vAlign w:val="center"/>
          </w:tcPr>
          <w:p w14:paraId="2C49353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w:t>
            </w:r>
            <w:r w:rsidRPr="00AF3A24">
              <w:rPr>
                <w:rFonts w:asciiTheme="minorHAnsi" w:hAnsiTheme="minorHAnsi"/>
                <w:bCs/>
                <w:color w:val="000000"/>
                <w:sz w:val="16"/>
                <w:szCs w:val="16"/>
              </w:rPr>
              <w:br/>
              <w:t>(5.5 - 6.7)</w:t>
            </w:r>
          </w:p>
        </w:tc>
        <w:tc>
          <w:tcPr>
            <w:tcW w:w="744" w:type="dxa"/>
            <w:tcBorders>
              <w:top w:val="nil"/>
              <w:left w:val="nil"/>
              <w:bottom w:val="nil"/>
              <w:right w:val="nil"/>
            </w:tcBorders>
            <w:shd w:val="clear" w:color="auto" w:fill="DAEEF3" w:themeFill="accent5" w:themeFillTint="33"/>
            <w:vAlign w:val="center"/>
          </w:tcPr>
          <w:p w14:paraId="0F8C5AF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746</w:t>
            </w:r>
          </w:p>
        </w:tc>
        <w:tc>
          <w:tcPr>
            <w:tcW w:w="1418" w:type="dxa"/>
            <w:tcBorders>
              <w:top w:val="nil"/>
              <w:left w:val="nil"/>
              <w:bottom w:val="nil"/>
              <w:right w:val="single" w:sz="8" w:space="0" w:color="auto"/>
            </w:tcBorders>
            <w:shd w:val="clear" w:color="auto" w:fill="DAEEF3" w:themeFill="accent5" w:themeFillTint="33"/>
            <w:vAlign w:val="center"/>
          </w:tcPr>
          <w:p w14:paraId="1689E47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w:t>
            </w:r>
            <w:r w:rsidRPr="00AF3A24">
              <w:rPr>
                <w:rFonts w:asciiTheme="minorHAnsi" w:hAnsiTheme="minorHAnsi"/>
                <w:bCs/>
                <w:color w:val="000000"/>
                <w:sz w:val="16"/>
                <w:szCs w:val="16"/>
              </w:rPr>
              <w:br/>
              <w:t>(5.5 - 6.6)</w:t>
            </w:r>
          </w:p>
        </w:tc>
      </w:tr>
      <w:tr w:rsidR="003A39BC" w:rsidRPr="00AF3A24" w14:paraId="755BF19D" w14:textId="77777777" w:rsidTr="00203BC6">
        <w:tc>
          <w:tcPr>
            <w:tcW w:w="1418" w:type="dxa"/>
            <w:vMerge w:val="restart"/>
            <w:tcBorders>
              <w:top w:val="single" w:sz="4" w:space="0" w:color="auto"/>
            </w:tcBorders>
            <w:shd w:val="clear" w:color="auto" w:fill="DAEEF3" w:themeFill="accent5" w:themeFillTint="33"/>
            <w:vAlign w:val="center"/>
          </w:tcPr>
          <w:p w14:paraId="7053523B" w14:textId="77777777" w:rsidR="003A39BC" w:rsidRPr="00AF3A24" w:rsidRDefault="003A39BC" w:rsidP="00203BC6">
            <w:pPr>
              <w:spacing w:before="0" w:line="240" w:lineRule="auto"/>
              <w:ind w:left="33"/>
              <w:jc w:val="left"/>
              <w:rPr>
                <w:rFonts w:asciiTheme="minorHAnsi" w:hAnsiTheme="minorHAnsi" w:cstheme="minorHAnsi"/>
                <w:sz w:val="16"/>
                <w:szCs w:val="18"/>
              </w:rPr>
            </w:pPr>
            <w:r w:rsidRPr="00AF3A24">
              <w:rPr>
                <w:rFonts w:asciiTheme="minorHAnsi" w:hAnsiTheme="minorHAnsi" w:cstheme="minorHAnsi"/>
                <w:sz w:val="16"/>
                <w:szCs w:val="18"/>
              </w:rPr>
              <w:t xml:space="preserve">By </w:t>
            </w:r>
            <w:r w:rsidRPr="00AF3A24">
              <w:rPr>
                <w:rFonts w:asciiTheme="minorHAnsi" w:hAnsiTheme="minorHAnsi" w:cstheme="minorHAnsi"/>
                <w:sz w:val="16"/>
                <w:szCs w:val="16"/>
              </w:rPr>
              <w:t>Gender</w:t>
            </w:r>
          </w:p>
        </w:tc>
        <w:tc>
          <w:tcPr>
            <w:tcW w:w="1134" w:type="dxa"/>
            <w:tcBorders>
              <w:top w:val="single" w:sz="4" w:space="0" w:color="auto"/>
              <w:bottom w:val="nil"/>
            </w:tcBorders>
            <w:shd w:val="clear" w:color="auto" w:fill="DAEEF3" w:themeFill="accent5" w:themeFillTint="33"/>
            <w:vAlign w:val="center"/>
          </w:tcPr>
          <w:p w14:paraId="47868A55"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09" w:type="dxa"/>
            <w:tcBorders>
              <w:bottom w:val="nil"/>
              <w:right w:val="nil"/>
            </w:tcBorders>
            <w:shd w:val="clear" w:color="auto" w:fill="DAEEF3" w:themeFill="accent5" w:themeFillTint="33"/>
            <w:vAlign w:val="center"/>
          </w:tcPr>
          <w:p w14:paraId="0F75C41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3,274</w:t>
            </w:r>
          </w:p>
        </w:tc>
        <w:tc>
          <w:tcPr>
            <w:tcW w:w="1452" w:type="dxa"/>
            <w:tcBorders>
              <w:left w:val="nil"/>
              <w:bottom w:val="nil"/>
              <w:right w:val="single" w:sz="4" w:space="0" w:color="auto"/>
            </w:tcBorders>
            <w:shd w:val="clear" w:color="auto" w:fill="DAEEF3" w:themeFill="accent5" w:themeFillTint="33"/>
            <w:vAlign w:val="center"/>
          </w:tcPr>
          <w:p w14:paraId="33F128D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43.7</w:t>
            </w:r>
            <w:r w:rsidRPr="00AF3A24">
              <w:rPr>
                <w:rFonts w:asciiTheme="minorHAnsi" w:hAnsiTheme="minorHAnsi"/>
                <w:bCs/>
                <w:color w:val="000000"/>
                <w:sz w:val="16"/>
                <w:szCs w:val="16"/>
              </w:rPr>
              <w:br/>
              <w:t>(41.9 - 45.4)</w:t>
            </w:r>
          </w:p>
        </w:tc>
        <w:tc>
          <w:tcPr>
            <w:tcW w:w="674" w:type="dxa"/>
            <w:tcBorders>
              <w:left w:val="nil"/>
              <w:bottom w:val="nil"/>
              <w:right w:val="nil"/>
            </w:tcBorders>
            <w:shd w:val="clear" w:color="auto" w:fill="DAEEF3" w:themeFill="accent5" w:themeFillTint="33"/>
            <w:vAlign w:val="center"/>
          </w:tcPr>
          <w:p w14:paraId="45B94CB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1,120</w:t>
            </w:r>
          </w:p>
        </w:tc>
        <w:tc>
          <w:tcPr>
            <w:tcW w:w="1488" w:type="dxa"/>
            <w:tcBorders>
              <w:left w:val="nil"/>
              <w:bottom w:val="nil"/>
              <w:right w:val="single" w:sz="4" w:space="0" w:color="auto"/>
            </w:tcBorders>
            <w:shd w:val="clear" w:color="auto" w:fill="DAEEF3" w:themeFill="accent5" w:themeFillTint="33"/>
            <w:vAlign w:val="center"/>
          </w:tcPr>
          <w:p w14:paraId="70C1360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15.2</w:t>
            </w:r>
            <w:r w:rsidRPr="00AF3A24">
              <w:rPr>
                <w:rFonts w:asciiTheme="minorHAnsi" w:hAnsiTheme="minorHAnsi"/>
                <w:bCs/>
                <w:color w:val="000000"/>
                <w:sz w:val="16"/>
                <w:szCs w:val="16"/>
              </w:rPr>
              <w:br/>
              <w:t>(14.0 - 16.4)</w:t>
            </w:r>
          </w:p>
        </w:tc>
        <w:tc>
          <w:tcPr>
            <w:tcW w:w="638" w:type="dxa"/>
            <w:tcBorders>
              <w:left w:val="nil"/>
              <w:bottom w:val="nil"/>
              <w:right w:val="nil"/>
            </w:tcBorders>
            <w:shd w:val="clear" w:color="auto" w:fill="DAEEF3" w:themeFill="accent5" w:themeFillTint="33"/>
            <w:vAlign w:val="center"/>
          </w:tcPr>
          <w:p w14:paraId="3F42050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467</w:t>
            </w:r>
          </w:p>
        </w:tc>
        <w:tc>
          <w:tcPr>
            <w:tcW w:w="1524" w:type="dxa"/>
            <w:tcBorders>
              <w:left w:val="nil"/>
              <w:bottom w:val="nil"/>
              <w:right w:val="single" w:sz="4" w:space="0" w:color="auto"/>
            </w:tcBorders>
            <w:shd w:val="clear" w:color="auto" w:fill="DAEEF3" w:themeFill="accent5" w:themeFillTint="33"/>
            <w:vAlign w:val="center"/>
          </w:tcPr>
          <w:p w14:paraId="62C6D13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r w:rsidRPr="00AF3A24">
              <w:rPr>
                <w:rFonts w:asciiTheme="minorHAnsi" w:hAnsiTheme="minorHAnsi"/>
                <w:bCs/>
                <w:color w:val="000000"/>
                <w:sz w:val="16"/>
                <w:szCs w:val="16"/>
              </w:rPr>
              <w:br/>
              <w:t>(5.2 - 6.7)</w:t>
            </w:r>
          </w:p>
        </w:tc>
        <w:tc>
          <w:tcPr>
            <w:tcW w:w="744" w:type="dxa"/>
            <w:tcBorders>
              <w:left w:val="nil"/>
              <w:bottom w:val="nil"/>
              <w:right w:val="nil"/>
            </w:tcBorders>
            <w:shd w:val="clear" w:color="auto" w:fill="DAEEF3" w:themeFill="accent5" w:themeFillTint="33"/>
            <w:vAlign w:val="center"/>
          </w:tcPr>
          <w:p w14:paraId="0054899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297</w:t>
            </w:r>
          </w:p>
        </w:tc>
        <w:tc>
          <w:tcPr>
            <w:tcW w:w="1418" w:type="dxa"/>
            <w:tcBorders>
              <w:left w:val="nil"/>
              <w:bottom w:val="nil"/>
              <w:right w:val="single" w:sz="8" w:space="0" w:color="auto"/>
            </w:tcBorders>
            <w:shd w:val="clear" w:color="auto" w:fill="DAEEF3" w:themeFill="accent5" w:themeFillTint="33"/>
            <w:vAlign w:val="center"/>
          </w:tcPr>
          <w:p w14:paraId="462E32B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(3.5 - 4.8)</w:t>
            </w:r>
          </w:p>
        </w:tc>
      </w:tr>
      <w:tr w:rsidR="003A39BC" w:rsidRPr="00AF3A24" w14:paraId="6EFBAF5A" w14:textId="77777777" w:rsidTr="00203BC6">
        <w:tc>
          <w:tcPr>
            <w:tcW w:w="1418" w:type="dxa"/>
            <w:vMerge/>
            <w:tcBorders>
              <w:bottom w:val="nil"/>
            </w:tcBorders>
            <w:shd w:val="clear" w:color="auto" w:fill="DAEEF3" w:themeFill="accent5" w:themeFillTint="33"/>
            <w:vAlign w:val="center"/>
          </w:tcPr>
          <w:p w14:paraId="63511489" w14:textId="77777777" w:rsidR="003A39BC" w:rsidRPr="00AF3A24" w:rsidRDefault="003A39BC" w:rsidP="00203BC6">
            <w:pPr>
              <w:spacing w:before="0" w:line="240" w:lineRule="auto"/>
              <w:ind w:left="33"/>
              <w:jc w:val="left"/>
              <w:rPr>
                <w:rFonts w:asciiTheme="minorHAnsi" w:hAnsiTheme="minorHAnsi" w:cstheme="minorHAnsi"/>
                <w:sz w:val="16"/>
                <w:szCs w:val="18"/>
              </w:rPr>
            </w:pPr>
          </w:p>
        </w:tc>
        <w:tc>
          <w:tcPr>
            <w:tcW w:w="1134" w:type="dxa"/>
            <w:tcBorders>
              <w:top w:val="nil"/>
              <w:bottom w:val="single" w:sz="4" w:space="0" w:color="auto"/>
            </w:tcBorders>
            <w:shd w:val="clear" w:color="auto" w:fill="DAEEF3" w:themeFill="accent5" w:themeFillTint="33"/>
            <w:vAlign w:val="center"/>
          </w:tcPr>
          <w:p w14:paraId="388DB964"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09" w:type="dxa"/>
            <w:tcBorders>
              <w:top w:val="nil"/>
              <w:bottom w:val="single" w:sz="4" w:space="0" w:color="auto"/>
              <w:right w:val="nil"/>
            </w:tcBorders>
            <w:shd w:val="clear" w:color="auto" w:fill="DAEEF3" w:themeFill="accent5" w:themeFillTint="33"/>
            <w:vAlign w:val="center"/>
          </w:tcPr>
          <w:p w14:paraId="300E013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2,419</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2450F37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46.9</w:t>
            </w:r>
            <w:r w:rsidRPr="00AF3A24">
              <w:rPr>
                <w:rFonts w:asciiTheme="minorHAnsi" w:hAnsiTheme="minorHAnsi"/>
                <w:bCs/>
                <w:color w:val="000000"/>
                <w:sz w:val="16"/>
                <w:szCs w:val="16"/>
              </w:rPr>
              <w:br/>
              <w:t>(45.0 - 48.7)</w:t>
            </w:r>
          </w:p>
        </w:tc>
        <w:tc>
          <w:tcPr>
            <w:tcW w:w="674" w:type="dxa"/>
            <w:tcBorders>
              <w:top w:val="nil"/>
              <w:left w:val="nil"/>
              <w:bottom w:val="single" w:sz="4" w:space="0" w:color="auto"/>
              <w:right w:val="nil"/>
            </w:tcBorders>
            <w:shd w:val="clear" w:color="auto" w:fill="DAEEF3" w:themeFill="accent5" w:themeFillTint="33"/>
            <w:vAlign w:val="center"/>
          </w:tcPr>
          <w:p w14:paraId="509A0D2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557</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40F8607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11.9</w:t>
            </w:r>
            <w:r w:rsidRPr="00AF3A24">
              <w:rPr>
                <w:rFonts w:asciiTheme="minorHAnsi" w:hAnsiTheme="minorHAnsi"/>
                <w:bCs/>
                <w:color w:val="000000"/>
                <w:sz w:val="16"/>
                <w:szCs w:val="16"/>
              </w:rPr>
              <w:br/>
              <w:t>(10.7 - 13.2)</w:t>
            </w:r>
          </w:p>
        </w:tc>
        <w:tc>
          <w:tcPr>
            <w:tcW w:w="638" w:type="dxa"/>
            <w:tcBorders>
              <w:top w:val="nil"/>
              <w:left w:val="nil"/>
              <w:bottom w:val="single" w:sz="4" w:space="0" w:color="auto"/>
              <w:right w:val="nil"/>
            </w:tcBorders>
            <w:shd w:val="clear" w:color="auto" w:fill="DAEEF3" w:themeFill="accent5" w:themeFillTint="33"/>
            <w:vAlign w:val="center"/>
          </w:tcPr>
          <w:p w14:paraId="1399D5B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336</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0FA91D4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w:t>
            </w:r>
            <w:r w:rsidRPr="00AF3A24">
              <w:rPr>
                <w:rFonts w:asciiTheme="minorHAnsi" w:hAnsiTheme="minorHAnsi"/>
                <w:bCs/>
                <w:color w:val="000000"/>
                <w:sz w:val="16"/>
                <w:szCs w:val="16"/>
              </w:rPr>
              <w:br/>
              <w:t>(5.4 - 7.1)</w:t>
            </w:r>
          </w:p>
        </w:tc>
        <w:tc>
          <w:tcPr>
            <w:tcW w:w="744" w:type="dxa"/>
            <w:tcBorders>
              <w:top w:val="nil"/>
              <w:left w:val="nil"/>
              <w:bottom w:val="single" w:sz="4" w:space="0" w:color="auto"/>
              <w:right w:val="nil"/>
            </w:tcBorders>
            <w:shd w:val="clear" w:color="auto" w:fill="DAEEF3" w:themeFill="accent5" w:themeFillTint="33"/>
            <w:vAlign w:val="center"/>
          </w:tcPr>
          <w:p w14:paraId="65D43AE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449</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19E4862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w:t>
            </w:r>
            <w:r w:rsidRPr="00AF3A24">
              <w:rPr>
                <w:rFonts w:asciiTheme="minorHAnsi" w:hAnsiTheme="minorHAnsi"/>
                <w:bCs/>
                <w:color w:val="000000"/>
                <w:sz w:val="16"/>
                <w:szCs w:val="16"/>
              </w:rPr>
              <w:br/>
              <w:t>(7.1 - 9.0)</w:t>
            </w:r>
          </w:p>
        </w:tc>
      </w:tr>
      <w:tr w:rsidR="00E1507C" w:rsidRPr="00AF3A24" w14:paraId="5C608078" w14:textId="77777777" w:rsidTr="00EE3754">
        <w:trPr>
          <w:trHeight w:val="435"/>
        </w:trPr>
        <w:tc>
          <w:tcPr>
            <w:tcW w:w="1418" w:type="dxa"/>
            <w:vMerge w:val="restart"/>
            <w:tcBorders>
              <w:top w:val="single" w:sz="4" w:space="0" w:color="auto"/>
            </w:tcBorders>
            <w:shd w:val="clear" w:color="auto" w:fill="DAEEF3" w:themeFill="accent5" w:themeFillTint="33"/>
            <w:vAlign w:val="center"/>
          </w:tcPr>
          <w:p w14:paraId="48831571" w14:textId="77777777" w:rsidR="00E1507C" w:rsidRPr="00AF3A24" w:rsidRDefault="00E1507C" w:rsidP="00203BC6">
            <w:pPr>
              <w:spacing w:before="0" w:line="240" w:lineRule="auto"/>
              <w:ind w:left="33"/>
              <w:jc w:val="left"/>
              <w:rPr>
                <w:rFonts w:asciiTheme="minorHAnsi" w:hAnsiTheme="minorHAnsi" w:cstheme="minorHAnsi"/>
                <w:sz w:val="16"/>
                <w:szCs w:val="18"/>
              </w:rPr>
            </w:pPr>
            <w:r w:rsidRPr="00AF3A24">
              <w:rPr>
                <w:rFonts w:asciiTheme="minorHAnsi" w:hAnsiTheme="minorHAnsi" w:cstheme="minorHAnsi"/>
                <w:sz w:val="16"/>
                <w:szCs w:val="18"/>
              </w:rPr>
              <w:t>By Age-group</w:t>
            </w:r>
          </w:p>
        </w:tc>
        <w:tc>
          <w:tcPr>
            <w:tcW w:w="1134" w:type="dxa"/>
            <w:tcBorders>
              <w:top w:val="single" w:sz="4" w:space="0" w:color="auto"/>
              <w:bottom w:val="nil"/>
            </w:tcBorders>
            <w:shd w:val="clear" w:color="auto" w:fill="DAEEF3" w:themeFill="accent5" w:themeFillTint="33"/>
            <w:vAlign w:val="center"/>
          </w:tcPr>
          <w:p w14:paraId="67DA72BB" w14:textId="77777777" w:rsidR="00E1507C" w:rsidRPr="00AF3A24" w:rsidRDefault="00E1507C" w:rsidP="00203BC6">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15 - 17</w:t>
            </w:r>
          </w:p>
        </w:tc>
        <w:tc>
          <w:tcPr>
            <w:tcW w:w="709" w:type="dxa"/>
            <w:tcBorders>
              <w:bottom w:val="nil"/>
              <w:right w:val="nil"/>
            </w:tcBorders>
            <w:shd w:val="clear" w:color="auto" w:fill="DAEEF3" w:themeFill="accent5" w:themeFillTint="33"/>
            <w:vAlign w:val="center"/>
          </w:tcPr>
          <w:p w14:paraId="4270523D" w14:textId="77777777" w:rsidR="00E1507C" w:rsidRPr="00AF3A24" w:rsidRDefault="00E1507C" w:rsidP="00203BC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452" w:type="dxa"/>
            <w:tcBorders>
              <w:left w:val="nil"/>
              <w:bottom w:val="nil"/>
              <w:right w:val="single" w:sz="4" w:space="0" w:color="auto"/>
            </w:tcBorders>
            <w:shd w:val="clear" w:color="auto" w:fill="DAEEF3" w:themeFill="accent5" w:themeFillTint="33"/>
            <w:vAlign w:val="center"/>
          </w:tcPr>
          <w:p w14:paraId="6A0FD3FC" w14:textId="77777777" w:rsidR="00E1507C" w:rsidRPr="00AF3A24" w:rsidRDefault="00E1507C" w:rsidP="00203BC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674" w:type="dxa"/>
            <w:tcBorders>
              <w:bottom w:val="nil"/>
              <w:right w:val="nil"/>
            </w:tcBorders>
            <w:shd w:val="clear" w:color="auto" w:fill="DAEEF3" w:themeFill="accent5" w:themeFillTint="33"/>
            <w:vAlign w:val="center"/>
          </w:tcPr>
          <w:p w14:paraId="7C4464F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88" w:type="dxa"/>
            <w:tcBorders>
              <w:left w:val="nil"/>
              <w:bottom w:val="nil"/>
              <w:right w:val="single" w:sz="4" w:space="0" w:color="auto"/>
            </w:tcBorders>
            <w:shd w:val="clear" w:color="auto" w:fill="DAEEF3" w:themeFill="accent5" w:themeFillTint="33"/>
            <w:vAlign w:val="center"/>
          </w:tcPr>
          <w:p w14:paraId="66E2C36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638" w:type="dxa"/>
            <w:tcBorders>
              <w:bottom w:val="nil"/>
              <w:right w:val="nil"/>
            </w:tcBorders>
            <w:shd w:val="clear" w:color="auto" w:fill="DAEEF3" w:themeFill="accent5" w:themeFillTint="33"/>
            <w:vAlign w:val="center"/>
          </w:tcPr>
          <w:p w14:paraId="246E441F" w14:textId="77777777" w:rsidR="00E1507C" w:rsidRPr="00AF3A24" w:rsidRDefault="00E1507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524" w:type="dxa"/>
            <w:tcBorders>
              <w:left w:val="nil"/>
              <w:bottom w:val="nil"/>
              <w:right w:val="single" w:sz="4" w:space="0" w:color="auto"/>
            </w:tcBorders>
            <w:shd w:val="clear" w:color="auto" w:fill="DAEEF3" w:themeFill="accent5" w:themeFillTint="33"/>
            <w:vAlign w:val="center"/>
          </w:tcPr>
          <w:p w14:paraId="3538119C" w14:textId="77777777" w:rsidR="00E1507C" w:rsidRPr="00AF3A24" w:rsidRDefault="00E1507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744" w:type="dxa"/>
            <w:tcBorders>
              <w:bottom w:val="nil"/>
              <w:right w:val="nil"/>
            </w:tcBorders>
            <w:shd w:val="clear" w:color="auto" w:fill="DAEEF3" w:themeFill="accent5" w:themeFillTint="33"/>
            <w:vAlign w:val="center"/>
          </w:tcPr>
          <w:p w14:paraId="430857ED" w14:textId="77777777" w:rsidR="00E1507C" w:rsidRPr="00AF3A24" w:rsidRDefault="00E1507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418" w:type="dxa"/>
            <w:tcBorders>
              <w:left w:val="nil"/>
              <w:bottom w:val="nil"/>
              <w:right w:val="single" w:sz="8" w:space="0" w:color="auto"/>
            </w:tcBorders>
            <w:shd w:val="clear" w:color="auto" w:fill="DAEEF3" w:themeFill="accent5" w:themeFillTint="33"/>
            <w:vAlign w:val="center"/>
          </w:tcPr>
          <w:p w14:paraId="3221F92A" w14:textId="77777777" w:rsidR="00E1507C" w:rsidRPr="00AF3A24" w:rsidRDefault="00E1507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r>
      <w:tr w:rsidR="0022252C" w:rsidRPr="00AF3A24" w14:paraId="1EFE2742" w14:textId="77777777" w:rsidTr="00EE3754">
        <w:trPr>
          <w:trHeight w:val="435"/>
        </w:trPr>
        <w:tc>
          <w:tcPr>
            <w:tcW w:w="1418" w:type="dxa"/>
            <w:vMerge/>
            <w:shd w:val="clear" w:color="auto" w:fill="DAEEF3" w:themeFill="accent5" w:themeFillTint="33"/>
            <w:vAlign w:val="center"/>
          </w:tcPr>
          <w:p w14:paraId="7D2D6EFB" w14:textId="77777777" w:rsidR="0022252C" w:rsidRPr="00AF3A24" w:rsidRDefault="0022252C" w:rsidP="00203BC6">
            <w:pPr>
              <w:spacing w:before="0" w:line="240" w:lineRule="auto"/>
              <w:ind w:left="33"/>
              <w:jc w:val="left"/>
              <w:rPr>
                <w:rFonts w:asciiTheme="minorHAnsi" w:hAnsiTheme="minorHAnsi" w:cstheme="minorHAnsi"/>
                <w:sz w:val="16"/>
                <w:szCs w:val="18"/>
              </w:rPr>
            </w:pPr>
          </w:p>
        </w:tc>
        <w:tc>
          <w:tcPr>
            <w:tcW w:w="1134" w:type="dxa"/>
            <w:tcBorders>
              <w:top w:val="nil"/>
              <w:bottom w:val="dashed" w:sz="8" w:space="0" w:color="auto"/>
            </w:tcBorders>
            <w:shd w:val="clear" w:color="auto" w:fill="DAEEF3" w:themeFill="accent5" w:themeFillTint="33"/>
            <w:vAlign w:val="center"/>
          </w:tcPr>
          <w:p w14:paraId="530788E5" w14:textId="77777777" w:rsidR="0022252C" w:rsidRPr="00AF3A24" w:rsidRDefault="0022252C" w:rsidP="00203BC6">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18 - 24</w:t>
            </w:r>
          </w:p>
        </w:tc>
        <w:tc>
          <w:tcPr>
            <w:tcW w:w="709" w:type="dxa"/>
            <w:tcBorders>
              <w:top w:val="nil"/>
              <w:bottom w:val="dashed" w:sz="8" w:space="0" w:color="auto"/>
              <w:right w:val="nil"/>
            </w:tcBorders>
            <w:shd w:val="clear" w:color="auto" w:fill="DAEEF3" w:themeFill="accent5" w:themeFillTint="33"/>
            <w:vAlign w:val="center"/>
          </w:tcPr>
          <w:p w14:paraId="631BA0D1"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452" w:type="dxa"/>
            <w:tcBorders>
              <w:top w:val="nil"/>
              <w:left w:val="nil"/>
              <w:bottom w:val="dashed" w:sz="8" w:space="0" w:color="auto"/>
              <w:right w:val="single" w:sz="4" w:space="0" w:color="auto"/>
            </w:tcBorders>
            <w:shd w:val="clear" w:color="auto" w:fill="DAEEF3" w:themeFill="accent5" w:themeFillTint="33"/>
            <w:vAlign w:val="center"/>
          </w:tcPr>
          <w:p w14:paraId="35F553C8"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674" w:type="dxa"/>
            <w:tcBorders>
              <w:top w:val="nil"/>
              <w:bottom w:val="dashed" w:sz="8" w:space="0" w:color="auto"/>
              <w:right w:val="nil"/>
            </w:tcBorders>
            <w:shd w:val="clear" w:color="auto" w:fill="DAEEF3" w:themeFill="accent5" w:themeFillTint="33"/>
            <w:vAlign w:val="center"/>
          </w:tcPr>
          <w:p w14:paraId="1F9C020A" w14:textId="77777777" w:rsidR="0022252C" w:rsidRPr="0022252C" w:rsidRDefault="0022252C" w:rsidP="0022252C">
            <w:pPr>
              <w:spacing w:before="0" w:line="240" w:lineRule="auto"/>
              <w:jc w:val="center"/>
              <w:rPr>
                <w:rFonts w:asciiTheme="minorHAnsi" w:hAnsiTheme="minorHAnsi"/>
                <w:bCs/>
                <w:color w:val="000000"/>
                <w:sz w:val="16"/>
                <w:szCs w:val="16"/>
              </w:rPr>
            </w:pPr>
            <w:r w:rsidRPr="0022252C">
              <w:rPr>
                <w:rFonts w:asciiTheme="minorHAnsi" w:hAnsiTheme="minorHAnsi"/>
                <w:bCs/>
                <w:color w:val="000000"/>
                <w:sz w:val="16"/>
                <w:szCs w:val="16"/>
              </w:rPr>
              <w:t>226</w:t>
            </w:r>
          </w:p>
        </w:tc>
        <w:tc>
          <w:tcPr>
            <w:tcW w:w="1488" w:type="dxa"/>
            <w:tcBorders>
              <w:top w:val="nil"/>
              <w:left w:val="nil"/>
              <w:bottom w:val="dashed" w:sz="8" w:space="0" w:color="auto"/>
              <w:right w:val="single" w:sz="4" w:space="0" w:color="auto"/>
            </w:tcBorders>
            <w:shd w:val="clear" w:color="auto" w:fill="DAEEF3" w:themeFill="accent5" w:themeFillTint="33"/>
            <w:vAlign w:val="center"/>
          </w:tcPr>
          <w:p w14:paraId="3F070011" w14:textId="77777777" w:rsidR="0022252C" w:rsidRPr="0022252C" w:rsidRDefault="0022252C" w:rsidP="0022252C">
            <w:pPr>
              <w:spacing w:before="0" w:line="240" w:lineRule="auto"/>
              <w:jc w:val="center"/>
              <w:rPr>
                <w:rFonts w:asciiTheme="minorHAnsi" w:hAnsiTheme="minorHAnsi"/>
                <w:bCs/>
                <w:color w:val="000000"/>
                <w:sz w:val="16"/>
                <w:szCs w:val="16"/>
              </w:rPr>
            </w:pPr>
            <w:r w:rsidRPr="0022252C">
              <w:rPr>
                <w:rFonts w:asciiTheme="minorHAnsi" w:hAnsiTheme="minorHAnsi"/>
                <w:bCs/>
                <w:color w:val="000000"/>
                <w:sz w:val="16"/>
                <w:szCs w:val="16"/>
              </w:rPr>
              <w:t>21.8</w:t>
            </w:r>
            <w:r w:rsidRPr="0022252C">
              <w:rPr>
                <w:rFonts w:asciiTheme="minorHAnsi" w:hAnsiTheme="minorHAnsi"/>
                <w:bCs/>
                <w:color w:val="000000"/>
                <w:sz w:val="16"/>
                <w:szCs w:val="16"/>
              </w:rPr>
              <w:br/>
              <w:t>(18.5 - 25.1)</w:t>
            </w:r>
          </w:p>
        </w:tc>
        <w:tc>
          <w:tcPr>
            <w:tcW w:w="638" w:type="dxa"/>
            <w:tcBorders>
              <w:top w:val="nil"/>
              <w:bottom w:val="dashed" w:sz="8" w:space="0" w:color="auto"/>
              <w:right w:val="nil"/>
            </w:tcBorders>
            <w:shd w:val="clear" w:color="auto" w:fill="DAEEF3" w:themeFill="accent5" w:themeFillTint="33"/>
            <w:vAlign w:val="center"/>
          </w:tcPr>
          <w:p w14:paraId="0A9A5C21"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524" w:type="dxa"/>
            <w:tcBorders>
              <w:top w:val="nil"/>
              <w:left w:val="nil"/>
              <w:bottom w:val="dashed" w:sz="8" w:space="0" w:color="auto"/>
              <w:right w:val="single" w:sz="4" w:space="0" w:color="auto"/>
            </w:tcBorders>
            <w:shd w:val="clear" w:color="auto" w:fill="DAEEF3" w:themeFill="accent5" w:themeFillTint="33"/>
            <w:vAlign w:val="center"/>
          </w:tcPr>
          <w:p w14:paraId="5ECD0A32"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744" w:type="dxa"/>
            <w:tcBorders>
              <w:top w:val="nil"/>
              <w:bottom w:val="dashed" w:sz="8" w:space="0" w:color="auto"/>
              <w:right w:val="nil"/>
            </w:tcBorders>
            <w:shd w:val="clear" w:color="auto" w:fill="DAEEF3" w:themeFill="accent5" w:themeFillTint="33"/>
            <w:vAlign w:val="center"/>
          </w:tcPr>
          <w:p w14:paraId="7B0D0072"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418" w:type="dxa"/>
            <w:tcBorders>
              <w:top w:val="nil"/>
              <w:left w:val="nil"/>
              <w:bottom w:val="dashed" w:sz="8" w:space="0" w:color="auto"/>
              <w:right w:val="single" w:sz="8" w:space="0" w:color="auto"/>
            </w:tcBorders>
            <w:shd w:val="clear" w:color="auto" w:fill="DAEEF3" w:themeFill="accent5" w:themeFillTint="33"/>
            <w:vAlign w:val="center"/>
          </w:tcPr>
          <w:p w14:paraId="3CD6FEEA" w14:textId="77777777" w:rsidR="0022252C" w:rsidRPr="00AF3A24" w:rsidRDefault="0022252C" w:rsidP="00482871">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r>
      <w:tr w:rsidR="00EE3754" w:rsidRPr="00AF3A24" w14:paraId="612D0EDD" w14:textId="77777777" w:rsidTr="00EE3754">
        <w:trPr>
          <w:trHeight w:val="435"/>
        </w:trPr>
        <w:tc>
          <w:tcPr>
            <w:tcW w:w="1418" w:type="dxa"/>
            <w:vMerge/>
            <w:shd w:val="clear" w:color="auto" w:fill="DAEEF3" w:themeFill="accent5" w:themeFillTint="33"/>
            <w:vAlign w:val="center"/>
          </w:tcPr>
          <w:p w14:paraId="1734D70F"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dashed" w:sz="8" w:space="0" w:color="auto"/>
              <w:bottom w:val="nil"/>
            </w:tcBorders>
            <w:shd w:val="clear" w:color="auto" w:fill="DAEEF3" w:themeFill="accent5" w:themeFillTint="33"/>
            <w:vAlign w:val="center"/>
          </w:tcPr>
          <w:p w14:paraId="612B2A3F" w14:textId="77777777" w:rsidR="00EE3754" w:rsidRPr="00AF3A24" w:rsidRDefault="00EE3754" w:rsidP="00203BC6">
            <w:pPr>
              <w:spacing w:before="0" w:line="240" w:lineRule="auto"/>
              <w:ind w:left="78"/>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09" w:type="dxa"/>
            <w:tcBorders>
              <w:top w:val="dashed" w:sz="8" w:space="0" w:color="auto"/>
              <w:bottom w:val="nil"/>
              <w:right w:val="nil"/>
            </w:tcBorders>
            <w:shd w:val="clear" w:color="auto" w:fill="DAEEF3" w:themeFill="accent5" w:themeFillTint="33"/>
            <w:vAlign w:val="center"/>
          </w:tcPr>
          <w:p w14:paraId="50009DE2"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268</w:t>
            </w:r>
          </w:p>
        </w:tc>
        <w:tc>
          <w:tcPr>
            <w:tcW w:w="1452" w:type="dxa"/>
            <w:tcBorders>
              <w:top w:val="dashed" w:sz="8" w:space="0" w:color="auto"/>
              <w:left w:val="nil"/>
              <w:bottom w:val="nil"/>
              <w:right w:val="single" w:sz="4" w:space="0" w:color="auto"/>
            </w:tcBorders>
            <w:shd w:val="clear" w:color="auto" w:fill="DAEEF3" w:themeFill="accent5" w:themeFillTint="33"/>
            <w:vAlign w:val="center"/>
          </w:tcPr>
          <w:p w14:paraId="42B5CFA0"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18.8</w:t>
            </w:r>
            <w:r w:rsidRPr="00AF3A24">
              <w:rPr>
                <w:rFonts w:asciiTheme="minorHAnsi" w:hAnsiTheme="minorHAnsi"/>
                <w:bCs/>
                <w:color w:val="000000"/>
                <w:sz w:val="16"/>
                <w:szCs w:val="16"/>
              </w:rPr>
              <w:br/>
              <w:t>(16.1 - 21.4)</w:t>
            </w:r>
          </w:p>
        </w:tc>
        <w:tc>
          <w:tcPr>
            <w:tcW w:w="674" w:type="dxa"/>
            <w:tcBorders>
              <w:top w:val="dashed" w:sz="8" w:space="0" w:color="auto"/>
              <w:bottom w:val="nil"/>
              <w:right w:val="nil"/>
            </w:tcBorders>
            <w:shd w:val="clear" w:color="auto" w:fill="DAEEF3" w:themeFill="accent5" w:themeFillTint="33"/>
            <w:vAlign w:val="center"/>
          </w:tcPr>
          <w:p w14:paraId="53EB15E0" w14:textId="77777777" w:rsidR="00EE3754" w:rsidRPr="0022252C" w:rsidRDefault="00EE3754" w:rsidP="00203BC6">
            <w:pPr>
              <w:spacing w:before="0" w:line="240" w:lineRule="auto"/>
              <w:jc w:val="center"/>
              <w:rPr>
                <w:rFonts w:asciiTheme="minorHAnsi" w:hAnsiTheme="minorHAnsi"/>
                <w:bCs/>
                <w:color w:val="000000"/>
                <w:sz w:val="16"/>
                <w:szCs w:val="16"/>
              </w:rPr>
            </w:pPr>
            <w:r w:rsidRPr="0022252C">
              <w:rPr>
                <w:rFonts w:asciiTheme="minorHAnsi" w:hAnsiTheme="minorHAnsi"/>
                <w:bCs/>
                <w:color w:val="000000"/>
                <w:sz w:val="16"/>
                <w:szCs w:val="16"/>
              </w:rPr>
              <w:t>240</w:t>
            </w:r>
          </w:p>
        </w:tc>
        <w:tc>
          <w:tcPr>
            <w:tcW w:w="1488" w:type="dxa"/>
            <w:tcBorders>
              <w:top w:val="dashed" w:sz="8" w:space="0" w:color="auto"/>
              <w:left w:val="nil"/>
              <w:bottom w:val="nil"/>
              <w:right w:val="single" w:sz="4" w:space="0" w:color="auto"/>
            </w:tcBorders>
            <w:shd w:val="clear" w:color="auto" w:fill="DAEEF3" w:themeFill="accent5" w:themeFillTint="33"/>
            <w:vAlign w:val="center"/>
          </w:tcPr>
          <w:p w14:paraId="7CB309AA" w14:textId="77777777" w:rsidR="00EE3754" w:rsidRPr="0022252C" w:rsidRDefault="00EE3754" w:rsidP="00203BC6">
            <w:pPr>
              <w:spacing w:before="0" w:line="240" w:lineRule="auto"/>
              <w:jc w:val="center"/>
              <w:rPr>
                <w:rFonts w:asciiTheme="minorHAnsi" w:hAnsiTheme="minorHAnsi"/>
                <w:bCs/>
                <w:color w:val="000000"/>
                <w:sz w:val="16"/>
                <w:szCs w:val="16"/>
              </w:rPr>
            </w:pPr>
            <w:r w:rsidRPr="0022252C">
              <w:rPr>
                <w:rFonts w:asciiTheme="minorHAnsi" w:hAnsiTheme="minorHAnsi"/>
                <w:bCs/>
                <w:color w:val="000000"/>
                <w:sz w:val="16"/>
                <w:szCs w:val="16"/>
              </w:rPr>
              <w:t>16.4</w:t>
            </w:r>
            <w:r w:rsidRPr="0022252C">
              <w:rPr>
                <w:rFonts w:asciiTheme="minorHAnsi" w:hAnsiTheme="minorHAnsi"/>
                <w:bCs/>
                <w:color w:val="000000"/>
                <w:sz w:val="16"/>
                <w:szCs w:val="16"/>
              </w:rPr>
              <w:br/>
              <w:t>(13.9 - 18.8)</w:t>
            </w:r>
          </w:p>
        </w:tc>
        <w:tc>
          <w:tcPr>
            <w:tcW w:w="638" w:type="dxa"/>
            <w:tcBorders>
              <w:top w:val="dashed" w:sz="8" w:space="0" w:color="auto"/>
              <w:bottom w:val="nil"/>
              <w:right w:val="nil"/>
            </w:tcBorders>
            <w:shd w:val="clear" w:color="auto" w:fill="DAEEF3" w:themeFill="accent5" w:themeFillTint="33"/>
            <w:vAlign w:val="center"/>
          </w:tcPr>
          <w:p w14:paraId="7B86B00C"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106</w:t>
            </w:r>
          </w:p>
        </w:tc>
        <w:tc>
          <w:tcPr>
            <w:tcW w:w="1524" w:type="dxa"/>
            <w:tcBorders>
              <w:top w:val="dashed" w:sz="8" w:space="0" w:color="auto"/>
              <w:left w:val="nil"/>
              <w:bottom w:val="nil"/>
              <w:right w:val="single" w:sz="4" w:space="0" w:color="auto"/>
            </w:tcBorders>
            <w:shd w:val="clear" w:color="auto" w:fill="DAEEF3" w:themeFill="accent5" w:themeFillTint="33"/>
            <w:vAlign w:val="center"/>
          </w:tcPr>
          <w:p w14:paraId="791CAEC6"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6.6</w:t>
            </w:r>
            <w:r w:rsidRPr="00AF3A24">
              <w:rPr>
                <w:rFonts w:asciiTheme="minorHAnsi" w:hAnsiTheme="minorHAnsi"/>
                <w:bCs/>
                <w:color w:val="000000"/>
                <w:sz w:val="16"/>
                <w:szCs w:val="16"/>
              </w:rPr>
              <w:br/>
              <w:t>(5.0 - 8.2)</w:t>
            </w:r>
          </w:p>
        </w:tc>
        <w:tc>
          <w:tcPr>
            <w:tcW w:w="744" w:type="dxa"/>
            <w:tcBorders>
              <w:top w:val="dashed" w:sz="8" w:space="0" w:color="auto"/>
              <w:bottom w:val="nil"/>
              <w:right w:val="nil"/>
            </w:tcBorders>
            <w:shd w:val="clear" w:color="auto" w:fill="DAEEF3" w:themeFill="accent5" w:themeFillTint="33"/>
            <w:vAlign w:val="center"/>
          </w:tcPr>
          <w:p w14:paraId="5C69C9DB"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w:t>
            </w:r>
          </w:p>
        </w:tc>
        <w:tc>
          <w:tcPr>
            <w:tcW w:w="1418" w:type="dxa"/>
            <w:tcBorders>
              <w:top w:val="dashed" w:sz="8" w:space="0" w:color="auto"/>
              <w:left w:val="nil"/>
              <w:bottom w:val="nil"/>
              <w:right w:val="single" w:sz="8" w:space="0" w:color="auto"/>
            </w:tcBorders>
            <w:shd w:val="clear" w:color="auto" w:fill="DAEEF3" w:themeFill="accent5" w:themeFillTint="33"/>
            <w:vAlign w:val="center"/>
          </w:tcPr>
          <w:p w14:paraId="6171AE00"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r w:rsidRPr="00AF3A24">
              <w:rPr>
                <w:rFonts w:asciiTheme="minorHAnsi" w:hAnsiTheme="minorHAnsi"/>
                <w:bCs/>
                <w:color w:val="000000"/>
                <w:sz w:val="16"/>
                <w:szCs w:val="16"/>
              </w:rPr>
              <w:br/>
              <w:t>(2.1 - 4.5)</w:t>
            </w:r>
          </w:p>
        </w:tc>
      </w:tr>
      <w:tr w:rsidR="00EE3754" w:rsidRPr="00AF3A24" w14:paraId="086B414E" w14:textId="77777777" w:rsidTr="00203BC6">
        <w:tc>
          <w:tcPr>
            <w:tcW w:w="1418" w:type="dxa"/>
            <w:vMerge/>
            <w:shd w:val="clear" w:color="auto" w:fill="DAEEF3" w:themeFill="accent5" w:themeFillTint="33"/>
            <w:vAlign w:val="center"/>
          </w:tcPr>
          <w:p w14:paraId="18A01E76"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51BD571A" w14:textId="77777777" w:rsidR="00EE3754" w:rsidRPr="00AF3A24" w:rsidRDefault="00EE3754"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09" w:type="dxa"/>
            <w:tcBorders>
              <w:top w:val="nil"/>
              <w:bottom w:val="nil"/>
              <w:right w:val="nil"/>
            </w:tcBorders>
            <w:shd w:val="clear" w:color="auto" w:fill="DAEEF3" w:themeFill="accent5" w:themeFillTint="33"/>
            <w:vAlign w:val="center"/>
          </w:tcPr>
          <w:p w14:paraId="67C37029"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801</w:t>
            </w:r>
          </w:p>
        </w:tc>
        <w:tc>
          <w:tcPr>
            <w:tcW w:w="1452" w:type="dxa"/>
            <w:tcBorders>
              <w:top w:val="nil"/>
              <w:left w:val="nil"/>
              <w:bottom w:val="nil"/>
              <w:right w:val="single" w:sz="4" w:space="0" w:color="auto"/>
            </w:tcBorders>
            <w:shd w:val="clear" w:color="auto" w:fill="DAEEF3" w:themeFill="accent5" w:themeFillTint="33"/>
            <w:vAlign w:val="center"/>
          </w:tcPr>
          <w:p w14:paraId="4FB2CE6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44.6</w:t>
            </w:r>
            <w:r w:rsidRPr="00AF3A24">
              <w:rPr>
                <w:rFonts w:asciiTheme="minorHAnsi" w:hAnsiTheme="minorHAnsi"/>
                <w:bCs/>
                <w:color w:val="000000"/>
                <w:sz w:val="16"/>
                <w:szCs w:val="16"/>
              </w:rPr>
              <w:br/>
              <w:t>(41.5 - 47.7)</w:t>
            </w:r>
          </w:p>
        </w:tc>
        <w:tc>
          <w:tcPr>
            <w:tcW w:w="674" w:type="dxa"/>
            <w:tcBorders>
              <w:top w:val="nil"/>
              <w:left w:val="nil"/>
              <w:bottom w:val="nil"/>
              <w:right w:val="nil"/>
            </w:tcBorders>
            <w:shd w:val="clear" w:color="auto" w:fill="DAEEF3" w:themeFill="accent5" w:themeFillTint="33"/>
            <w:vAlign w:val="center"/>
          </w:tcPr>
          <w:p w14:paraId="19A61D44"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334</w:t>
            </w:r>
          </w:p>
        </w:tc>
        <w:tc>
          <w:tcPr>
            <w:tcW w:w="1488" w:type="dxa"/>
            <w:tcBorders>
              <w:top w:val="nil"/>
              <w:left w:val="nil"/>
              <w:bottom w:val="nil"/>
              <w:right w:val="single" w:sz="4" w:space="0" w:color="auto"/>
            </w:tcBorders>
            <w:shd w:val="clear" w:color="auto" w:fill="DAEEF3" w:themeFill="accent5" w:themeFillTint="33"/>
            <w:vAlign w:val="center"/>
          </w:tcPr>
          <w:p w14:paraId="14BD823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17.8</w:t>
            </w:r>
            <w:r w:rsidRPr="00AF3A24">
              <w:rPr>
                <w:rFonts w:asciiTheme="minorHAnsi" w:hAnsiTheme="minorHAnsi"/>
                <w:bCs/>
                <w:color w:val="000000"/>
                <w:sz w:val="16"/>
                <w:szCs w:val="16"/>
              </w:rPr>
              <w:br/>
              <w:t>(15.7 - 19.9)</w:t>
            </w:r>
          </w:p>
        </w:tc>
        <w:tc>
          <w:tcPr>
            <w:tcW w:w="638" w:type="dxa"/>
            <w:tcBorders>
              <w:top w:val="nil"/>
              <w:left w:val="nil"/>
              <w:bottom w:val="nil"/>
              <w:right w:val="nil"/>
            </w:tcBorders>
            <w:shd w:val="clear" w:color="auto" w:fill="DAEEF3" w:themeFill="accent5" w:themeFillTint="33"/>
            <w:vAlign w:val="center"/>
          </w:tcPr>
          <w:p w14:paraId="453A0B0B"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153</w:t>
            </w:r>
          </w:p>
        </w:tc>
        <w:tc>
          <w:tcPr>
            <w:tcW w:w="1524" w:type="dxa"/>
            <w:tcBorders>
              <w:top w:val="nil"/>
              <w:left w:val="nil"/>
              <w:bottom w:val="nil"/>
              <w:right w:val="single" w:sz="4" w:space="0" w:color="auto"/>
            </w:tcBorders>
            <w:shd w:val="clear" w:color="auto" w:fill="DAEEF3" w:themeFill="accent5" w:themeFillTint="33"/>
            <w:vAlign w:val="center"/>
          </w:tcPr>
          <w:p w14:paraId="5EC67744"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7.7</w:t>
            </w:r>
            <w:r w:rsidRPr="00AF3A24">
              <w:rPr>
                <w:rFonts w:asciiTheme="minorHAnsi" w:hAnsiTheme="minorHAnsi"/>
                <w:bCs/>
                <w:color w:val="000000"/>
                <w:sz w:val="16"/>
                <w:szCs w:val="16"/>
              </w:rPr>
              <w:br/>
              <w:t>(6.2 - 9.2)</w:t>
            </w:r>
          </w:p>
        </w:tc>
        <w:tc>
          <w:tcPr>
            <w:tcW w:w="744" w:type="dxa"/>
            <w:tcBorders>
              <w:top w:val="nil"/>
              <w:left w:val="nil"/>
              <w:bottom w:val="nil"/>
              <w:right w:val="nil"/>
            </w:tcBorders>
            <w:shd w:val="clear" w:color="auto" w:fill="DAEEF3" w:themeFill="accent5" w:themeFillTint="33"/>
            <w:vAlign w:val="center"/>
          </w:tcPr>
          <w:p w14:paraId="7EDA5679"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111</w:t>
            </w:r>
          </w:p>
        </w:tc>
        <w:tc>
          <w:tcPr>
            <w:tcW w:w="1418" w:type="dxa"/>
            <w:tcBorders>
              <w:top w:val="nil"/>
              <w:left w:val="nil"/>
              <w:bottom w:val="nil"/>
              <w:right w:val="single" w:sz="8" w:space="0" w:color="auto"/>
            </w:tcBorders>
            <w:shd w:val="clear" w:color="auto" w:fill="DAEEF3" w:themeFill="accent5" w:themeFillTint="33"/>
            <w:vAlign w:val="center"/>
          </w:tcPr>
          <w:p w14:paraId="193459F1"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w:t>
            </w:r>
            <w:r w:rsidRPr="00AF3A24">
              <w:rPr>
                <w:rFonts w:asciiTheme="minorHAnsi" w:hAnsiTheme="minorHAnsi"/>
                <w:bCs/>
                <w:color w:val="000000"/>
                <w:sz w:val="16"/>
                <w:szCs w:val="16"/>
              </w:rPr>
              <w:br/>
              <w:t>(5.4 - 8.6)</w:t>
            </w:r>
          </w:p>
        </w:tc>
      </w:tr>
      <w:tr w:rsidR="00EE3754" w:rsidRPr="00AF3A24" w14:paraId="3D64F68D" w14:textId="77777777" w:rsidTr="00203BC6">
        <w:tc>
          <w:tcPr>
            <w:tcW w:w="1418" w:type="dxa"/>
            <w:vMerge/>
            <w:shd w:val="clear" w:color="auto" w:fill="DAEEF3" w:themeFill="accent5" w:themeFillTint="33"/>
            <w:vAlign w:val="center"/>
          </w:tcPr>
          <w:p w14:paraId="15B4FD25"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5B602392" w14:textId="77777777" w:rsidR="00EE3754" w:rsidRPr="00AF3A24" w:rsidRDefault="00EE3754"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09" w:type="dxa"/>
            <w:tcBorders>
              <w:top w:val="nil"/>
              <w:bottom w:val="nil"/>
              <w:right w:val="nil"/>
            </w:tcBorders>
            <w:shd w:val="clear" w:color="auto" w:fill="DAEEF3" w:themeFill="accent5" w:themeFillTint="33"/>
            <w:vAlign w:val="center"/>
          </w:tcPr>
          <w:p w14:paraId="12417B8C"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1,164</w:t>
            </w:r>
          </w:p>
        </w:tc>
        <w:tc>
          <w:tcPr>
            <w:tcW w:w="1452" w:type="dxa"/>
            <w:tcBorders>
              <w:top w:val="nil"/>
              <w:left w:val="nil"/>
              <w:bottom w:val="nil"/>
              <w:right w:val="single" w:sz="4" w:space="0" w:color="auto"/>
            </w:tcBorders>
            <w:shd w:val="clear" w:color="auto" w:fill="DAEEF3" w:themeFill="accent5" w:themeFillTint="33"/>
            <w:vAlign w:val="center"/>
          </w:tcPr>
          <w:p w14:paraId="752D65B9"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52.2</w:t>
            </w:r>
            <w:r w:rsidRPr="00AF3A24">
              <w:rPr>
                <w:rFonts w:asciiTheme="minorHAnsi" w:hAnsiTheme="minorHAnsi"/>
                <w:bCs/>
                <w:color w:val="000000"/>
                <w:sz w:val="16"/>
                <w:szCs w:val="16"/>
              </w:rPr>
              <w:br/>
              <w:t>(49.5 - 54.9)</w:t>
            </w:r>
          </w:p>
        </w:tc>
        <w:tc>
          <w:tcPr>
            <w:tcW w:w="674" w:type="dxa"/>
            <w:tcBorders>
              <w:top w:val="nil"/>
              <w:left w:val="nil"/>
              <w:bottom w:val="nil"/>
              <w:right w:val="nil"/>
            </w:tcBorders>
            <w:shd w:val="clear" w:color="auto" w:fill="DAEEF3" w:themeFill="accent5" w:themeFillTint="33"/>
            <w:vAlign w:val="center"/>
          </w:tcPr>
          <w:p w14:paraId="69A46F6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306</w:t>
            </w:r>
          </w:p>
        </w:tc>
        <w:tc>
          <w:tcPr>
            <w:tcW w:w="1488" w:type="dxa"/>
            <w:tcBorders>
              <w:top w:val="nil"/>
              <w:left w:val="nil"/>
              <w:bottom w:val="nil"/>
              <w:right w:val="single" w:sz="4" w:space="0" w:color="auto"/>
            </w:tcBorders>
            <w:shd w:val="clear" w:color="auto" w:fill="DAEEF3" w:themeFill="accent5" w:themeFillTint="33"/>
            <w:vAlign w:val="center"/>
          </w:tcPr>
          <w:p w14:paraId="6453A74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12.6</w:t>
            </w:r>
            <w:r w:rsidRPr="00AF3A24">
              <w:rPr>
                <w:rFonts w:asciiTheme="minorHAnsi" w:hAnsiTheme="minorHAnsi"/>
                <w:bCs/>
                <w:color w:val="000000"/>
                <w:sz w:val="16"/>
                <w:szCs w:val="16"/>
              </w:rPr>
              <w:br/>
              <w:t>(10.7 - 14.5)</w:t>
            </w:r>
          </w:p>
        </w:tc>
        <w:tc>
          <w:tcPr>
            <w:tcW w:w="638" w:type="dxa"/>
            <w:tcBorders>
              <w:top w:val="nil"/>
              <w:left w:val="nil"/>
              <w:bottom w:val="nil"/>
              <w:right w:val="nil"/>
            </w:tcBorders>
            <w:shd w:val="clear" w:color="auto" w:fill="DAEEF3" w:themeFill="accent5" w:themeFillTint="33"/>
            <w:vAlign w:val="center"/>
          </w:tcPr>
          <w:p w14:paraId="784614BA"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134</w:t>
            </w:r>
          </w:p>
        </w:tc>
        <w:tc>
          <w:tcPr>
            <w:tcW w:w="1524" w:type="dxa"/>
            <w:tcBorders>
              <w:top w:val="nil"/>
              <w:left w:val="nil"/>
              <w:bottom w:val="nil"/>
              <w:right w:val="single" w:sz="4" w:space="0" w:color="auto"/>
            </w:tcBorders>
            <w:shd w:val="clear" w:color="auto" w:fill="DAEEF3" w:themeFill="accent5" w:themeFillTint="33"/>
            <w:vAlign w:val="center"/>
          </w:tcPr>
          <w:p w14:paraId="33962905"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r w:rsidRPr="00AF3A24">
              <w:rPr>
                <w:rFonts w:asciiTheme="minorHAnsi" w:hAnsiTheme="minorHAnsi"/>
                <w:bCs/>
                <w:color w:val="000000"/>
                <w:sz w:val="16"/>
                <w:szCs w:val="16"/>
              </w:rPr>
              <w:br/>
              <w:t>(4.5 - 7.2)</w:t>
            </w:r>
          </w:p>
        </w:tc>
        <w:tc>
          <w:tcPr>
            <w:tcW w:w="744" w:type="dxa"/>
            <w:tcBorders>
              <w:top w:val="nil"/>
              <w:left w:val="nil"/>
              <w:bottom w:val="nil"/>
              <w:right w:val="nil"/>
            </w:tcBorders>
            <w:shd w:val="clear" w:color="auto" w:fill="DAEEF3" w:themeFill="accent5" w:themeFillTint="33"/>
            <w:vAlign w:val="center"/>
          </w:tcPr>
          <w:p w14:paraId="22B06BA0"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148</w:t>
            </w:r>
          </w:p>
        </w:tc>
        <w:tc>
          <w:tcPr>
            <w:tcW w:w="1418" w:type="dxa"/>
            <w:tcBorders>
              <w:top w:val="nil"/>
              <w:left w:val="nil"/>
              <w:bottom w:val="nil"/>
              <w:right w:val="single" w:sz="8" w:space="0" w:color="auto"/>
            </w:tcBorders>
            <w:shd w:val="clear" w:color="auto" w:fill="DAEEF3" w:themeFill="accent5" w:themeFillTint="33"/>
            <w:vAlign w:val="center"/>
          </w:tcPr>
          <w:p w14:paraId="651DA58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6.6</w:t>
            </w:r>
            <w:r w:rsidRPr="00AF3A24">
              <w:rPr>
                <w:rFonts w:asciiTheme="minorHAnsi" w:hAnsiTheme="minorHAnsi"/>
                <w:bCs/>
                <w:color w:val="000000"/>
                <w:sz w:val="16"/>
                <w:szCs w:val="16"/>
              </w:rPr>
              <w:br/>
              <w:t>(5.3 - 7.9)</w:t>
            </w:r>
          </w:p>
        </w:tc>
      </w:tr>
      <w:tr w:rsidR="00EE3754" w:rsidRPr="00AF3A24" w14:paraId="679E6EB5" w14:textId="77777777" w:rsidTr="00203BC6">
        <w:tc>
          <w:tcPr>
            <w:tcW w:w="1418" w:type="dxa"/>
            <w:vMerge/>
            <w:shd w:val="clear" w:color="auto" w:fill="DAEEF3" w:themeFill="accent5" w:themeFillTint="33"/>
            <w:vAlign w:val="center"/>
          </w:tcPr>
          <w:p w14:paraId="65536160"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4ACB9E21" w14:textId="77777777" w:rsidR="00EE3754" w:rsidRPr="00AF3A24" w:rsidRDefault="00EE3754"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09" w:type="dxa"/>
            <w:tcBorders>
              <w:top w:val="nil"/>
              <w:bottom w:val="nil"/>
              <w:right w:val="nil"/>
            </w:tcBorders>
            <w:shd w:val="clear" w:color="auto" w:fill="DAEEF3" w:themeFill="accent5" w:themeFillTint="33"/>
            <w:vAlign w:val="center"/>
          </w:tcPr>
          <w:p w14:paraId="007E344E"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1,168</w:t>
            </w:r>
          </w:p>
        </w:tc>
        <w:tc>
          <w:tcPr>
            <w:tcW w:w="1452" w:type="dxa"/>
            <w:tcBorders>
              <w:top w:val="nil"/>
              <w:left w:val="nil"/>
              <w:bottom w:val="nil"/>
              <w:right w:val="single" w:sz="4" w:space="0" w:color="auto"/>
            </w:tcBorders>
            <w:shd w:val="clear" w:color="auto" w:fill="DAEEF3" w:themeFill="accent5" w:themeFillTint="33"/>
            <w:vAlign w:val="center"/>
          </w:tcPr>
          <w:p w14:paraId="04A93F6C"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57.3</w:t>
            </w:r>
            <w:r w:rsidRPr="00AF3A24">
              <w:rPr>
                <w:rFonts w:asciiTheme="minorHAnsi" w:hAnsiTheme="minorHAnsi"/>
                <w:bCs/>
                <w:color w:val="000000"/>
                <w:sz w:val="16"/>
                <w:szCs w:val="16"/>
              </w:rPr>
              <w:br/>
              <w:t>(54.4 - 60.2)</w:t>
            </w:r>
          </w:p>
        </w:tc>
        <w:tc>
          <w:tcPr>
            <w:tcW w:w="674" w:type="dxa"/>
            <w:tcBorders>
              <w:top w:val="nil"/>
              <w:left w:val="nil"/>
              <w:bottom w:val="nil"/>
              <w:right w:val="nil"/>
            </w:tcBorders>
            <w:shd w:val="clear" w:color="auto" w:fill="DAEEF3" w:themeFill="accent5" w:themeFillTint="33"/>
            <w:vAlign w:val="center"/>
          </w:tcPr>
          <w:p w14:paraId="6BF2D6B8"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270</w:t>
            </w:r>
          </w:p>
        </w:tc>
        <w:tc>
          <w:tcPr>
            <w:tcW w:w="1488" w:type="dxa"/>
            <w:tcBorders>
              <w:top w:val="nil"/>
              <w:left w:val="nil"/>
              <w:bottom w:val="nil"/>
              <w:right w:val="single" w:sz="4" w:space="0" w:color="auto"/>
            </w:tcBorders>
            <w:shd w:val="clear" w:color="auto" w:fill="DAEEF3" w:themeFill="accent5" w:themeFillTint="33"/>
            <w:vAlign w:val="center"/>
          </w:tcPr>
          <w:p w14:paraId="5E2436E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w:t>
            </w:r>
            <w:r w:rsidRPr="00AF3A24">
              <w:rPr>
                <w:rFonts w:asciiTheme="minorHAnsi" w:hAnsiTheme="minorHAnsi"/>
                <w:bCs/>
                <w:color w:val="000000"/>
                <w:sz w:val="16"/>
                <w:szCs w:val="16"/>
              </w:rPr>
              <w:br/>
              <w:t>(10.6 - 14.5)</w:t>
            </w:r>
          </w:p>
        </w:tc>
        <w:tc>
          <w:tcPr>
            <w:tcW w:w="638" w:type="dxa"/>
            <w:tcBorders>
              <w:top w:val="nil"/>
              <w:left w:val="nil"/>
              <w:bottom w:val="nil"/>
              <w:right w:val="nil"/>
            </w:tcBorders>
            <w:shd w:val="clear" w:color="auto" w:fill="DAEEF3" w:themeFill="accent5" w:themeFillTint="33"/>
            <w:vAlign w:val="center"/>
          </w:tcPr>
          <w:p w14:paraId="2E5C1A36"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w:t>
            </w:r>
          </w:p>
        </w:tc>
        <w:tc>
          <w:tcPr>
            <w:tcW w:w="1524" w:type="dxa"/>
            <w:tcBorders>
              <w:top w:val="nil"/>
              <w:left w:val="nil"/>
              <w:bottom w:val="nil"/>
              <w:right w:val="single" w:sz="4" w:space="0" w:color="auto"/>
            </w:tcBorders>
            <w:shd w:val="clear" w:color="auto" w:fill="DAEEF3" w:themeFill="accent5" w:themeFillTint="33"/>
            <w:vAlign w:val="center"/>
          </w:tcPr>
          <w:p w14:paraId="1E66439D"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r w:rsidRPr="00AF3A24">
              <w:rPr>
                <w:rFonts w:asciiTheme="minorHAnsi" w:hAnsiTheme="minorHAnsi"/>
                <w:bCs/>
                <w:color w:val="000000"/>
                <w:sz w:val="16"/>
                <w:szCs w:val="16"/>
              </w:rPr>
              <w:br/>
              <w:t>(3.6 - 5.9)</w:t>
            </w:r>
          </w:p>
        </w:tc>
        <w:tc>
          <w:tcPr>
            <w:tcW w:w="744" w:type="dxa"/>
            <w:tcBorders>
              <w:top w:val="nil"/>
              <w:left w:val="nil"/>
              <w:bottom w:val="nil"/>
              <w:right w:val="nil"/>
            </w:tcBorders>
            <w:shd w:val="clear" w:color="auto" w:fill="DAEEF3" w:themeFill="accent5" w:themeFillTint="33"/>
            <w:vAlign w:val="center"/>
          </w:tcPr>
          <w:p w14:paraId="543CA823"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154</w:t>
            </w:r>
          </w:p>
        </w:tc>
        <w:tc>
          <w:tcPr>
            <w:tcW w:w="1418" w:type="dxa"/>
            <w:tcBorders>
              <w:top w:val="nil"/>
              <w:left w:val="nil"/>
              <w:bottom w:val="nil"/>
              <w:right w:val="single" w:sz="8" w:space="0" w:color="auto"/>
            </w:tcBorders>
            <w:shd w:val="clear" w:color="auto" w:fill="DAEEF3" w:themeFill="accent5" w:themeFillTint="33"/>
            <w:vAlign w:val="center"/>
          </w:tcPr>
          <w:p w14:paraId="360B3935"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w:t>
            </w:r>
            <w:r w:rsidRPr="00AF3A24">
              <w:rPr>
                <w:rFonts w:asciiTheme="minorHAnsi" w:hAnsiTheme="minorHAnsi"/>
                <w:bCs/>
                <w:color w:val="000000"/>
                <w:sz w:val="16"/>
                <w:szCs w:val="16"/>
              </w:rPr>
              <w:br/>
              <w:t>(6.5 - 9.7)</w:t>
            </w:r>
          </w:p>
        </w:tc>
      </w:tr>
      <w:tr w:rsidR="00EE3754" w:rsidRPr="00AF3A24" w14:paraId="4CC7ED36" w14:textId="77777777" w:rsidTr="00203BC6">
        <w:tc>
          <w:tcPr>
            <w:tcW w:w="1418" w:type="dxa"/>
            <w:vMerge/>
            <w:shd w:val="clear" w:color="auto" w:fill="DAEEF3" w:themeFill="accent5" w:themeFillTint="33"/>
            <w:vAlign w:val="center"/>
          </w:tcPr>
          <w:p w14:paraId="440A0865"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4FF0E115" w14:textId="77777777" w:rsidR="00EE3754" w:rsidRPr="00AF3A24" w:rsidRDefault="00EE3754"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09" w:type="dxa"/>
            <w:tcBorders>
              <w:top w:val="nil"/>
              <w:bottom w:val="nil"/>
              <w:right w:val="nil"/>
            </w:tcBorders>
            <w:shd w:val="clear" w:color="auto" w:fill="DAEEF3" w:themeFill="accent5" w:themeFillTint="33"/>
            <w:vAlign w:val="center"/>
          </w:tcPr>
          <w:p w14:paraId="66F7CD06"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1,088</w:t>
            </w:r>
          </w:p>
        </w:tc>
        <w:tc>
          <w:tcPr>
            <w:tcW w:w="1452" w:type="dxa"/>
            <w:tcBorders>
              <w:top w:val="nil"/>
              <w:left w:val="nil"/>
              <w:bottom w:val="nil"/>
              <w:right w:val="single" w:sz="4" w:space="0" w:color="auto"/>
            </w:tcBorders>
            <w:shd w:val="clear" w:color="auto" w:fill="DAEEF3" w:themeFill="accent5" w:themeFillTint="33"/>
            <w:vAlign w:val="center"/>
          </w:tcPr>
          <w:p w14:paraId="4B815CAF"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55.2</w:t>
            </w:r>
            <w:r w:rsidRPr="00AF3A24">
              <w:rPr>
                <w:rFonts w:asciiTheme="minorHAnsi" w:hAnsiTheme="minorHAnsi"/>
                <w:bCs/>
                <w:color w:val="000000"/>
                <w:sz w:val="16"/>
                <w:szCs w:val="16"/>
              </w:rPr>
              <w:br/>
              <w:t>(52.3 - 58.1)</w:t>
            </w:r>
          </w:p>
        </w:tc>
        <w:tc>
          <w:tcPr>
            <w:tcW w:w="674" w:type="dxa"/>
            <w:tcBorders>
              <w:top w:val="nil"/>
              <w:left w:val="nil"/>
              <w:bottom w:val="nil"/>
              <w:right w:val="nil"/>
            </w:tcBorders>
            <w:shd w:val="clear" w:color="auto" w:fill="DAEEF3" w:themeFill="accent5" w:themeFillTint="33"/>
            <w:vAlign w:val="center"/>
          </w:tcPr>
          <w:p w14:paraId="3CCD88EE"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252</w:t>
            </w:r>
          </w:p>
        </w:tc>
        <w:tc>
          <w:tcPr>
            <w:tcW w:w="1488" w:type="dxa"/>
            <w:tcBorders>
              <w:top w:val="nil"/>
              <w:left w:val="nil"/>
              <w:bottom w:val="nil"/>
              <w:right w:val="single" w:sz="4" w:space="0" w:color="auto"/>
            </w:tcBorders>
            <w:shd w:val="clear" w:color="auto" w:fill="DAEEF3" w:themeFill="accent5" w:themeFillTint="33"/>
            <w:vAlign w:val="center"/>
          </w:tcPr>
          <w:p w14:paraId="340AE6C2"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11.8</w:t>
            </w:r>
            <w:r w:rsidRPr="00AF3A24">
              <w:rPr>
                <w:rFonts w:asciiTheme="minorHAnsi" w:hAnsiTheme="minorHAnsi"/>
                <w:bCs/>
                <w:color w:val="000000"/>
                <w:sz w:val="16"/>
                <w:szCs w:val="16"/>
              </w:rPr>
              <w:br/>
              <w:t>(10.0 - 13.7)</w:t>
            </w:r>
          </w:p>
        </w:tc>
        <w:tc>
          <w:tcPr>
            <w:tcW w:w="638" w:type="dxa"/>
            <w:tcBorders>
              <w:top w:val="nil"/>
              <w:left w:val="nil"/>
              <w:bottom w:val="nil"/>
              <w:right w:val="nil"/>
            </w:tcBorders>
            <w:shd w:val="clear" w:color="auto" w:fill="DAEEF3" w:themeFill="accent5" w:themeFillTint="33"/>
            <w:vAlign w:val="center"/>
          </w:tcPr>
          <w:p w14:paraId="21436138"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154</w:t>
            </w:r>
          </w:p>
        </w:tc>
        <w:tc>
          <w:tcPr>
            <w:tcW w:w="1524" w:type="dxa"/>
            <w:tcBorders>
              <w:top w:val="nil"/>
              <w:left w:val="nil"/>
              <w:bottom w:val="nil"/>
              <w:right w:val="single" w:sz="4" w:space="0" w:color="auto"/>
            </w:tcBorders>
            <w:shd w:val="clear" w:color="auto" w:fill="DAEEF3" w:themeFill="accent5" w:themeFillTint="33"/>
            <w:vAlign w:val="center"/>
          </w:tcPr>
          <w:p w14:paraId="30F5526C"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r w:rsidRPr="00AF3A24">
              <w:rPr>
                <w:rFonts w:asciiTheme="minorHAnsi" w:hAnsiTheme="minorHAnsi"/>
                <w:bCs/>
                <w:color w:val="000000"/>
                <w:sz w:val="16"/>
                <w:szCs w:val="16"/>
              </w:rPr>
              <w:br/>
              <w:t>(5.8 - 8.5)</w:t>
            </w:r>
          </w:p>
        </w:tc>
        <w:tc>
          <w:tcPr>
            <w:tcW w:w="744" w:type="dxa"/>
            <w:tcBorders>
              <w:top w:val="nil"/>
              <w:left w:val="nil"/>
              <w:bottom w:val="nil"/>
              <w:right w:val="nil"/>
            </w:tcBorders>
            <w:shd w:val="clear" w:color="auto" w:fill="DAEEF3" w:themeFill="accent5" w:themeFillTint="33"/>
            <w:vAlign w:val="center"/>
          </w:tcPr>
          <w:p w14:paraId="4E67D219"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137</w:t>
            </w:r>
          </w:p>
        </w:tc>
        <w:tc>
          <w:tcPr>
            <w:tcW w:w="1418" w:type="dxa"/>
            <w:tcBorders>
              <w:top w:val="nil"/>
              <w:left w:val="nil"/>
              <w:bottom w:val="nil"/>
              <w:right w:val="single" w:sz="8" w:space="0" w:color="auto"/>
            </w:tcBorders>
            <w:shd w:val="clear" w:color="auto" w:fill="DAEEF3" w:themeFill="accent5" w:themeFillTint="33"/>
            <w:vAlign w:val="center"/>
          </w:tcPr>
          <w:p w14:paraId="7FF3F340"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w:t>
            </w:r>
            <w:r w:rsidRPr="00AF3A24">
              <w:rPr>
                <w:rFonts w:asciiTheme="minorHAnsi" w:hAnsiTheme="minorHAnsi"/>
                <w:bCs/>
                <w:color w:val="000000"/>
                <w:sz w:val="16"/>
                <w:szCs w:val="16"/>
              </w:rPr>
              <w:br/>
              <w:t>(4.9 - 7.5)</w:t>
            </w:r>
          </w:p>
        </w:tc>
      </w:tr>
      <w:tr w:rsidR="00EE3754" w:rsidRPr="00AF3A24" w14:paraId="4B25097D" w14:textId="77777777" w:rsidTr="00203BC6">
        <w:tc>
          <w:tcPr>
            <w:tcW w:w="1418" w:type="dxa"/>
            <w:vMerge/>
            <w:tcBorders>
              <w:bottom w:val="nil"/>
            </w:tcBorders>
            <w:shd w:val="clear" w:color="auto" w:fill="DAEEF3" w:themeFill="accent5" w:themeFillTint="33"/>
            <w:vAlign w:val="center"/>
          </w:tcPr>
          <w:p w14:paraId="2CE42056" w14:textId="77777777" w:rsidR="00EE3754" w:rsidRPr="00AF3A24" w:rsidRDefault="00EE3754"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46B9566A" w14:textId="77777777" w:rsidR="00EE3754" w:rsidRPr="00AF3A24" w:rsidRDefault="00EE3754"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09" w:type="dxa"/>
            <w:tcBorders>
              <w:top w:val="nil"/>
              <w:bottom w:val="nil"/>
              <w:right w:val="nil"/>
            </w:tcBorders>
            <w:shd w:val="clear" w:color="auto" w:fill="DAEEF3" w:themeFill="accent5" w:themeFillTint="33"/>
            <w:vAlign w:val="center"/>
          </w:tcPr>
          <w:p w14:paraId="4F34EBCF"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1,204</w:t>
            </w:r>
          </w:p>
        </w:tc>
        <w:tc>
          <w:tcPr>
            <w:tcW w:w="1452" w:type="dxa"/>
            <w:tcBorders>
              <w:top w:val="nil"/>
              <w:left w:val="nil"/>
              <w:bottom w:val="nil"/>
              <w:right w:val="single" w:sz="4" w:space="0" w:color="auto"/>
            </w:tcBorders>
            <w:shd w:val="clear" w:color="auto" w:fill="DAEEF3" w:themeFill="accent5" w:themeFillTint="33"/>
            <w:vAlign w:val="center"/>
          </w:tcPr>
          <w:p w14:paraId="3C475318"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46.6</w:t>
            </w:r>
            <w:r w:rsidRPr="00AF3A24">
              <w:rPr>
                <w:rFonts w:asciiTheme="minorHAnsi" w:hAnsiTheme="minorHAnsi"/>
                <w:bCs/>
                <w:color w:val="000000"/>
                <w:sz w:val="16"/>
                <w:szCs w:val="16"/>
              </w:rPr>
              <w:br/>
              <w:t>(43.9 - 49.2)</w:t>
            </w:r>
          </w:p>
        </w:tc>
        <w:tc>
          <w:tcPr>
            <w:tcW w:w="674" w:type="dxa"/>
            <w:tcBorders>
              <w:top w:val="nil"/>
              <w:left w:val="nil"/>
              <w:bottom w:val="nil"/>
              <w:right w:val="nil"/>
            </w:tcBorders>
            <w:shd w:val="clear" w:color="auto" w:fill="DAEEF3" w:themeFill="accent5" w:themeFillTint="33"/>
            <w:vAlign w:val="center"/>
          </w:tcPr>
          <w:p w14:paraId="174B92F8"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275</w:t>
            </w:r>
          </w:p>
        </w:tc>
        <w:tc>
          <w:tcPr>
            <w:tcW w:w="1488" w:type="dxa"/>
            <w:tcBorders>
              <w:top w:val="nil"/>
              <w:left w:val="nil"/>
              <w:bottom w:val="nil"/>
              <w:right w:val="single" w:sz="4" w:space="0" w:color="auto"/>
            </w:tcBorders>
            <w:shd w:val="clear" w:color="auto" w:fill="DAEEF3" w:themeFill="accent5" w:themeFillTint="33"/>
            <w:vAlign w:val="center"/>
          </w:tcPr>
          <w:p w14:paraId="4951E000"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w:t>
            </w:r>
            <w:r w:rsidRPr="00AF3A24">
              <w:rPr>
                <w:rFonts w:asciiTheme="minorHAnsi" w:hAnsiTheme="minorHAnsi"/>
                <w:bCs/>
                <w:color w:val="000000"/>
                <w:sz w:val="16"/>
                <w:szCs w:val="16"/>
              </w:rPr>
              <w:br/>
              <w:t>(8.7 - 11.6)</w:t>
            </w:r>
          </w:p>
        </w:tc>
        <w:tc>
          <w:tcPr>
            <w:tcW w:w="638" w:type="dxa"/>
            <w:tcBorders>
              <w:top w:val="nil"/>
              <w:left w:val="nil"/>
              <w:bottom w:val="nil"/>
              <w:right w:val="nil"/>
            </w:tcBorders>
            <w:shd w:val="clear" w:color="auto" w:fill="DAEEF3" w:themeFill="accent5" w:themeFillTint="33"/>
            <w:vAlign w:val="center"/>
          </w:tcPr>
          <w:p w14:paraId="650B4AC5"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127</w:t>
            </w:r>
          </w:p>
        </w:tc>
        <w:tc>
          <w:tcPr>
            <w:tcW w:w="1524" w:type="dxa"/>
            <w:tcBorders>
              <w:top w:val="nil"/>
              <w:left w:val="nil"/>
              <w:bottom w:val="nil"/>
              <w:right w:val="single" w:sz="4" w:space="0" w:color="auto"/>
            </w:tcBorders>
            <w:shd w:val="clear" w:color="auto" w:fill="DAEEF3" w:themeFill="accent5" w:themeFillTint="33"/>
            <w:vAlign w:val="center"/>
          </w:tcPr>
          <w:p w14:paraId="7D40618C"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w:t>
            </w:r>
            <w:r w:rsidRPr="00AF3A24">
              <w:rPr>
                <w:rFonts w:asciiTheme="minorHAnsi" w:hAnsiTheme="minorHAnsi"/>
                <w:bCs/>
                <w:color w:val="000000"/>
                <w:sz w:val="16"/>
                <w:szCs w:val="16"/>
              </w:rPr>
              <w:br/>
              <w:t>(3.8 - 5.7)</w:t>
            </w:r>
          </w:p>
        </w:tc>
        <w:tc>
          <w:tcPr>
            <w:tcW w:w="744" w:type="dxa"/>
            <w:tcBorders>
              <w:top w:val="nil"/>
              <w:left w:val="nil"/>
              <w:bottom w:val="nil"/>
              <w:right w:val="nil"/>
            </w:tcBorders>
            <w:shd w:val="clear" w:color="auto" w:fill="DAEEF3" w:themeFill="accent5" w:themeFillTint="33"/>
            <w:vAlign w:val="center"/>
          </w:tcPr>
          <w:p w14:paraId="29EB2CF9"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150</w:t>
            </w:r>
          </w:p>
        </w:tc>
        <w:tc>
          <w:tcPr>
            <w:tcW w:w="1418" w:type="dxa"/>
            <w:tcBorders>
              <w:top w:val="nil"/>
              <w:left w:val="nil"/>
              <w:bottom w:val="nil"/>
              <w:right w:val="single" w:sz="8" w:space="0" w:color="auto"/>
            </w:tcBorders>
            <w:shd w:val="clear" w:color="auto" w:fill="DAEEF3" w:themeFill="accent5" w:themeFillTint="33"/>
            <w:vAlign w:val="center"/>
          </w:tcPr>
          <w:p w14:paraId="3E2922B3" w14:textId="77777777" w:rsidR="00EE3754" w:rsidRPr="00AF3A24" w:rsidRDefault="00EE3754"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r w:rsidRPr="00AF3A24">
              <w:rPr>
                <w:rFonts w:asciiTheme="minorHAnsi" w:hAnsiTheme="minorHAnsi"/>
                <w:bCs/>
                <w:color w:val="000000"/>
                <w:sz w:val="16"/>
                <w:szCs w:val="16"/>
              </w:rPr>
              <w:br/>
              <w:t>(4.2 - 6.5)</w:t>
            </w:r>
          </w:p>
        </w:tc>
      </w:tr>
      <w:tr w:rsidR="003A39BC" w:rsidRPr="00AF3A24" w14:paraId="24C53860" w14:textId="77777777" w:rsidTr="00203BC6">
        <w:tc>
          <w:tcPr>
            <w:tcW w:w="1418" w:type="dxa"/>
            <w:vMerge w:val="restart"/>
            <w:tcBorders>
              <w:top w:val="single" w:sz="4" w:space="0" w:color="auto"/>
            </w:tcBorders>
            <w:shd w:val="clear" w:color="auto" w:fill="DAEEF3" w:themeFill="accent5" w:themeFillTint="33"/>
            <w:vAlign w:val="center"/>
          </w:tcPr>
          <w:p w14:paraId="66E9DFCB" w14:textId="77777777" w:rsidR="003A39BC" w:rsidRPr="00AF3A24" w:rsidRDefault="003A39BC" w:rsidP="00203BC6">
            <w:pPr>
              <w:spacing w:before="0" w:line="240" w:lineRule="auto"/>
              <w:ind w:left="33"/>
              <w:jc w:val="left"/>
              <w:rPr>
                <w:rFonts w:asciiTheme="minorHAnsi" w:hAnsiTheme="minorHAnsi" w:cstheme="minorHAnsi"/>
                <w:sz w:val="16"/>
                <w:szCs w:val="18"/>
              </w:rPr>
            </w:pPr>
            <w:r w:rsidRPr="00AF3A24">
              <w:rPr>
                <w:rFonts w:asciiTheme="minorHAnsi" w:hAnsiTheme="minorHAnsi" w:cstheme="minorHAnsi"/>
                <w:sz w:val="16"/>
                <w:szCs w:val="18"/>
              </w:rPr>
              <w:t xml:space="preserve">By Ethnicity </w:t>
            </w:r>
          </w:p>
        </w:tc>
        <w:tc>
          <w:tcPr>
            <w:tcW w:w="1134" w:type="dxa"/>
            <w:tcBorders>
              <w:top w:val="single" w:sz="4" w:space="0" w:color="auto"/>
              <w:bottom w:val="nil"/>
            </w:tcBorders>
            <w:shd w:val="clear" w:color="auto" w:fill="DAEEF3" w:themeFill="accent5" w:themeFillTint="33"/>
            <w:vAlign w:val="center"/>
          </w:tcPr>
          <w:p w14:paraId="353B515A"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09" w:type="dxa"/>
            <w:tcBorders>
              <w:bottom w:val="nil"/>
              <w:right w:val="nil"/>
            </w:tcBorders>
            <w:shd w:val="clear" w:color="auto" w:fill="DAEEF3" w:themeFill="accent5" w:themeFillTint="33"/>
            <w:vAlign w:val="center"/>
          </w:tcPr>
          <w:p w14:paraId="3FACC50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1,200</w:t>
            </w:r>
          </w:p>
        </w:tc>
        <w:tc>
          <w:tcPr>
            <w:tcW w:w="1452" w:type="dxa"/>
            <w:tcBorders>
              <w:left w:val="nil"/>
              <w:bottom w:val="nil"/>
              <w:right w:val="single" w:sz="4" w:space="0" w:color="auto"/>
            </w:tcBorders>
            <w:shd w:val="clear" w:color="auto" w:fill="DAEEF3" w:themeFill="accent5" w:themeFillTint="33"/>
            <w:vAlign w:val="center"/>
          </w:tcPr>
          <w:p w14:paraId="620FADD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45.1</w:t>
            </w:r>
          </w:p>
          <w:p w14:paraId="0E8D7E4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(42.5 - 47.7)</w:t>
            </w:r>
          </w:p>
        </w:tc>
        <w:tc>
          <w:tcPr>
            <w:tcW w:w="674" w:type="dxa"/>
            <w:tcBorders>
              <w:left w:val="nil"/>
              <w:bottom w:val="nil"/>
              <w:right w:val="nil"/>
            </w:tcBorders>
            <w:shd w:val="clear" w:color="auto" w:fill="DAEEF3" w:themeFill="accent5" w:themeFillTint="33"/>
            <w:vAlign w:val="center"/>
          </w:tcPr>
          <w:p w14:paraId="65315954"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409</w:t>
            </w:r>
          </w:p>
        </w:tc>
        <w:tc>
          <w:tcPr>
            <w:tcW w:w="1488" w:type="dxa"/>
            <w:tcBorders>
              <w:left w:val="nil"/>
              <w:bottom w:val="nil"/>
              <w:right w:val="single" w:sz="4" w:space="0" w:color="auto"/>
            </w:tcBorders>
            <w:shd w:val="clear" w:color="auto" w:fill="DAEEF3" w:themeFill="accent5" w:themeFillTint="33"/>
            <w:vAlign w:val="center"/>
          </w:tcPr>
          <w:p w14:paraId="313CE3E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16.9</w:t>
            </w:r>
          </w:p>
          <w:p w14:paraId="0800D0F8"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(14.8 - 18.9)</w:t>
            </w:r>
          </w:p>
        </w:tc>
        <w:tc>
          <w:tcPr>
            <w:tcW w:w="638" w:type="dxa"/>
            <w:tcBorders>
              <w:left w:val="nil"/>
              <w:bottom w:val="nil"/>
              <w:right w:val="nil"/>
            </w:tcBorders>
            <w:shd w:val="clear" w:color="auto" w:fill="DAEEF3" w:themeFill="accent5" w:themeFillTint="33"/>
            <w:vAlign w:val="center"/>
          </w:tcPr>
          <w:p w14:paraId="225D73B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246</w:t>
            </w:r>
          </w:p>
        </w:tc>
        <w:tc>
          <w:tcPr>
            <w:tcW w:w="1524" w:type="dxa"/>
            <w:tcBorders>
              <w:left w:val="nil"/>
              <w:bottom w:val="nil"/>
              <w:right w:val="single" w:sz="4" w:space="0" w:color="auto"/>
            </w:tcBorders>
            <w:shd w:val="clear" w:color="auto" w:fill="DAEEF3" w:themeFill="accent5" w:themeFillTint="33"/>
            <w:vAlign w:val="center"/>
          </w:tcPr>
          <w:p w14:paraId="762D011A"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11.0</w:t>
            </w:r>
          </w:p>
          <w:p w14:paraId="3790498B"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(9.2 – 12.7)</w:t>
            </w:r>
          </w:p>
        </w:tc>
        <w:tc>
          <w:tcPr>
            <w:tcW w:w="744" w:type="dxa"/>
            <w:tcBorders>
              <w:left w:val="nil"/>
              <w:bottom w:val="nil"/>
              <w:right w:val="nil"/>
            </w:tcBorders>
            <w:shd w:val="clear" w:color="auto" w:fill="DAEEF3" w:themeFill="accent5" w:themeFillTint="33"/>
            <w:vAlign w:val="center"/>
          </w:tcPr>
          <w:p w14:paraId="35622028"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137</w:t>
            </w:r>
          </w:p>
        </w:tc>
        <w:tc>
          <w:tcPr>
            <w:tcW w:w="1418" w:type="dxa"/>
            <w:tcBorders>
              <w:left w:val="nil"/>
              <w:bottom w:val="nil"/>
              <w:right w:val="single" w:sz="8" w:space="0" w:color="auto"/>
            </w:tcBorders>
            <w:shd w:val="clear" w:color="auto" w:fill="DAEEF3" w:themeFill="accent5" w:themeFillTint="33"/>
            <w:vAlign w:val="center"/>
          </w:tcPr>
          <w:p w14:paraId="10785D0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5.7</w:t>
            </w:r>
          </w:p>
          <w:p w14:paraId="7495756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(4.5 - 6.9)</w:t>
            </w:r>
          </w:p>
        </w:tc>
      </w:tr>
      <w:tr w:rsidR="003A39BC" w:rsidRPr="00AF3A24" w14:paraId="7C26F5DE" w14:textId="77777777" w:rsidTr="00203BC6">
        <w:tc>
          <w:tcPr>
            <w:tcW w:w="1418" w:type="dxa"/>
            <w:vMerge/>
            <w:shd w:val="clear" w:color="auto" w:fill="DAEEF3" w:themeFill="accent5" w:themeFillTint="33"/>
            <w:vAlign w:val="center"/>
          </w:tcPr>
          <w:p w14:paraId="3D107372" w14:textId="77777777" w:rsidR="003A39BC" w:rsidRPr="00AF3A24" w:rsidRDefault="003A39BC"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3B29BB93"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09" w:type="dxa"/>
            <w:tcBorders>
              <w:top w:val="nil"/>
              <w:bottom w:val="nil"/>
              <w:right w:val="nil"/>
            </w:tcBorders>
            <w:shd w:val="clear" w:color="auto" w:fill="DAEEF3" w:themeFill="accent5" w:themeFillTint="33"/>
            <w:vAlign w:val="center"/>
          </w:tcPr>
          <w:p w14:paraId="4B0DC41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342</w:t>
            </w:r>
          </w:p>
        </w:tc>
        <w:tc>
          <w:tcPr>
            <w:tcW w:w="1452" w:type="dxa"/>
            <w:tcBorders>
              <w:top w:val="nil"/>
              <w:left w:val="nil"/>
              <w:bottom w:val="nil"/>
              <w:right w:val="single" w:sz="4" w:space="0" w:color="auto"/>
            </w:tcBorders>
            <w:shd w:val="clear" w:color="auto" w:fill="DAEEF3" w:themeFill="accent5" w:themeFillTint="33"/>
            <w:vAlign w:val="center"/>
          </w:tcPr>
          <w:p w14:paraId="6A29012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40.2</w:t>
            </w:r>
          </w:p>
          <w:p w14:paraId="421DD14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(36.1 - 44.3)</w:t>
            </w:r>
          </w:p>
        </w:tc>
        <w:tc>
          <w:tcPr>
            <w:tcW w:w="674" w:type="dxa"/>
            <w:tcBorders>
              <w:top w:val="nil"/>
              <w:left w:val="nil"/>
              <w:bottom w:val="nil"/>
              <w:right w:val="nil"/>
            </w:tcBorders>
            <w:shd w:val="clear" w:color="auto" w:fill="DAEEF3" w:themeFill="accent5" w:themeFillTint="33"/>
            <w:vAlign w:val="center"/>
          </w:tcPr>
          <w:p w14:paraId="0CF1FBF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99</w:t>
            </w:r>
          </w:p>
        </w:tc>
        <w:tc>
          <w:tcPr>
            <w:tcW w:w="1488" w:type="dxa"/>
            <w:tcBorders>
              <w:top w:val="nil"/>
              <w:left w:val="nil"/>
              <w:bottom w:val="nil"/>
              <w:right w:val="single" w:sz="4" w:space="0" w:color="auto"/>
            </w:tcBorders>
            <w:shd w:val="clear" w:color="auto" w:fill="DAEEF3" w:themeFill="accent5" w:themeFillTint="33"/>
            <w:vAlign w:val="center"/>
          </w:tcPr>
          <w:p w14:paraId="3A5BF98A"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11.4</w:t>
            </w:r>
          </w:p>
          <w:p w14:paraId="7580EF8F"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(8.4 - 14.5)</w:t>
            </w:r>
          </w:p>
        </w:tc>
        <w:tc>
          <w:tcPr>
            <w:tcW w:w="638" w:type="dxa"/>
            <w:tcBorders>
              <w:top w:val="nil"/>
              <w:left w:val="nil"/>
              <w:bottom w:val="nil"/>
              <w:right w:val="nil"/>
            </w:tcBorders>
            <w:shd w:val="clear" w:color="auto" w:fill="DAEEF3" w:themeFill="accent5" w:themeFillTint="33"/>
            <w:vAlign w:val="center"/>
          </w:tcPr>
          <w:p w14:paraId="6E73254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60</w:t>
            </w:r>
          </w:p>
        </w:tc>
        <w:tc>
          <w:tcPr>
            <w:tcW w:w="1524" w:type="dxa"/>
            <w:tcBorders>
              <w:top w:val="nil"/>
              <w:left w:val="nil"/>
              <w:bottom w:val="nil"/>
              <w:right w:val="single" w:sz="4" w:space="0" w:color="auto"/>
            </w:tcBorders>
            <w:shd w:val="clear" w:color="auto" w:fill="DAEEF3" w:themeFill="accent5" w:themeFillTint="33"/>
            <w:vAlign w:val="center"/>
          </w:tcPr>
          <w:p w14:paraId="5269F70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6.5</w:t>
            </w:r>
          </w:p>
          <w:p w14:paraId="4636801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(4.4 – 8.6)</w:t>
            </w:r>
          </w:p>
        </w:tc>
        <w:tc>
          <w:tcPr>
            <w:tcW w:w="744" w:type="dxa"/>
            <w:tcBorders>
              <w:top w:val="nil"/>
              <w:left w:val="nil"/>
              <w:bottom w:val="nil"/>
              <w:right w:val="nil"/>
            </w:tcBorders>
            <w:shd w:val="clear" w:color="auto" w:fill="DAEEF3" w:themeFill="accent5" w:themeFillTint="33"/>
            <w:vAlign w:val="center"/>
          </w:tcPr>
          <w:p w14:paraId="33DDB7B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30</w:t>
            </w:r>
          </w:p>
        </w:tc>
        <w:tc>
          <w:tcPr>
            <w:tcW w:w="1418" w:type="dxa"/>
            <w:tcBorders>
              <w:top w:val="nil"/>
              <w:left w:val="nil"/>
              <w:bottom w:val="nil"/>
              <w:right w:val="single" w:sz="8" w:space="0" w:color="auto"/>
            </w:tcBorders>
            <w:shd w:val="clear" w:color="auto" w:fill="DAEEF3" w:themeFill="accent5" w:themeFillTint="33"/>
            <w:vAlign w:val="center"/>
          </w:tcPr>
          <w:p w14:paraId="5BDCF55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4.2</w:t>
            </w:r>
          </w:p>
          <w:p w14:paraId="46BDD87C"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(2.4 - 6.0)</w:t>
            </w:r>
          </w:p>
        </w:tc>
      </w:tr>
      <w:tr w:rsidR="00E1507C" w:rsidRPr="00AF3A24" w14:paraId="26507949" w14:textId="77777777" w:rsidTr="00203BC6">
        <w:tc>
          <w:tcPr>
            <w:tcW w:w="1418" w:type="dxa"/>
            <w:vMerge/>
            <w:shd w:val="clear" w:color="auto" w:fill="DAEEF3" w:themeFill="accent5" w:themeFillTint="33"/>
            <w:vAlign w:val="center"/>
          </w:tcPr>
          <w:p w14:paraId="7DB34A45" w14:textId="77777777" w:rsidR="00E1507C" w:rsidRPr="00AF3A24" w:rsidRDefault="00E1507C"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62352663"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09" w:type="dxa"/>
            <w:tcBorders>
              <w:top w:val="nil"/>
              <w:bottom w:val="nil"/>
              <w:right w:val="nil"/>
            </w:tcBorders>
            <w:shd w:val="clear" w:color="auto" w:fill="DAEEF3" w:themeFill="accent5" w:themeFillTint="33"/>
            <w:vAlign w:val="center"/>
          </w:tcPr>
          <w:p w14:paraId="2C0E7E68"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319</w:t>
            </w:r>
          </w:p>
        </w:tc>
        <w:tc>
          <w:tcPr>
            <w:tcW w:w="1452" w:type="dxa"/>
            <w:tcBorders>
              <w:top w:val="nil"/>
              <w:left w:val="nil"/>
              <w:bottom w:val="nil"/>
              <w:right w:val="single" w:sz="4" w:space="0" w:color="auto"/>
            </w:tcBorders>
            <w:shd w:val="clear" w:color="auto" w:fill="DAEEF3" w:themeFill="accent5" w:themeFillTint="33"/>
            <w:vAlign w:val="center"/>
          </w:tcPr>
          <w:p w14:paraId="43141879"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35.2</w:t>
            </w:r>
          </w:p>
          <w:p w14:paraId="74FBB8BD"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(31.2 - 39.3)</w:t>
            </w:r>
          </w:p>
        </w:tc>
        <w:tc>
          <w:tcPr>
            <w:tcW w:w="674" w:type="dxa"/>
            <w:tcBorders>
              <w:top w:val="nil"/>
              <w:left w:val="nil"/>
              <w:bottom w:val="nil"/>
              <w:right w:val="nil"/>
            </w:tcBorders>
            <w:shd w:val="clear" w:color="auto" w:fill="DAEEF3" w:themeFill="accent5" w:themeFillTint="33"/>
            <w:vAlign w:val="center"/>
          </w:tcPr>
          <w:p w14:paraId="77EB223E"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56</w:t>
            </w:r>
          </w:p>
        </w:tc>
        <w:tc>
          <w:tcPr>
            <w:tcW w:w="1488" w:type="dxa"/>
            <w:tcBorders>
              <w:top w:val="nil"/>
              <w:left w:val="nil"/>
              <w:bottom w:val="nil"/>
              <w:right w:val="single" w:sz="4" w:space="0" w:color="auto"/>
            </w:tcBorders>
            <w:shd w:val="clear" w:color="auto" w:fill="DAEEF3" w:themeFill="accent5" w:themeFillTint="33"/>
            <w:vAlign w:val="center"/>
          </w:tcPr>
          <w:p w14:paraId="128DA0D5"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6.2</w:t>
            </w:r>
          </w:p>
          <w:p w14:paraId="5E5FCC0A"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(4.2 - 8.1)</w:t>
            </w:r>
          </w:p>
        </w:tc>
        <w:tc>
          <w:tcPr>
            <w:tcW w:w="638" w:type="dxa"/>
            <w:tcBorders>
              <w:top w:val="nil"/>
              <w:left w:val="nil"/>
              <w:bottom w:val="nil"/>
              <w:right w:val="nil"/>
            </w:tcBorders>
            <w:shd w:val="clear" w:color="auto" w:fill="DAEEF3" w:themeFill="accent5" w:themeFillTint="33"/>
            <w:vAlign w:val="center"/>
          </w:tcPr>
          <w:p w14:paraId="1C23927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24" w:type="dxa"/>
            <w:tcBorders>
              <w:top w:val="nil"/>
              <w:left w:val="nil"/>
              <w:bottom w:val="nil"/>
              <w:right w:val="single" w:sz="4" w:space="0" w:color="auto"/>
            </w:tcBorders>
            <w:shd w:val="clear" w:color="auto" w:fill="DAEEF3" w:themeFill="accent5" w:themeFillTint="33"/>
            <w:vAlign w:val="center"/>
          </w:tcPr>
          <w:p w14:paraId="1BB6E29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44" w:type="dxa"/>
            <w:tcBorders>
              <w:top w:val="nil"/>
              <w:left w:val="nil"/>
              <w:bottom w:val="nil"/>
              <w:right w:val="nil"/>
            </w:tcBorders>
            <w:shd w:val="clear" w:color="auto" w:fill="DAEEF3" w:themeFill="accent5" w:themeFillTint="33"/>
            <w:vAlign w:val="center"/>
          </w:tcPr>
          <w:p w14:paraId="521F319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8" w:space="0" w:color="auto"/>
            </w:tcBorders>
            <w:shd w:val="clear" w:color="auto" w:fill="DAEEF3" w:themeFill="accent5" w:themeFillTint="33"/>
            <w:vAlign w:val="center"/>
          </w:tcPr>
          <w:p w14:paraId="11BD4D7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6BCC05A3" w14:textId="77777777" w:rsidTr="00203BC6">
        <w:tc>
          <w:tcPr>
            <w:tcW w:w="1418" w:type="dxa"/>
            <w:vMerge/>
            <w:tcBorders>
              <w:bottom w:val="nil"/>
            </w:tcBorders>
            <w:shd w:val="clear" w:color="auto" w:fill="DAEEF3" w:themeFill="accent5" w:themeFillTint="33"/>
            <w:vAlign w:val="center"/>
          </w:tcPr>
          <w:p w14:paraId="7849B6D0" w14:textId="77777777" w:rsidR="003A39BC" w:rsidRPr="00AF3A24" w:rsidRDefault="003A39BC" w:rsidP="00203BC6">
            <w:pPr>
              <w:spacing w:before="0" w:line="240" w:lineRule="auto"/>
              <w:ind w:left="33"/>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3EF74CD6"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09" w:type="dxa"/>
            <w:tcBorders>
              <w:top w:val="nil"/>
              <w:bottom w:val="nil"/>
              <w:right w:val="nil"/>
            </w:tcBorders>
            <w:shd w:val="clear" w:color="auto" w:fill="DAEEF3" w:themeFill="accent5" w:themeFillTint="33"/>
            <w:vAlign w:val="center"/>
          </w:tcPr>
          <w:p w14:paraId="304B909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4,614</w:t>
            </w:r>
          </w:p>
        </w:tc>
        <w:tc>
          <w:tcPr>
            <w:tcW w:w="1452" w:type="dxa"/>
            <w:tcBorders>
              <w:top w:val="nil"/>
              <w:left w:val="nil"/>
              <w:bottom w:val="nil"/>
              <w:right w:val="single" w:sz="4" w:space="0" w:color="auto"/>
            </w:tcBorders>
            <w:shd w:val="clear" w:color="auto" w:fill="DAEEF3" w:themeFill="accent5" w:themeFillTint="33"/>
            <w:vAlign w:val="center"/>
          </w:tcPr>
          <w:p w14:paraId="5DF6214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44.5</w:t>
            </w:r>
          </w:p>
          <w:p w14:paraId="4667A4B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(42.9 - 46.0)</w:t>
            </w:r>
          </w:p>
        </w:tc>
        <w:tc>
          <w:tcPr>
            <w:tcW w:w="674" w:type="dxa"/>
            <w:tcBorders>
              <w:top w:val="nil"/>
              <w:left w:val="nil"/>
              <w:bottom w:val="nil"/>
              <w:right w:val="nil"/>
            </w:tcBorders>
            <w:shd w:val="clear" w:color="auto" w:fill="DAEEF3" w:themeFill="accent5" w:themeFillTint="33"/>
            <w:vAlign w:val="center"/>
          </w:tcPr>
          <w:p w14:paraId="1127E1D8"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1,385</w:t>
            </w:r>
          </w:p>
        </w:tc>
        <w:tc>
          <w:tcPr>
            <w:tcW w:w="1488" w:type="dxa"/>
            <w:tcBorders>
              <w:top w:val="nil"/>
              <w:left w:val="nil"/>
              <w:bottom w:val="nil"/>
              <w:right w:val="single" w:sz="4" w:space="0" w:color="auto"/>
            </w:tcBorders>
            <w:shd w:val="clear" w:color="auto" w:fill="DAEEF3" w:themeFill="accent5" w:themeFillTint="33"/>
            <w:vAlign w:val="center"/>
          </w:tcPr>
          <w:p w14:paraId="420FE69F"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15.3</w:t>
            </w:r>
          </w:p>
          <w:p w14:paraId="770F42B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(14.1 - 16.5)</w:t>
            </w:r>
          </w:p>
        </w:tc>
        <w:tc>
          <w:tcPr>
            <w:tcW w:w="638" w:type="dxa"/>
            <w:tcBorders>
              <w:top w:val="nil"/>
              <w:left w:val="nil"/>
              <w:bottom w:val="nil"/>
              <w:right w:val="nil"/>
            </w:tcBorders>
            <w:shd w:val="clear" w:color="auto" w:fill="DAEEF3" w:themeFill="accent5" w:themeFillTint="33"/>
            <w:vAlign w:val="center"/>
          </w:tcPr>
          <w:p w14:paraId="1F7F6855"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622</w:t>
            </w:r>
          </w:p>
        </w:tc>
        <w:tc>
          <w:tcPr>
            <w:tcW w:w="1524" w:type="dxa"/>
            <w:tcBorders>
              <w:top w:val="nil"/>
              <w:left w:val="nil"/>
              <w:bottom w:val="nil"/>
              <w:right w:val="single" w:sz="4" w:space="0" w:color="auto"/>
            </w:tcBorders>
            <w:shd w:val="clear" w:color="auto" w:fill="DAEEF3" w:themeFill="accent5" w:themeFillTint="33"/>
            <w:vAlign w:val="center"/>
          </w:tcPr>
          <w:p w14:paraId="75D25679"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6.2</w:t>
            </w:r>
          </w:p>
          <w:p w14:paraId="214C58B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(5.5 – 7.0)</w:t>
            </w:r>
          </w:p>
        </w:tc>
        <w:tc>
          <w:tcPr>
            <w:tcW w:w="744" w:type="dxa"/>
            <w:tcBorders>
              <w:top w:val="nil"/>
              <w:left w:val="nil"/>
              <w:bottom w:val="nil"/>
              <w:right w:val="nil"/>
            </w:tcBorders>
            <w:shd w:val="clear" w:color="auto" w:fill="DAEEF3" w:themeFill="accent5" w:themeFillTint="33"/>
            <w:vAlign w:val="center"/>
          </w:tcPr>
          <w:p w14:paraId="08F54360"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662</w:t>
            </w:r>
          </w:p>
        </w:tc>
        <w:tc>
          <w:tcPr>
            <w:tcW w:w="1418" w:type="dxa"/>
            <w:tcBorders>
              <w:top w:val="nil"/>
              <w:left w:val="nil"/>
              <w:bottom w:val="nil"/>
              <w:right w:val="single" w:sz="8" w:space="0" w:color="auto"/>
            </w:tcBorders>
            <w:shd w:val="clear" w:color="auto" w:fill="DAEEF3" w:themeFill="accent5" w:themeFillTint="33"/>
            <w:vAlign w:val="center"/>
          </w:tcPr>
          <w:p w14:paraId="44265EE4"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6.8</w:t>
            </w:r>
          </w:p>
          <w:p w14:paraId="0F132055"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(6.0 - 7.5)</w:t>
            </w:r>
          </w:p>
        </w:tc>
      </w:tr>
      <w:tr w:rsidR="003A39BC" w:rsidRPr="00AF3A24" w14:paraId="776D30F8" w14:textId="77777777" w:rsidTr="00203BC6">
        <w:tc>
          <w:tcPr>
            <w:tcW w:w="1418" w:type="dxa"/>
            <w:vMerge w:val="restart"/>
            <w:tcBorders>
              <w:top w:val="single" w:sz="4" w:space="0" w:color="auto"/>
            </w:tcBorders>
            <w:shd w:val="clear" w:color="auto" w:fill="DAEEF3" w:themeFill="accent5" w:themeFillTint="33"/>
            <w:vAlign w:val="center"/>
          </w:tcPr>
          <w:p w14:paraId="0D01373A" w14:textId="77777777" w:rsidR="003A39BC" w:rsidRPr="00AF3A24" w:rsidRDefault="003A39BC" w:rsidP="00203BC6">
            <w:pPr>
              <w:spacing w:before="0" w:line="240" w:lineRule="auto"/>
              <w:ind w:left="33"/>
              <w:jc w:val="left"/>
              <w:rPr>
                <w:rFonts w:asciiTheme="minorHAnsi" w:hAnsiTheme="minorHAnsi" w:cstheme="minorHAnsi"/>
                <w:sz w:val="16"/>
                <w:szCs w:val="18"/>
              </w:rPr>
            </w:pPr>
            <w:r w:rsidRPr="00AF3A24">
              <w:rPr>
                <w:rFonts w:asciiTheme="minorHAnsi" w:hAnsiTheme="minorHAnsi" w:cstheme="minorHAnsi"/>
                <w:sz w:val="16"/>
                <w:szCs w:val="18"/>
              </w:rPr>
              <w:t>By Neighbourhood Deprivation (NZDep2006)</w:t>
            </w:r>
          </w:p>
        </w:tc>
        <w:tc>
          <w:tcPr>
            <w:tcW w:w="1134" w:type="dxa"/>
            <w:tcBorders>
              <w:top w:val="single" w:sz="4" w:space="0" w:color="auto"/>
              <w:bottom w:val="nil"/>
            </w:tcBorders>
            <w:shd w:val="clear" w:color="auto" w:fill="DAEEF3" w:themeFill="accent5" w:themeFillTint="33"/>
            <w:vAlign w:val="center"/>
          </w:tcPr>
          <w:p w14:paraId="02B06D0A"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09" w:type="dxa"/>
            <w:tcBorders>
              <w:bottom w:val="nil"/>
              <w:right w:val="nil"/>
            </w:tcBorders>
            <w:shd w:val="clear" w:color="auto" w:fill="DAEEF3" w:themeFill="accent5" w:themeFillTint="33"/>
            <w:vAlign w:val="center"/>
          </w:tcPr>
          <w:p w14:paraId="4553B84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989</w:t>
            </w:r>
          </w:p>
        </w:tc>
        <w:tc>
          <w:tcPr>
            <w:tcW w:w="1452" w:type="dxa"/>
            <w:tcBorders>
              <w:left w:val="nil"/>
              <w:bottom w:val="nil"/>
              <w:right w:val="single" w:sz="4" w:space="0" w:color="auto"/>
            </w:tcBorders>
            <w:shd w:val="clear" w:color="auto" w:fill="DAEEF3" w:themeFill="accent5" w:themeFillTint="33"/>
            <w:vAlign w:val="center"/>
          </w:tcPr>
          <w:p w14:paraId="37D0621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48.5</w:t>
            </w:r>
            <w:r w:rsidRPr="00AF3A24">
              <w:rPr>
                <w:rFonts w:asciiTheme="minorHAnsi" w:hAnsiTheme="minorHAnsi"/>
                <w:bCs/>
                <w:color w:val="000000"/>
                <w:sz w:val="16"/>
                <w:szCs w:val="16"/>
              </w:rPr>
              <w:br/>
              <w:t>(44.9 - 52.2)</w:t>
            </w:r>
          </w:p>
        </w:tc>
        <w:tc>
          <w:tcPr>
            <w:tcW w:w="674" w:type="dxa"/>
            <w:tcBorders>
              <w:left w:val="nil"/>
              <w:bottom w:val="nil"/>
              <w:right w:val="nil"/>
            </w:tcBorders>
            <w:shd w:val="clear" w:color="auto" w:fill="DAEEF3" w:themeFill="accent5" w:themeFillTint="33"/>
            <w:vAlign w:val="center"/>
          </w:tcPr>
          <w:p w14:paraId="5050F4D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228</w:t>
            </w:r>
          </w:p>
        </w:tc>
        <w:tc>
          <w:tcPr>
            <w:tcW w:w="1488" w:type="dxa"/>
            <w:tcBorders>
              <w:left w:val="nil"/>
              <w:bottom w:val="nil"/>
              <w:right w:val="single" w:sz="4" w:space="0" w:color="auto"/>
            </w:tcBorders>
            <w:shd w:val="clear" w:color="auto" w:fill="DAEEF3" w:themeFill="accent5" w:themeFillTint="33"/>
            <w:vAlign w:val="center"/>
          </w:tcPr>
          <w:p w14:paraId="4CCD8AB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(9.5 - 13.7)</w:t>
            </w:r>
          </w:p>
        </w:tc>
        <w:tc>
          <w:tcPr>
            <w:tcW w:w="638" w:type="dxa"/>
            <w:tcBorders>
              <w:left w:val="nil"/>
              <w:bottom w:val="nil"/>
              <w:right w:val="nil"/>
            </w:tcBorders>
            <w:shd w:val="clear" w:color="auto" w:fill="DAEEF3" w:themeFill="accent5" w:themeFillTint="33"/>
            <w:vAlign w:val="center"/>
          </w:tcPr>
          <w:p w14:paraId="044F413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w:t>
            </w:r>
          </w:p>
        </w:tc>
        <w:tc>
          <w:tcPr>
            <w:tcW w:w="1524" w:type="dxa"/>
            <w:tcBorders>
              <w:left w:val="nil"/>
              <w:bottom w:val="nil"/>
              <w:right w:val="single" w:sz="4" w:space="0" w:color="auto"/>
            </w:tcBorders>
            <w:shd w:val="clear" w:color="auto" w:fill="DAEEF3" w:themeFill="accent5" w:themeFillTint="33"/>
            <w:vAlign w:val="center"/>
          </w:tcPr>
          <w:p w14:paraId="6F8566F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(3.3 - 5.7)</w:t>
            </w:r>
          </w:p>
        </w:tc>
        <w:tc>
          <w:tcPr>
            <w:tcW w:w="744" w:type="dxa"/>
            <w:tcBorders>
              <w:left w:val="nil"/>
              <w:bottom w:val="nil"/>
              <w:right w:val="nil"/>
            </w:tcBorders>
            <w:shd w:val="clear" w:color="auto" w:fill="DAEEF3" w:themeFill="accent5" w:themeFillTint="33"/>
            <w:vAlign w:val="center"/>
          </w:tcPr>
          <w:p w14:paraId="6BCC145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w:t>
            </w:r>
          </w:p>
        </w:tc>
        <w:tc>
          <w:tcPr>
            <w:tcW w:w="1418" w:type="dxa"/>
            <w:tcBorders>
              <w:left w:val="nil"/>
              <w:bottom w:val="nil"/>
              <w:right w:val="single" w:sz="8" w:space="0" w:color="auto"/>
            </w:tcBorders>
            <w:shd w:val="clear" w:color="auto" w:fill="DAEEF3" w:themeFill="accent5" w:themeFillTint="33"/>
            <w:vAlign w:val="center"/>
          </w:tcPr>
          <w:p w14:paraId="0F34CB7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6.7</w:t>
            </w:r>
            <w:r w:rsidRPr="00AF3A24">
              <w:rPr>
                <w:rFonts w:asciiTheme="minorHAnsi" w:hAnsiTheme="minorHAnsi"/>
                <w:bCs/>
                <w:color w:val="000000"/>
                <w:sz w:val="16"/>
                <w:szCs w:val="16"/>
              </w:rPr>
              <w:br/>
              <w:t>(5.1 - 8.2)</w:t>
            </w:r>
          </w:p>
        </w:tc>
      </w:tr>
      <w:tr w:rsidR="003A39BC" w:rsidRPr="00AF3A24" w14:paraId="598D5494" w14:textId="77777777" w:rsidTr="00203BC6">
        <w:tc>
          <w:tcPr>
            <w:tcW w:w="1418" w:type="dxa"/>
            <w:vMerge/>
            <w:shd w:val="clear" w:color="auto" w:fill="DAEEF3" w:themeFill="accent5" w:themeFillTint="33"/>
            <w:vAlign w:val="center"/>
          </w:tcPr>
          <w:p w14:paraId="32FC9D85" w14:textId="77777777" w:rsidR="003A39BC" w:rsidRPr="00AF3A24" w:rsidRDefault="003A39BC" w:rsidP="00203BC6">
            <w:pPr>
              <w:spacing w:before="0" w:line="240" w:lineRule="auto"/>
              <w:ind w:left="78"/>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2033C1DF"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09" w:type="dxa"/>
            <w:tcBorders>
              <w:top w:val="nil"/>
              <w:bottom w:val="nil"/>
              <w:right w:val="nil"/>
            </w:tcBorders>
            <w:shd w:val="clear" w:color="auto" w:fill="DAEEF3" w:themeFill="accent5" w:themeFillTint="33"/>
            <w:vAlign w:val="center"/>
          </w:tcPr>
          <w:p w14:paraId="7CA1579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912</w:t>
            </w:r>
          </w:p>
        </w:tc>
        <w:tc>
          <w:tcPr>
            <w:tcW w:w="1452" w:type="dxa"/>
            <w:tcBorders>
              <w:top w:val="nil"/>
              <w:left w:val="nil"/>
              <w:bottom w:val="nil"/>
              <w:right w:val="single" w:sz="4" w:space="0" w:color="auto"/>
            </w:tcBorders>
            <w:shd w:val="clear" w:color="auto" w:fill="DAEEF3" w:themeFill="accent5" w:themeFillTint="33"/>
            <w:vAlign w:val="center"/>
          </w:tcPr>
          <w:p w14:paraId="54A9EB9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47.3</w:t>
            </w:r>
            <w:r w:rsidRPr="00AF3A24">
              <w:rPr>
                <w:rFonts w:asciiTheme="minorHAnsi" w:hAnsiTheme="minorHAnsi"/>
                <w:bCs/>
                <w:color w:val="000000"/>
                <w:sz w:val="16"/>
                <w:szCs w:val="16"/>
              </w:rPr>
              <w:br/>
              <w:t>(43.8 - 50.9)</w:t>
            </w:r>
          </w:p>
        </w:tc>
        <w:tc>
          <w:tcPr>
            <w:tcW w:w="674" w:type="dxa"/>
            <w:tcBorders>
              <w:top w:val="nil"/>
              <w:left w:val="nil"/>
              <w:bottom w:val="nil"/>
              <w:right w:val="nil"/>
            </w:tcBorders>
            <w:shd w:val="clear" w:color="auto" w:fill="DAEEF3" w:themeFill="accent5" w:themeFillTint="33"/>
            <w:vAlign w:val="center"/>
          </w:tcPr>
          <w:p w14:paraId="15BFA81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245</w:t>
            </w:r>
          </w:p>
        </w:tc>
        <w:tc>
          <w:tcPr>
            <w:tcW w:w="1488" w:type="dxa"/>
            <w:tcBorders>
              <w:top w:val="nil"/>
              <w:left w:val="nil"/>
              <w:bottom w:val="nil"/>
              <w:right w:val="single" w:sz="4" w:space="0" w:color="auto"/>
            </w:tcBorders>
            <w:shd w:val="clear" w:color="auto" w:fill="DAEEF3" w:themeFill="accent5" w:themeFillTint="33"/>
            <w:vAlign w:val="center"/>
          </w:tcPr>
          <w:p w14:paraId="74A068F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13.1</w:t>
            </w:r>
            <w:r w:rsidRPr="00AF3A24">
              <w:rPr>
                <w:rFonts w:asciiTheme="minorHAnsi" w:hAnsiTheme="minorHAnsi"/>
                <w:bCs/>
                <w:color w:val="000000"/>
                <w:sz w:val="16"/>
                <w:szCs w:val="16"/>
              </w:rPr>
              <w:br/>
              <w:t>(10.6 - 15.5)</w:t>
            </w:r>
          </w:p>
        </w:tc>
        <w:tc>
          <w:tcPr>
            <w:tcW w:w="638" w:type="dxa"/>
            <w:tcBorders>
              <w:top w:val="nil"/>
              <w:left w:val="nil"/>
              <w:bottom w:val="nil"/>
              <w:right w:val="nil"/>
            </w:tcBorders>
            <w:shd w:val="clear" w:color="auto" w:fill="DAEEF3" w:themeFill="accent5" w:themeFillTint="33"/>
            <w:vAlign w:val="center"/>
          </w:tcPr>
          <w:p w14:paraId="48E7100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118</w:t>
            </w:r>
          </w:p>
        </w:tc>
        <w:tc>
          <w:tcPr>
            <w:tcW w:w="1524" w:type="dxa"/>
            <w:tcBorders>
              <w:top w:val="nil"/>
              <w:left w:val="nil"/>
              <w:bottom w:val="nil"/>
              <w:right w:val="single" w:sz="4" w:space="0" w:color="auto"/>
            </w:tcBorders>
            <w:shd w:val="clear" w:color="auto" w:fill="DAEEF3" w:themeFill="accent5" w:themeFillTint="33"/>
            <w:vAlign w:val="center"/>
          </w:tcPr>
          <w:p w14:paraId="635E25E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r w:rsidRPr="00AF3A24">
              <w:rPr>
                <w:rFonts w:asciiTheme="minorHAnsi" w:hAnsiTheme="minorHAnsi"/>
                <w:bCs/>
                <w:color w:val="000000"/>
                <w:sz w:val="16"/>
                <w:szCs w:val="16"/>
              </w:rPr>
              <w:br/>
              <w:t>(4.4 - 7.3)</w:t>
            </w:r>
          </w:p>
        </w:tc>
        <w:tc>
          <w:tcPr>
            <w:tcW w:w="744" w:type="dxa"/>
            <w:tcBorders>
              <w:top w:val="nil"/>
              <w:left w:val="nil"/>
              <w:bottom w:val="nil"/>
              <w:right w:val="nil"/>
            </w:tcBorders>
            <w:shd w:val="clear" w:color="auto" w:fill="DAEEF3" w:themeFill="accent5" w:themeFillTint="33"/>
            <w:vAlign w:val="center"/>
          </w:tcPr>
          <w:p w14:paraId="2DE1989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124</w:t>
            </w:r>
          </w:p>
        </w:tc>
        <w:tc>
          <w:tcPr>
            <w:tcW w:w="1418" w:type="dxa"/>
            <w:tcBorders>
              <w:top w:val="nil"/>
              <w:left w:val="nil"/>
              <w:bottom w:val="nil"/>
              <w:right w:val="single" w:sz="8" w:space="0" w:color="auto"/>
            </w:tcBorders>
            <w:shd w:val="clear" w:color="auto" w:fill="DAEEF3" w:themeFill="accent5" w:themeFillTint="33"/>
            <w:vAlign w:val="center"/>
          </w:tcPr>
          <w:p w14:paraId="42A89C9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w:t>
            </w:r>
            <w:r w:rsidRPr="00AF3A24">
              <w:rPr>
                <w:rFonts w:asciiTheme="minorHAnsi" w:hAnsiTheme="minorHAnsi"/>
                <w:bCs/>
                <w:color w:val="000000"/>
                <w:sz w:val="16"/>
                <w:szCs w:val="16"/>
              </w:rPr>
              <w:br/>
              <w:t>(4.8 - 7.8)</w:t>
            </w:r>
          </w:p>
        </w:tc>
      </w:tr>
      <w:tr w:rsidR="003A39BC" w:rsidRPr="00AF3A24" w14:paraId="037363FD" w14:textId="77777777" w:rsidTr="00203BC6">
        <w:tc>
          <w:tcPr>
            <w:tcW w:w="1418" w:type="dxa"/>
            <w:vMerge/>
            <w:shd w:val="clear" w:color="auto" w:fill="DAEEF3" w:themeFill="accent5" w:themeFillTint="33"/>
            <w:vAlign w:val="center"/>
          </w:tcPr>
          <w:p w14:paraId="1DF2A349" w14:textId="77777777" w:rsidR="003A39BC" w:rsidRPr="00AF3A24" w:rsidRDefault="003A39BC" w:rsidP="00203BC6">
            <w:pPr>
              <w:spacing w:before="0" w:line="240" w:lineRule="auto"/>
              <w:ind w:left="78"/>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006EE21E"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09" w:type="dxa"/>
            <w:tcBorders>
              <w:top w:val="nil"/>
              <w:bottom w:val="nil"/>
              <w:right w:val="nil"/>
            </w:tcBorders>
            <w:shd w:val="clear" w:color="auto" w:fill="DAEEF3" w:themeFill="accent5" w:themeFillTint="33"/>
            <w:vAlign w:val="center"/>
          </w:tcPr>
          <w:p w14:paraId="38E54E0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1,158</w:t>
            </w:r>
          </w:p>
        </w:tc>
        <w:tc>
          <w:tcPr>
            <w:tcW w:w="1452" w:type="dxa"/>
            <w:tcBorders>
              <w:top w:val="nil"/>
              <w:left w:val="nil"/>
              <w:bottom w:val="nil"/>
              <w:right w:val="single" w:sz="4" w:space="0" w:color="auto"/>
            </w:tcBorders>
            <w:shd w:val="clear" w:color="auto" w:fill="DAEEF3" w:themeFill="accent5" w:themeFillTint="33"/>
            <w:vAlign w:val="center"/>
          </w:tcPr>
          <w:p w14:paraId="4FEF0DB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46.6</w:t>
            </w:r>
            <w:r w:rsidRPr="00AF3A24">
              <w:rPr>
                <w:rFonts w:asciiTheme="minorHAnsi" w:hAnsiTheme="minorHAnsi"/>
                <w:bCs/>
                <w:color w:val="000000"/>
                <w:sz w:val="16"/>
                <w:szCs w:val="16"/>
              </w:rPr>
              <w:br/>
              <w:t>(43.3 - 49.9)</w:t>
            </w:r>
          </w:p>
        </w:tc>
        <w:tc>
          <w:tcPr>
            <w:tcW w:w="674" w:type="dxa"/>
            <w:tcBorders>
              <w:top w:val="nil"/>
              <w:left w:val="nil"/>
              <w:bottom w:val="nil"/>
              <w:right w:val="nil"/>
            </w:tcBorders>
            <w:shd w:val="clear" w:color="auto" w:fill="DAEEF3" w:themeFill="accent5" w:themeFillTint="33"/>
            <w:vAlign w:val="center"/>
          </w:tcPr>
          <w:p w14:paraId="20ED894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359</w:t>
            </w:r>
          </w:p>
        </w:tc>
        <w:tc>
          <w:tcPr>
            <w:tcW w:w="1488" w:type="dxa"/>
            <w:tcBorders>
              <w:top w:val="nil"/>
              <w:left w:val="nil"/>
              <w:bottom w:val="nil"/>
              <w:right w:val="single" w:sz="4" w:space="0" w:color="auto"/>
            </w:tcBorders>
            <w:shd w:val="clear" w:color="auto" w:fill="DAEEF3" w:themeFill="accent5" w:themeFillTint="33"/>
            <w:vAlign w:val="center"/>
          </w:tcPr>
          <w:p w14:paraId="53B96A2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15.4</w:t>
            </w:r>
            <w:r w:rsidRPr="00AF3A24">
              <w:rPr>
                <w:rFonts w:asciiTheme="minorHAnsi" w:hAnsiTheme="minorHAnsi"/>
                <w:bCs/>
                <w:color w:val="000000"/>
                <w:sz w:val="16"/>
                <w:szCs w:val="16"/>
              </w:rPr>
              <w:br/>
              <w:t>(13.3 - 17.6)</w:t>
            </w:r>
          </w:p>
        </w:tc>
        <w:tc>
          <w:tcPr>
            <w:tcW w:w="638" w:type="dxa"/>
            <w:tcBorders>
              <w:top w:val="nil"/>
              <w:left w:val="nil"/>
              <w:bottom w:val="nil"/>
              <w:right w:val="nil"/>
            </w:tcBorders>
            <w:shd w:val="clear" w:color="auto" w:fill="DAEEF3" w:themeFill="accent5" w:themeFillTint="33"/>
            <w:vAlign w:val="center"/>
          </w:tcPr>
          <w:p w14:paraId="0B2A147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162</w:t>
            </w:r>
          </w:p>
        </w:tc>
        <w:tc>
          <w:tcPr>
            <w:tcW w:w="1524" w:type="dxa"/>
            <w:tcBorders>
              <w:top w:val="nil"/>
              <w:left w:val="nil"/>
              <w:bottom w:val="nil"/>
              <w:right w:val="single" w:sz="4" w:space="0" w:color="auto"/>
            </w:tcBorders>
            <w:shd w:val="clear" w:color="auto" w:fill="DAEEF3" w:themeFill="accent5" w:themeFillTint="33"/>
            <w:vAlign w:val="center"/>
          </w:tcPr>
          <w:p w14:paraId="685FD8D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r w:rsidRPr="00AF3A24">
              <w:rPr>
                <w:rFonts w:asciiTheme="minorHAnsi" w:hAnsiTheme="minorHAnsi"/>
                <w:bCs/>
                <w:color w:val="000000"/>
                <w:sz w:val="16"/>
                <w:szCs w:val="16"/>
              </w:rPr>
              <w:br/>
              <w:t>(4.6 - 7.2)</w:t>
            </w:r>
          </w:p>
        </w:tc>
        <w:tc>
          <w:tcPr>
            <w:tcW w:w="744" w:type="dxa"/>
            <w:tcBorders>
              <w:top w:val="nil"/>
              <w:left w:val="nil"/>
              <w:bottom w:val="nil"/>
              <w:right w:val="nil"/>
            </w:tcBorders>
            <w:shd w:val="clear" w:color="auto" w:fill="DAEEF3" w:themeFill="accent5" w:themeFillTint="33"/>
            <w:vAlign w:val="center"/>
          </w:tcPr>
          <w:p w14:paraId="400EB87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152</w:t>
            </w:r>
          </w:p>
        </w:tc>
        <w:tc>
          <w:tcPr>
            <w:tcW w:w="1418" w:type="dxa"/>
            <w:tcBorders>
              <w:top w:val="nil"/>
              <w:left w:val="nil"/>
              <w:bottom w:val="nil"/>
              <w:right w:val="single" w:sz="8" w:space="0" w:color="auto"/>
            </w:tcBorders>
            <w:shd w:val="clear" w:color="auto" w:fill="DAEEF3" w:themeFill="accent5" w:themeFillTint="33"/>
            <w:vAlign w:val="center"/>
          </w:tcPr>
          <w:p w14:paraId="0FC7EA4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w:t>
            </w:r>
            <w:r w:rsidRPr="00AF3A24">
              <w:rPr>
                <w:rFonts w:asciiTheme="minorHAnsi" w:hAnsiTheme="minorHAnsi"/>
                <w:bCs/>
                <w:color w:val="000000"/>
                <w:sz w:val="16"/>
                <w:szCs w:val="16"/>
              </w:rPr>
              <w:br/>
              <w:t>(4.8 - 7.1)</w:t>
            </w:r>
          </w:p>
        </w:tc>
      </w:tr>
      <w:tr w:rsidR="003A39BC" w:rsidRPr="00AF3A24" w14:paraId="48F39590" w14:textId="77777777" w:rsidTr="00203BC6">
        <w:tc>
          <w:tcPr>
            <w:tcW w:w="1418" w:type="dxa"/>
            <w:vMerge/>
            <w:shd w:val="clear" w:color="auto" w:fill="DAEEF3" w:themeFill="accent5" w:themeFillTint="33"/>
            <w:vAlign w:val="center"/>
          </w:tcPr>
          <w:p w14:paraId="7CCF8B3E" w14:textId="77777777" w:rsidR="003A39BC" w:rsidRPr="00AF3A24" w:rsidRDefault="003A39BC" w:rsidP="00203BC6">
            <w:pPr>
              <w:spacing w:before="0" w:line="240" w:lineRule="auto"/>
              <w:ind w:left="78"/>
              <w:jc w:val="left"/>
              <w:rPr>
                <w:rFonts w:asciiTheme="minorHAnsi" w:hAnsiTheme="minorHAnsi" w:cstheme="minorHAnsi"/>
                <w:sz w:val="16"/>
                <w:szCs w:val="18"/>
              </w:rPr>
            </w:pPr>
          </w:p>
        </w:tc>
        <w:tc>
          <w:tcPr>
            <w:tcW w:w="1134" w:type="dxa"/>
            <w:tcBorders>
              <w:top w:val="nil"/>
              <w:bottom w:val="nil"/>
            </w:tcBorders>
            <w:shd w:val="clear" w:color="auto" w:fill="DAEEF3" w:themeFill="accent5" w:themeFillTint="33"/>
            <w:vAlign w:val="center"/>
          </w:tcPr>
          <w:p w14:paraId="411DBB6A"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09" w:type="dxa"/>
            <w:tcBorders>
              <w:top w:val="nil"/>
              <w:bottom w:val="nil"/>
              <w:right w:val="nil"/>
            </w:tcBorders>
            <w:shd w:val="clear" w:color="auto" w:fill="DAEEF3" w:themeFill="accent5" w:themeFillTint="33"/>
            <w:vAlign w:val="center"/>
          </w:tcPr>
          <w:p w14:paraId="2CABAEF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1,209</w:t>
            </w:r>
          </w:p>
        </w:tc>
        <w:tc>
          <w:tcPr>
            <w:tcW w:w="1452" w:type="dxa"/>
            <w:tcBorders>
              <w:top w:val="nil"/>
              <w:left w:val="nil"/>
              <w:bottom w:val="nil"/>
              <w:right w:val="single" w:sz="4" w:space="0" w:color="auto"/>
            </w:tcBorders>
            <w:shd w:val="clear" w:color="auto" w:fill="DAEEF3" w:themeFill="accent5" w:themeFillTint="33"/>
            <w:vAlign w:val="center"/>
          </w:tcPr>
          <w:p w14:paraId="516340C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43.7</w:t>
            </w:r>
            <w:r w:rsidRPr="00AF3A24">
              <w:rPr>
                <w:rFonts w:asciiTheme="minorHAnsi" w:hAnsiTheme="minorHAnsi"/>
                <w:bCs/>
                <w:color w:val="000000"/>
                <w:sz w:val="16"/>
                <w:szCs w:val="16"/>
              </w:rPr>
              <w:br/>
              <w:t>(40.8 - 46.7)</w:t>
            </w:r>
          </w:p>
        </w:tc>
        <w:tc>
          <w:tcPr>
            <w:tcW w:w="674" w:type="dxa"/>
            <w:tcBorders>
              <w:top w:val="nil"/>
              <w:left w:val="nil"/>
              <w:bottom w:val="nil"/>
              <w:right w:val="nil"/>
            </w:tcBorders>
            <w:shd w:val="clear" w:color="auto" w:fill="DAEEF3" w:themeFill="accent5" w:themeFillTint="33"/>
            <w:vAlign w:val="center"/>
          </w:tcPr>
          <w:p w14:paraId="67B9A58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386</w:t>
            </w:r>
          </w:p>
        </w:tc>
        <w:tc>
          <w:tcPr>
            <w:tcW w:w="1488" w:type="dxa"/>
            <w:tcBorders>
              <w:top w:val="nil"/>
              <w:left w:val="nil"/>
              <w:bottom w:val="nil"/>
              <w:right w:val="single" w:sz="4" w:space="0" w:color="auto"/>
            </w:tcBorders>
            <w:shd w:val="clear" w:color="auto" w:fill="DAEEF3" w:themeFill="accent5" w:themeFillTint="33"/>
            <w:vAlign w:val="center"/>
          </w:tcPr>
          <w:p w14:paraId="580F261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13.9</w:t>
            </w:r>
            <w:r w:rsidRPr="00AF3A24">
              <w:rPr>
                <w:rFonts w:asciiTheme="minorHAnsi" w:hAnsiTheme="minorHAnsi"/>
                <w:bCs/>
                <w:color w:val="000000"/>
                <w:sz w:val="16"/>
                <w:szCs w:val="16"/>
              </w:rPr>
              <w:br/>
              <w:t>(11.7 - 16.0)</w:t>
            </w:r>
          </w:p>
        </w:tc>
        <w:tc>
          <w:tcPr>
            <w:tcW w:w="638" w:type="dxa"/>
            <w:tcBorders>
              <w:top w:val="nil"/>
              <w:left w:val="nil"/>
              <w:bottom w:val="nil"/>
              <w:right w:val="nil"/>
            </w:tcBorders>
            <w:shd w:val="clear" w:color="auto" w:fill="DAEEF3" w:themeFill="accent5" w:themeFillTint="33"/>
            <w:vAlign w:val="center"/>
          </w:tcPr>
          <w:p w14:paraId="5834631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193</w:t>
            </w:r>
          </w:p>
        </w:tc>
        <w:tc>
          <w:tcPr>
            <w:tcW w:w="1524" w:type="dxa"/>
            <w:tcBorders>
              <w:top w:val="nil"/>
              <w:left w:val="nil"/>
              <w:bottom w:val="nil"/>
              <w:right w:val="single" w:sz="4" w:space="0" w:color="auto"/>
            </w:tcBorders>
            <w:shd w:val="clear" w:color="auto" w:fill="DAEEF3" w:themeFill="accent5" w:themeFillTint="33"/>
            <w:vAlign w:val="center"/>
          </w:tcPr>
          <w:p w14:paraId="6CC97DE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r w:rsidRPr="00AF3A24">
              <w:rPr>
                <w:rFonts w:asciiTheme="minorHAnsi" w:hAnsiTheme="minorHAnsi"/>
                <w:bCs/>
                <w:color w:val="000000"/>
                <w:sz w:val="16"/>
                <w:szCs w:val="16"/>
              </w:rPr>
              <w:br/>
              <w:t>(5.6 - 8.5)</w:t>
            </w:r>
          </w:p>
        </w:tc>
        <w:tc>
          <w:tcPr>
            <w:tcW w:w="744" w:type="dxa"/>
            <w:tcBorders>
              <w:top w:val="nil"/>
              <w:left w:val="nil"/>
              <w:bottom w:val="nil"/>
              <w:right w:val="nil"/>
            </w:tcBorders>
            <w:shd w:val="clear" w:color="auto" w:fill="DAEEF3" w:themeFill="accent5" w:themeFillTint="33"/>
            <w:vAlign w:val="center"/>
          </w:tcPr>
          <w:p w14:paraId="08F01B5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176</w:t>
            </w:r>
          </w:p>
        </w:tc>
        <w:tc>
          <w:tcPr>
            <w:tcW w:w="1418" w:type="dxa"/>
            <w:tcBorders>
              <w:top w:val="nil"/>
              <w:left w:val="nil"/>
              <w:bottom w:val="nil"/>
              <w:right w:val="single" w:sz="8" w:space="0" w:color="auto"/>
            </w:tcBorders>
            <w:shd w:val="clear" w:color="auto" w:fill="DAEEF3" w:themeFill="accent5" w:themeFillTint="33"/>
            <w:vAlign w:val="center"/>
          </w:tcPr>
          <w:p w14:paraId="7E561F1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r w:rsidRPr="00AF3A24">
              <w:rPr>
                <w:rFonts w:asciiTheme="minorHAnsi" w:hAnsiTheme="minorHAnsi"/>
                <w:bCs/>
                <w:color w:val="000000"/>
                <w:sz w:val="16"/>
                <w:szCs w:val="16"/>
              </w:rPr>
              <w:br/>
              <w:t>(5.1 - 7.7)</w:t>
            </w:r>
          </w:p>
        </w:tc>
      </w:tr>
      <w:tr w:rsidR="003A39BC" w:rsidRPr="00AF3A24" w14:paraId="1DB20E00" w14:textId="77777777" w:rsidTr="00203BC6">
        <w:tc>
          <w:tcPr>
            <w:tcW w:w="1418" w:type="dxa"/>
            <w:vMerge/>
            <w:tcBorders>
              <w:bottom w:val="single" w:sz="4" w:space="0" w:color="auto"/>
            </w:tcBorders>
            <w:shd w:val="clear" w:color="auto" w:fill="DAEEF3" w:themeFill="accent5" w:themeFillTint="33"/>
            <w:vAlign w:val="center"/>
          </w:tcPr>
          <w:p w14:paraId="43BD97D8" w14:textId="77777777" w:rsidR="003A39BC" w:rsidRPr="00AF3A24" w:rsidRDefault="003A39BC" w:rsidP="00203BC6">
            <w:pPr>
              <w:spacing w:before="0" w:line="240" w:lineRule="auto"/>
              <w:ind w:left="78"/>
              <w:jc w:val="left"/>
              <w:rPr>
                <w:rFonts w:asciiTheme="minorHAnsi" w:hAnsiTheme="minorHAnsi" w:cstheme="minorHAnsi"/>
                <w:sz w:val="16"/>
                <w:szCs w:val="18"/>
              </w:rPr>
            </w:pPr>
          </w:p>
        </w:tc>
        <w:tc>
          <w:tcPr>
            <w:tcW w:w="1134" w:type="dxa"/>
            <w:tcBorders>
              <w:top w:val="nil"/>
              <w:bottom w:val="single" w:sz="4" w:space="0" w:color="auto"/>
            </w:tcBorders>
            <w:shd w:val="clear" w:color="auto" w:fill="DAEEF3" w:themeFill="accent5" w:themeFillTint="33"/>
            <w:vAlign w:val="center"/>
          </w:tcPr>
          <w:p w14:paraId="5B770DD6"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09" w:type="dxa"/>
            <w:tcBorders>
              <w:top w:val="nil"/>
              <w:bottom w:val="single" w:sz="4" w:space="0" w:color="auto"/>
              <w:right w:val="nil"/>
            </w:tcBorders>
            <w:shd w:val="clear" w:color="auto" w:fill="DAEEF3" w:themeFill="accent5" w:themeFillTint="33"/>
            <w:vAlign w:val="center"/>
          </w:tcPr>
          <w:p w14:paraId="015AB8D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1,425</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1070D6E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39.5</w:t>
            </w:r>
            <w:r w:rsidRPr="00AF3A24">
              <w:rPr>
                <w:rFonts w:asciiTheme="minorHAnsi" w:hAnsiTheme="minorHAnsi"/>
                <w:bCs/>
                <w:color w:val="000000"/>
                <w:sz w:val="16"/>
                <w:szCs w:val="16"/>
              </w:rPr>
              <w:br/>
              <w:t>(36.7 - 42.2)</w:t>
            </w:r>
          </w:p>
        </w:tc>
        <w:tc>
          <w:tcPr>
            <w:tcW w:w="674" w:type="dxa"/>
            <w:tcBorders>
              <w:top w:val="nil"/>
              <w:left w:val="nil"/>
              <w:bottom w:val="single" w:sz="4" w:space="0" w:color="auto"/>
              <w:right w:val="nil"/>
            </w:tcBorders>
            <w:shd w:val="clear" w:color="auto" w:fill="DAEEF3" w:themeFill="accent5" w:themeFillTint="33"/>
            <w:vAlign w:val="center"/>
          </w:tcPr>
          <w:p w14:paraId="53F0755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459</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4AD27CC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14.1</w:t>
            </w:r>
            <w:r w:rsidRPr="00AF3A24">
              <w:rPr>
                <w:rFonts w:asciiTheme="minorHAnsi" w:hAnsiTheme="minorHAnsi"/>
                <w:bCs/>
                <w:color w:val="000000"/>
                <w:sz w:val="16"/>
                <w:szCs w:val="16"/>
              </w:rPr>
              <w:br/>
              <w:t>(12.2 - 16.0)</w:t>
            </w:r>
          </w:p>
        </w:tc>
        <w:tc>
          <w:tcPr>
            <w:tcW w:w="638" w:type="dxa"/>
            <w:tcBorders>
              <w:top w:val="nil"/>
              <w:left w:val="nil"/>
              <w:bottom w:val="single" w:sz="4" w:space="0" w:color="auto"/>
              <w:right w:val="nil"/>
            </w:tcBorders>
            <w:shd w:val="clear" w:color="auto" w:fill="DAEEF3" w:themeFill="accent5" w:themeFillTint="33"/>
            <w:vAlign w:val="center"/>
          </w:tcPr>
          <w:p w14:paraId="0809011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245</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5C7B5DF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7.2</w:t>
            </w:r>
            <w:r w:rsidRPr="00AF3A24">
              <w:rPr>
                <w:rFonts w:asciiTheme="minorHAnsi" w:hAnsiTheme="minorHAnsi"/>
                <w:bCs/>
                <w:color w:val="000000"/>
                <w:sz w:val="16"/>
                <w:szCs w:val="16"/>
              </w:rPr>
              <w:br/>
              <w:t>(6.0 - 8.4)</w:t>
            </w:r>
          </w:p>
        </w:tc>
        <w:tc>
          <w:tcPr>
            <w:tcW w:w="744" w:type="dxa"/>
            <w:tcBorders>
              <w:top w:val="nil"/>
              <w:left w:val="nil"/>
              <w:bottom w:val="single" w:sz="4" w:space="0" w:color="auto"/>
              <w:right w:val="nil"/>
            </w:tcBorders>
            <w:shd w:val="clear" w:color="auto" w:fill="DAEEF3" w:themeFill="accent5" w:themeFillTint="33"/>
            <w:vAlign w:val="center"/>
          </w:tcPr>
          <w:p w14:paraId="03D0B6A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169</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78FD04E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r w:rsidRPr="00AF3A24">
              <w:rPr>
                <w:rFonts w:asciiTheme="minorHAnsi" w:hAnsiTheme="minorHAnsi"/>
                <w:bCs/>
                <w:color w:val="000000"/>
                <w:sz w:val="16"/>
                <w:szCs w:val="16"/>
              </w:rPr>
              <w:br/>
              <w:t>(3.8 - 5.9)</w:t>
            </w:r>
          </w:p>
        </w:tc>
      </w:tr>
      <w:tr w:rsidR="003A39BC" w:rsidRPr="00AF3A24" w14:paraId="63ADE6A8" w14:textId="77777777" w:rsidTr="00203BC6">
        <w:tc>
          <w:tcPr>
            <w:tcW w:w="1418" w:type="dxa"/>
            <w:vMerge w:val="restart"/>
            <w:tcBorders>
              <w:top w:val="single" w:sz="4" w:space="0" w:color="auto"/>
            </w:tcBorders>
            <w:shd w:val="clear" w:color="auto" w:fill="DAEEF3" w:themeFill="accent5" w:themeFillTint="33"/>
            <w:vAlign w:val="center"/>
          </w:tcPr>
          <w:p w14:paraId="52CFE80C" w14:textId="77777777" w:rsidR="003A39BC" w:rsidRPr="00AF3A24" w:rsidRDefault="003A39BC" w:rsidP="00203BC6">
            <w:pPr>
              <w:spacing w:before="0" w:line="240" w:lineRule="auto"/>
              <w:ind w:left="33"/>
              <w:jc w:val="left"/>
              <w:rPr>
                <w:rFonts w:asciiTheme="minorHAnsi" w:hAnsiTheme="minorHAnsi" w:cstheme="minorHAnsi"/>
                <w:sz w:val="16"/>
                <w:szCs w:val="18"/>
              </w:rPr>
            </w:pPr>
            <w:r w:rsidRPr="00AF3A24">
              <w:rPr>
                <w:rFonts w:asciiTheme="minorHAnsi" w:hAnsiTheme="minorHAnsi" w:cstheme="minorHAnsi"/>
                <w:sz w:val="16"/>
                <w:szCs w:val="18"/>
              </w:rPr>
              <w:t>By Geography</w:t>
            </w:r>
          </w:p>
        </w:tc>
        <w:tc>
          <w:tcPr>
            <w:tcW w:w="1134" w:type="dxa"/>
            <w:tcBorders>
              <w:top w:val="single" w:sz="4" w:space="0" w:color="auto"/>
              <w:bottom w:val="nil"/>
            </w:tcBorders>
            <w:shd w:val="clear" w:color="auto" w:fill="DAEEF3" w:themeFill="accent5" w:themeFillTint="33"/>
            <w:vAlign w:val="center"/>
          </w:tcPr>
          <w:p w14:paraId="0D05EA3B"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09" w:type="dxa"/>
            <w:tcBorders>
              <w:bottom w:val="nil"/>
              <w:right w:val="nil"/>
            </w:tcBorders>
            <w:shd w:val="clear" w:color="auto" w:fill="DAEEF3" w:themeFill="accent5" w:themeFillTint="33"/>
            <w:vAlign w:val="center"/>
          </w:tcPr>
          <w:p w14:paraId="36F7930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574</w:t>
            </w:r>
          </w:p>
        </w:tc>
        <w:tc>
          <w:tcPr>
            <w:tcW w:w="1452" w:type="dxa"/>
            <w:tcBorders>
              <w:left w:val="nil"/>
              <w:bottom w:val="nil"/>
              <w:right w:val="single" w:sz="4" w:space="0" w:color="auto"/>
            </w:tcBorders>
            <w:shd w:val="clear" w:color="auto" w:fill="DAEEF3" w:themeFill="accent5" w:themeFillTint="33"/>
            <w:vAlign w:val="center"/>
          </w:tcPr>
          <w:p w14:paraId="52D14DB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w:t>
            </w:r>
            <w:r w:rsidRPr="00AF3A24">
              <w:rPr>
                <w:rFonts w:asciiTheme="minorHAnsi" w:hAnsiTheme="minorHAnsi"/>
                <w:bCs/>
                <w:color w:val="000000"/>
                <w:sz w:val="16"/>
                <w:szCs w:val="16"/>
              </w:rPr>
              <w:br/>
              <w:t>(43.1 - 52.3)</w:t>
            </w:r>
          </w:p>
        </w:tc>
        <w:tc>
          <w:tcPr>
            <w:tcW w:w="674" w:type="dxa"/>
            <w:tcBorders>
              <w:left w:val="nil"/>
              <w:bottom w:val="nil"/>
              <w:right w:val="nil"/>
            </w:tcBorders>
            <w:shd w:val="clear" w:color="auto" w:fill="DAEEF3" w:themeFill="accent5" w:themeFillTint="33"/>
            <w:vAlign w:val="center"/>
          </w:tcPr>
          <w:p w14:paraId="429F1FD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141</w:t>
            </w:r>
          </w:p>
        </w:tc>
        <w:tc>
          <w:tcPr>
            <w:tcW w:w="1488" w:type="dxa"/>
            <w:tcBorders>
              <w:left w:val="nil"/>
              <w:bottom w:val="nil"/>
              <w:right w:val="single" w:sz="4" w:space="0" w:color="auto"/>
            </w:tcBorders>
            <w:shd w:val="clear" w:color="auto" w:fill="DAEEF3" w:themeFill="accent5" w:themeFillTint="33"/>
            <w:vAlign w:val="center"/>
          </w:tcPr>
          <w:p w14:paraId="6D95B4C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12.8</w:t>
            </w:r>
            <w:r w:rsidRPr="00AF3A24">
              <w:rPr>
                <w:rFonts w:asciiTheme="minorHAnsi" w:hAnsiTheme="minorHAnsi"/>
                <w:bCs/>
                <w:color w:val="000000"/>
                <w:sz w:val="16"/>
                <w:szCs w:val="16"/>
              </w:rPr>
              <w:br/>
              <w:t>(10.0 - 15.6)</w:t>
            </w:r>
          </w:p>
        </w:tc>
        <w:tc>
          <w:tcPr>
            <w:tcW w:w="638" w:type="dxa"/>
            <w:tcBorders>
              <w:left w:val="nil"/>
              <w:bottom w:val="nil"/>
              <w:right w:val="nil"/>
            </w:tcBorders>
            <w:shd w:val="clear" w:color="auto" w:fill="DAEEF3" w:themeFill="accent5" w:themeFillTint="33"/>
            <w:vAlign w:val="center"/>
          </w:tcPr>
          <w:p w14:paraId="2345142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w:t>
            </w:r>
          </w:p>
        </w:tc>
        <w:tc>
          <w:tcPr>
            <w:tcW w:w="1524" w:type="dxa"/>
            <w:tcBorders>
              <w:left w:val="nil"/>
              <w:bottom w:val="nil"/>
              <w:right w:val="single" w:sz="4" w:space="0" w:color="auto"/>
            </w:tcBorders>
            <w:shd w:val="clear" w:color="auto" w:fill="DAEEF3" w:themeFill="accent5" w:themeFillTint="33"/>
            <w:vAlign w:val="center"/>
          </w:tcPr>
          <w:p w14:paraId="2C23F31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r w:rsidRPr="00AF3A24">
              <w:rPr>
                <w:rFonts w:asciiTheme="minorHAnsi" w:hAnsiTheme="minorHAnsi"/>
                <w:bCs/>
                <w:color w:val="000000"/>
                <w:sz w:val="16"/>
                <w:szCs w:val="16"/>
              </w:rPr>
              <w:br/>
              <w:t>(3.2 - 6.2)</w:t>
            </w:r>
          </w:p>
        </w:tc>
        <w:tc>
          <w:tcPr>
            <w:tcW w:w="744" w:type="dxa"/>
            <w:tcBorders>
              <w:left w:val="nil"/>
              <w:bottom w:val="nil"/>
              <w:right w:val="nil"/>
            </w:tcBorders>
            <w:shd w:val="clear" w:color="auto" w:fill="DAEEF3" w:themeFill="accent5" w:themeFillTint="33"/>
            <w:vAlign w:val="center"/>
          </w:tcPr>
          <w:p w14:paraId="7A32878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68</w:t>
            </w:r>
          </w:p>
        </w:tc>
        <w:tc>
          <w:tcPr>
            <w:tcW w:w="1418" w:type="dxa"/>
            <w:tcBorders>
              <w:left w:val="nil"/>
              <w:bottom w:val="nil"/>
              <w:right w:val="single" w:sz="8" w:space="0" w:color="auto"/>
            </w:tcBorders>
            <w:shd w:val="clear" w:color="auto" w:fill="DAEEF3" w:themeFill="accent5" w:themeFillTint="33"/>
            <w:vAlign w:val="center"/>
          </w:tcPr>
          <w:p w14:paraId="7F86711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r w:rsidRPr="00AF3A24">
              <w:rPr>
                <w:rFonts w:asciiTheme="minorHAnsi" w:hAnsiTheme="minorHAnsi"/>
                <w:bCs/>
                <w:color w:val="000000"/>
                <w:sz w:val="16"/>
                <w:szCs w:val="16"/>
              </w:rPr>
              <w:br/>
              <w:t>(4.4 - 8.5)</w:t>
            </w:r>
          </w:p>
        </w:tc>
      </w:tr>
      <w:tr w:rsidR="003A39BC" w:rsidRPr="00AF3A24" w14:paraId="6CE7ADC9" w14:textId="77777777" w:rsidTr="00203BC6">
        <w:tc>
          <w:tcPr>
            <w:tcW w:w="1418" w:type="dxa"/>
            <w:vMerge/>
            <w:tcBorders>
              <w:bottom w:val="single" w:sz="4" w:space="0" w:color="auto"/>
            </w:tcBorders>
            <w:shd w:val="clear" w:color="auto" w:fill="DAEEF3" w:themeFill="accent5" w:themeFillTint="33"/>
          </w:tcPr>
          <w:p w14:paraId="2176B0BF" w14:textId="77777777" w:rsidR="003A39BC" w:rsidRPr="00AF3A24" w:rsidRDefault="003A39BC" w:rsidP="00203BC6">
            <w:pPr>
              <w:spacing w:before="0" w:line="240" w:lineRule="auto"/>
              <w:ind w:left="78"/>
              <w:jc w:val="center"/>
              <w:rPr>
                <w:rFonts w:asciiTheme="minorHAnsi" w:hAnsiTheme="minorHAnsi" w:cstheme="minorHAnsi"/>
                <w:sz w:val="18"/>
                <w:szCs w:val="18"/>
              </w:rPr>
            </w:pPr>
          </w:p>
        </w:tc>
        <w:tc>
          <w:tcPr>
            <w:tcW w:w="1134" w:type="dxa"/>
            <w:tcBorders>
              <w:top w:val="nil"/>
              <w:bottom w:val="single" w:sz="4" w:space="0" w:color="auto"/>
            </w:tcBorders>
            <w:shd w:val="clear" w:color="auto" w:fill="DAEEF3" w:themeFill="accent5" w:themeFillTint="33"/>
            <w:vAlign w:val="center"/>
          </w:tcPr>
          <w:p w14:paraId="61675093"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09" w:type="dxa"/>
            <w:tcBorders>
              <w:top w:val="nil"/>
              <w:bottom w:val="single" w:sz="4" w:space="0" w:color="auto"/>
              <w:right w:val="nil"/>
            </w:tcBorders>
            <w:shd w:val="clear" w:color="auto" w:fill="DAEEF3" w:themeFill="accent5" w:themeFillTint="33"/>
            <w:vAlign w:val="center"/>
          </w:tcPr>
          <w:p w14:paraId="538AF24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5,102</w:t>
            </w:r>
          </w:p>
        </w:tc>
        <w:tc>
          <w:tcPr>
            <w:tcW w:w="1452" w:type="dxa"/>
            <w:tcBorders>
              <w:top w:val="nil"/>
              <w:left w:val="nil"/>
              <w:bottom w:val="single" w:sz="4" w:space="0" w:color="auto"/>
              <w:right w:val="single" w:sz="4" w:space="0" w:color="auto"/>
            </w:tcBorders>
            <w:shd w:val="clear" w:color="auto" w:fill="DAEEF3" w:themeFill="accent5" w:themeFillTint="33"/>
            <w:vAlign w:val="center"/>
          </w:tcPr>
          <w:p w14:paraId="147DE76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44.9</w:t>
            </w:r>
            <w:r w:rsidRPr="00AF3A24">
              <w:rPr>
                <w:rFonts w:asciiTheme="minorHAnsi" w:hAnsiTheme="minorHAnsi"/>
                <w:bCs/>
                <w:color w:val="000000"/>
                <w:sz w:val="16"/>
                <w:szCs w:val="16"/>
              </w:rPr>
              <w:br/>
              <w:t>(43.4 - 46.5)</w:t>
            </w:r>
          </w:p>
        </w:tc>
        <w:tc>
          <w:tcPr>
            <w:tcW w:w="674" w:type="dxa"/>
            <w:tcBorders>
              <w:top w:val="nil"/>
              <w:left w:val="nil"/>
              <w:bottom w:val="single" w:sz="4" w:space="0" w:color="auto"/>
              <w:right w:val="nil"/>
            </w:tcBorders>
            <w:shd w:val="clear" w:color="auto" w:fill="DAEEF3" w:themeFill="accent5" w:themeFillTint="33"/>
            <w:vAlign w:val="center"/>
          </w:tcPr>
          <w:p w14:paraId="3D22870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1,531</w:t>
            </w:r>
          </w:p>
        </w:tc>
        <w:tc>
          <w:tcPr>
            <w:tcW w:w="1488" w:type="dxa"/>
            <w:tcBorders>
              <w:top w:val="nil"/>
              <w:left w:val="nil"/>
              <w:bottom w:val="single" w:sz="4" w:space="0" w:color="auto"/>
              <w:right w:val="single" w:sz="4" w:space="0" w:color="auto"/>
            </w:tcBorders>
            <w:shd w:val="clear" w:color="auto" w:fill="DAEEF3" w:themeFill="accent5" w:themeFillTint="33"/>
            <w:vAlign w:val="center"/>
          </w:tcPr>
          <w:p w14:paraId="70A2C4A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13.7</w:t>
            </w:r>
            <w:r w:rsidRPr="00AF3A24">
              <w:rPr>
                <w:rFonts w:asciiTheme="minorHAnsi" w:hAnsiTheme="minorHAnsi"/>
                <w:bCs/>
                <w:color w:val="000000"/>
                <w:sz w:val="16"/>
                <w:szCs w:val="16"/>
              </w:rPr>
              <w:br/>
              <w:t>(12.7 - 14.7)</w:t>
            </w:r>
          </w:p>
        </w:tc>
        <w:tc>
          <w:tcPr>
            <w:tcW w:w="638" w:type="dxa"/>
            <w:tcBorders>
              <w:top w:val="nil"/>
              <w:left w:val="nil"/>
              <w:bottom w:val="single" w:sz="4" w:space="0" w:color="auto"/>
              <w:right w:val="nil"/>
            </w:tcBorders>
            <w:shd w:val="clear" w:color="auto" w:fill="DAEEF3" w:themeFill="accent5" w:themeFillTint="33"/>
            <w:vAlign w:val="center"/>
          </w:tcPr>
          <w:p w14:paraId="2F5EFB7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741</w:t>
            </w:r>
          </w:p>
        </w:tc>
        <w:tc>
          <w:tcPr>
            <w:tcW w:w="1524" w:type="dxa"/>
            <w:tcBorders>
              <w:top w:val="nil"/>
              <w:left w:val="nil"/>
              <w:bottom w:val="single" w:sz="4" w:space="0" w:color="auto"/>
              <w:right w:val="single" w:sz="4" w:space="0" w:color="auto"/>
            </w:tcBorders>
            <w:shd w:val="clear" w:color="auto" w:fill="DAEEF3" w:themeFill="accent5" w:themeFillTint="33"/>
            <w:vAlign w:val="center"/>
          </w:tcPr>
          <w:p w14:paraId="69E27C2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w:t>
            </w:r>
            <w:r w:rsidRPr="00AF3A24">
              <w:rPr>
                <w:rFonts w:asciiTheme="minorHAnsi" w:hAnsiTheme="minorHAnsi"/>
                <w:bCs/>
                <w:color w:val="000000"/>
                <w:sz w:val="16"/>
                <w:szCs w:val="16"/>
              </w:rPr>
              <w:br/>
              <w:t>(5.6 - 6.9)</w:t>
            </w:r>
          </w:p>
        </w:tc>
        <w:tc>
          <w:tcPr>
            <w:tcW w:w="744" w:type="dxa"/>
            <w:tcBorders>
              <w:top w:val="nil"/>
              <w:left w:val="nil"/>
              <w:bottom w:val="single" w:sz="4" w:space="0" w:color="auto"/>
              <w:right w:val="nil"/>
            </w:tcBorders>
            <w:shd w:val="clear" w:color="auto" w:fill="DAEEF3" w:themeFill="accent5" w:themeFillTint="33"/>
            <w:vAlign w:val="center"/>
          </w:tcPr>
          <w:p w14:paraId="30C2595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678</w:t>
            </w:r>
          </w:p>
        </w:tc>
        <w:tc>
          <w:tcPr>
            <w:tcW w:w="1418" w:type="dxa"/>
            <w:tcBorders>
              <w:top w:val="nil"/>
              <w:left w:val="nil"/>
              <w:bottom w:val="single" w:sz="4" w:space="0" w:color="auto"/>
              <w:right w:val="single" w:sz="8" w:space="0" w:color="auto"/>
            </w:tcBorders>
            <w:shd w:val="clear" w:color="auto" w:fill="DAEEF3" w:themeFill="accent5" w:themeFillTint="33"/>
            <w:vAlign w:val="center"/>
          </w:tcPr>
          <w:p w14:paraId="2AE9F84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w:t>
            </w:r>
            <w:r w:rsidRPr="00AF3A24">
              <w:rPr>
                <w:rFonts w:asciiTheme="minorHAnsi" w:hAnsiTheme="minorHAnsi"/>
                <w:bCs/>
                <w:color w:val="000000"/>
                <w:sz w:val="16"/>
                <w:szCs w:val="16"/>
              </w:rPr>
              <w:br/>
              <w:t>(5.4 - 6.6)</w:t>
            </w:r>
          </w:p>
        </w:tc>
      </w:tr>
    </w:tbl>
    <w:p w14:paraId="0F02F5FA" w14:textId="77777777" w:rsidR="003A39BC" w:rsidRPr="00AF3A24" w:rsidRDefault="003A39BC" w:rsidP="003A39BC">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7FA33854" w14:textId="77777777" w:rsidR="003A39BC" w:rsidRDefault="003A39BC" w:rsidP="00942B22">
      <w:pPr>
        <w:pStyle w:val="ListParagraph"/>
        <w:numPr>
          <w:ilvl w:val="0"/>
          <w:numId w:val="10"/>
        </w:numPr>
        <w:spacing w:line="240" w:lineRule="auto"/>
        <w:ind w:left="0"/>
        <w:rPr>
          <w:rFonts w:asciiTheme="minorHAnsi" w:hAnsiTheme="minorHAnsi" w:cstheme="minorHAnsi"/>
          <w:sz w:val="16"/>
        </w:rPr>
      </w:pPr>
      <w:r w:rsidRPr="00AF3A24">
        <w:rPr>
          <w:rFonts w:asciiTheme="minorHAnsi" w:hAnsiTheme="minorHAnsi" w:cstheme="minorHAnsi"/>
          <w:sz w:val="16"/>
        </w:rPr>
        <w:t>Due to small cell sizes Lotto includes ‘Strike</w:t>
      </w:r>
      <w:r w:rsidR="00EE3754">
        <w:rPr>
          <w:rFonts w:asciiTheme="minorHAnsi" w:hAnsiTheme="minorHAnsi" w:cstheme="minorHAnsi"/>
          <w:sz w:val="16"/>
        </w:rPr>
        <w:t>’, ‘Powerball’, and ‘Big Wednesday’</w:t>
      </w:r>
      <w:r w:rsidRPr="00AF3A24">
        <w:rPr>
          <w:rFonts w:asciiTheme="minorHAnsi" w:hAnsiTheme="minorHAnsi" w:cstheme="minorHAnsi"/>
          <w:sz w:val="16"/>
        </w:rPr>
        <w:t>.</w:t>
      </w:r>
    </w:p>
    <w:p w14:paraId="33B4FDC8" w14:textId="77777777" w:rsidR="00B26F2F" w:rsidRPr="00B26F2F" w:rsidRDefault="00B26F2F" w:rsidP="00942B22">
      <w:pPr>
        <w:pStyle w:val="ListParagraph"/>
        <w:numPr>
          <w:ilvl w:val="0"/>
          <w:numId w:val="10"/>
        </w:numPr>
        <w:spacing w:line="240" w:lineRule="auto"/>
        <w:ind w:left="0"/>
        <w:rPr>
          <w:rFonts w:asciiTheme="minorHAnsi" w:hAnsiTheme="minorHAnsi" w:cstheme="minorHAnsi"/>
          <w:sz w:val="16"/>
        </w:rPr>
      </w:pPr>
      <w:r w:rsidRPr="00B26F2F">
        <w:rPr>
          <w:rFonts w:asciiTheme="minorHAnsi" w:hAnsiTheme="minorHAnsi" w:cstheme="minorHAnsi"/>
          <w:sz w:val="16"/>
        </w:rPr>
        <w:t xml:space="preserve">Analyses were undertaken to report past-year participation on these activities for minors (i.e. those aged 19 or less).  Resulting denominators were &lt;30.  </w:t>
      </w:r>
    </w:p>
    <w:p w14:paraId="4178A085" w14:textId="77777777" w:rsidR="003A39BC" w:rsidRPr="00AF3A24" w:rsidRDefault="003A39BC" w:rsidP="003A39BC">
      <w:pPr>
        <w:spacing w:line="240" w:lineRule="auto"/>
        <w:rPr>
          <w:rFonts w:asciiTheme="minorHAnsi" w:hAnsiTheme="minorHAnsi" w:cstheme="minorHAnsi"/>
          <w:sz w:val="18"/>
        </w:rPr>
      </w:pPr>
    </w:p>
    <w:p w14:paraId="4BB2F75E" w14:textId="77777777" w:rsidR="003A39BC" w:rsidRPr="00AF3A24" w:rsidRDefault="003A39BC" w:rsidP="003A39BC">
      <w:pPr>
        <w:spacing w:before="0" w:after="200" w:line="276" w:lineRule="auto"/>
        <w:jc w:val="left"/>
        <w:rPr>
          <w:rFonts w:asciiTheme="minorHAnsi" w:hAnsiTheme="minorHAnsi" w:cstheme="minorHAnsi"/>
          <w:sz w:val="18"/>
        </w:rPr>
      </w:pPr>
      <w:r w:rsidRPr="00AF3A24">
        <w:rPr>
          <w:rFonts w:asciiTheme="minorHAnsi" w:hAnsiTheme="minorHAnsi" w:cstheme="minorHAnsi"/>
          <w:sz w:val="18"/>
        </w:rPr>
        <w:br w:type="page"/>
      </w:r>
    </w:p>
    <w:p w14:paraId="2BC89DF4" w14:textId="77777777" w:rsidR="003A39BC" w:rsidRPr="00AF3A24" w:rsidRDefault="003A39BC" w:rsidP="003A39BC">
      <w:pPr>
        <w:spacing w:line="240" w:lineRule="auto"/>
        <w:rPr>
          <w:rFonts w:asciiTheme="minorHAnsi" w:hAnsiTheme="minorHAnsi" w:cstheme="minorHAnsi"/>
          <w:sz w:val="18"/>
        </w:rPr>
      </w:pPr>
    </w:p>
    <w:tbl>
      <w:tblPr>
        <w:tblStyle w:val="TableGrid"/>
        <w:tblW w:w="11199" w:type="dxa"/>
        <w:tblInd w:w="-459" w:type="dxa"/>
        <w:tblLayout w:type="fixed"/>
        <w:tblLook w:val="04A0" w:firstRow="1" w:lastRow="0" w:firstColumn="1" w:lastColumn="0" w:noHBand="0" w:noVBand="1"/>
      </w:tblPr>
      <w:tblGrid>
        <w:gridCol w:w="1435"/>
        <w:gridCol w:w="1117"/>
        <w:gridCol w:w="709"/>
        <w:gridCol w:w="1417"/>
        <w:gridCol w:w="709"/>
        <w:gridCol w:w="1417"/>
        <w:gridCol w:w="709"/>
        <w:gridCol w:w="1559"/>
        <w:gridCol w:w="709"/>
        <w:gridCol w:w="1418"/>
      </w:tblGrid>
      <w:tr w:rsidR="003A39BC" w:rsidRPr="00AF3A24" w14:paraId="0356B744" w14:textId="77777777" w:rsidTr="00203BC6">
        <w:trPr>
          <w:trHeight w:val="386"/>
        </w:trPr>
        <w:tc>
          <w:tcPr>
            <w:tcW w:w="2552" w:type="dxa"/>
            <w:gridSpan w:val="2"/>
            <w:vMerge w:val="restart"/>
            <w:shd w:val="clear" w:color="auto" w:fill="92CDDC" w:themeFill="accent5" w:themeFillTint="99"/>
          </w:tcPr>
          <w:p w14:paraId="4A605416"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8647" w:type="dxa"/>
            <w:gridSpan w:val="8"/>
            <w:tcBorders>
              <w:bottom w:val="single" w:sz="4" w:space="0" w:color="auto"/>
              <w:right w:val="single" w:sz="8" w:space="0" w:color="auto"/>
            </w:tcBorders>
            <w:shd w:val="clear" w:color="auto" w:fill="92CDDC" w:themeFill="accent5" w:themeFillTint="99"/>
            <w:vAlign w:val="center"/>
          </w:tcPr>
          <w:p w14:paraId="6C869D8A"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ACTIVITY – PAST YEAR PARTICIPATION (CONTINUED)</w:t>
            </w:r>
          </w:p>
        </w:tc>
      </w:tr>
      <w:tr w:rsidR="003A39BC" w:rsidRPr="00AF3A24" w14:paraId="55190D99" w14:textId="77777777" w:rsidTr="00203BC6">
        <w:trPr>
          <w:trHeight w:val="386"/>
        </w:trPr>
        <w:tc>
          <w:tcPr>
            <w:tcW w:w="2552" w:type="dxa"/>
            <w:gridSpan w:val="2"/>
            <w:vMerge/>
            <w:shd w:val="clear" w:color="auto" w:fill="92CDDC" w:themeFill="accent5" w:themeFillTint="99"/>
          </w:tcPr>
          <w:p w14:paraId="30C15032"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2126" w:type="dxa"/>
            <w:gridSpan w:val="2"/>
            <w:tcBorders>
              <w:bottom w:val="single" w:sz="4" w:space="0" w:color="auto"/>
            </w:tcBorders>
            <w:shd w:val="clear" w:color="auto" w:fill="92CDDC" w:themeFill="accent5" w:themeFillTint="99"/>
            <w:vAlign w:val="center"/>
          </w:tcPr>
          <w:p w14:paraId="032E5341" w14:textId="77777777" w:rsidR="003A39BC" w:rsidRPr="00AF3A24" w:rsidRDefault="003A39BC" w:rsidP="00643D4B">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Casi</w:t>
            </w:r>
            <w:r w:rsidR="00643D4B">
              <w:rPr>
                <w:rFonts w:asciiTheme="minorHAnsi" w:hAnsiTheme="minorHAnsi" w:cstheme="minorHAnsi"/>
                <w:b/>
                <w:sz w:val="18"/>
                <w:szCs w:val="18"/>
              </w:rPr>
              <w:t>no gam</w:t>
            </w:r>
            <w:r w:rsidRPr="00AF3A24">
              <w:rPr>
                <w:rFonts w:asciiTheme="minorHAnsi" w:hAnsiTheme="minorHAnsi" w:cstheme="minorHAnsi"/>
                <w:b/>
                <w:sz w:val="18"/>
                <w:szCs w:val="18"/>
              </w:rPr>
              <w:t>ing machines</w:t>
            </w:r>
          </w:p>
        </w:tc>
        <w:tc>
          <w:tcPr>
            <w:tcW w:w="2126" w:type="dxa"/>
            <w:gridSpan w:val="2"/>
            <w:tcBorders>
              <w:bottom w:val="single" w:sz="4" w:space="0" w:color="auto"/>
            </w:tcBorders>
            <w:shd w:val="clear" w:color="auto" w:fill="92CDDC" w:themeFill="accent5" w:themeFillTint="99"/>
            <w:vAlign w:val="center"/>
          </w:tcPr>
          <w:p w14:paraId="233C83DC"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Sports betting</w:t>
            </w:r>
          </w:p>
        </w:tc>
        <w:tc>
          <w:tcPr>
            <w:tcW w:w="2268" w:type="dxa"/>
            <w:gridSpan w:val="2"/>
            <w:tcBorders>
              <w:bottom w:val="single" w:sz="4" w:space="0" w:color="auto"/>
            </w:tcBorders>
            <w:shd w:val="clear" w:color="auto" w:fill="92CDDC" w:themeFill="accent5" w:themeFillTint="99"/>
            <w:vAlign w:val="center"/>
          </w:tcPr>
          <w:p w14:paraId="639B5EF2"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Casino tables</w:t>
            </w:r>
          </w:p>
        </w:tc>
        <w:tc>
          <w:tcPr>
            <w:tcW w:w="2127" w:type="dxa"/>
            <w:gridSpan w:val="2"/>
            <w:tcBorders>
              <w:bottom w:val="single" w:sz="4" w:space="0" w:color="auto"/>
            </w:tcBorders>
            <w:shd w:val="clear" w:color="auto" w:fill="92CDDC" w:themeFill="accent5" w:themeFillTint="99"/>
            <w:vAlign w:val="center"/>
          </w:tcPr>
          <w:p w14:paraId="5A965A74"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Other form of gambling (including Internet-based gambling)</w:t>
            </w:r>
          </w:p>
        </w:tc>
      </w:tr>
      <w:tr w:rsidR="003A39BC" w:rsidRPr="00AF3A24" w14:paraId="6CB03932" w14:textId="77777777" w:rsidTr="00203BC6">
        <w:trPr>
          <w:trHeight w:val="386"/>
        </w:trPr>
        <w:tc>
          <w:tcPr>
            <w:tcW w:w="2552" w:type="dxa"/>
            <w:gridSpan w:val="2"/>
            <w:vMerge/>
            <w:tcBorders>
              <w:bottom w:val="single" w:sz="4" w:space="0" w:color="auto"/>
            </w:tcBorders>
            <w:shd w:val="clear" w:color="auto" w:fill="92CDDC" w:themeFill="accent5" w:themeFillTint="99"/>
          </w:tcPr>
          <w:p w14:paraId="3D2B9148" w14:textId="77777777" w:rsidR="003A39BC" w:rsidRPr="00AF3A24" w:rsidRDefault="003A39BC" w:rsidP="00203BC6">
            <w:pPr>
              <w:spacing w:before="0" w:line="240" w:lineRule="auto"/>
              <w:jc w:val="left"/>
              <w:rPr>
                <w:rFonts w:asciiTheme="minorHAnsi" w:hAnsiTheme="minorHAnsi" w:cstheme="minorHAnsi"/>
                <w:b/>
                <w:sz w:val="18"/>
                <w:szCs w:val="18"/>
              </w:rPr>
            </w:pPr>
          </w:p>
        </w:tc>
        <w:tc>
          <w:tcPr>
            <w:tcW w:w="709" w:type="dxa"/>
            <w:tcBorders>
              <w:bottom w:val="single" w:sz="4" w:space="0" w:color="auto"/>
            </w:tcBorders>
            <w:shd w:val="clear" w:color="auto" w:fill="92CDDC" w:themeFill="accent5" w:themeFillTint="99"/>
            <w:vAlign w:val="center"/>
          </w:tcPr>
          <w:p w14:paraId="4B7143CF" w14:textId="77777777" w:rsidR="003A39BC" w:rsidRPr="00AF3A24" w:rsidRDefault="003A39BC" w:rsidP="00203BC6">
            <w:pPr>
              <w:spacing w:before="0" w:line="240" w:lineRule="auto"/>
              <w:jc w:val="center"/>
              <w:rPr>
                <w:rFonts w:asciiTheme="minorHAnsi" w:hAnsiTheme="minorHAnsi" w:cstheme="minorHAnsi"/>
                <w:b/>
                <w:sz w:val="16"/>
                <w:szCs w:val="18"/>
              </w:rPr>
            </w:pPr>
            <w:r w:rsidRPr="00AF3A24">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53432F12"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3719B55"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4860E4E5"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4839F6F0"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2C3358B"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45EA05F7"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59" w:type="dxa"/>
            <w:tcBorders>
              <w:bottom w:val="single" w:sz="4" w:space="0" w:color="auto"/>
            </w:tcBorders>
            <w:shd w:val="clear" w:color="auto" w:fill="92CDDC" w:themeFill="accent5" w:themeFillTint="99"/>
            <w:vAlign w:val="center"/>
          </w:tcPr>
          <w:p w14:paraId="3DF3A0EF"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671C040"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14E91F69"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8" w:type="dxa"/>
            <w:tcBorders>
              <w:bottom w:val="single" w:sz="4" w:space="0" w:color="auto"/>
            </w:tcBorders>
            <w:shd w:val="clear" w:color="auto" w:fill="92CDDC" w:themeFill="accent5" w:themeFillTint="99"/>
            <w:vAlign w:val="center"/>
          </w:tcPr>
          <w:p w14:paraId="4E66AF8C"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46974BC" w14:textId="77777777" w:rsidR="003A39BC" w:rsidRPr="00AF3A24" w:rsidRDefault="003A39BC" w:rsidP="00203BC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3A39BC" w:rsidRPr="00AF3A24" w14:paraId="15C4C346" w14:textId="77777777" w:rsidTr="00203BC6">
        <w:tc>
          <w:tcPr>
            <w:tcW w:w="2552" w:type="dxa"/>
            <w:gridSpan w:val="2"/>
            <w:tcBorders>
              <w:top w:val="nil"/>
              <w:bottom w:val="nil"/>
            </w:tcBorders>
            <w:shd w:val="clear" w:color="auto" w:fill="DAEEF3" w:themeFill="accent5" w:themeFillTint="33"/>
            <w:vAlign w:val="center"/>
          </w:tcPr>
          <w:p w14:paraId="3F8F1864" w14:textId="77777777" w:rsidR="003A39BC" w:rsidRPr="00AF3A24" w:rsidRDefault="003A39BC" w:rsidP="00203BC6">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09" w:type="dxa"/>
            <w:tcBorders>
              <w:top w:val="nil"/>
              <w:left w:val="nil"/>
              <w:bottom w:val="nil"/>
              <w:right w:val="nil"/>
            </w:tcBorders>
            <w:shd w:val="clear" w:color="auto" w:fill="DAEEF3" w:themeFill="accent5" w:themeFillTint="33"/>
            <w:vAlign w:val="center"/>
          </w:tcPr>
          <w:p w14:paraId="6FA79D7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499</w:t>
            </w:r>
          </w:p>
        </w:tc>
        <w:tc>
          <w:tcPr>
            <w:tcW w:w="1417" w:type="dxa"/>
            <w:tcBorders>
              <w:top w:val="nil"/>
              <w:left w:val="nil"/>
              <w:bottom w:val="nil"/>
              <w:right w:val="single" w:sz="4" w:space="0" w:color="auto"/>
            </w:tcBorders>
            <w:shd w:val="clear" w:color="auto" w:fill="DAEEF3" w:themeFill="accent5" w:themeFillTint="33"/>
            <w:vAlign w:val="center"/>
          </w:tcPr>
          <w:p w14:paraId="0C503EE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(3.7 - 4.7)</w:t>
            </w:r>
          </w:p>
        </w:tc>
        <w:tc>
          <w:tcPr>
            <w:tcW w:w="709" w:type="dxa"/>
            <w:tcBorders>
              <w:top w:val="nil"/>
              <w:left w:val="nil"/>
              <w:bottom w:val="nil"/>
              <w:right w:val="nil"/>
            </w:tcBorders>
            <w:shd w:val="clear" w:color="auto" w:fill="DAEEF3" w:themeFill="accent5" w:themeFillTint="33"/>
            <w:vAlign w:val="center"/>
          </w:tcPr>
          <w:p w14:paraId="7D8A4D7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278</w:t>
            </w:r>
          </w:p>
        </w:tc>
        <w:tc>
          <w:tcPr>
            <w:tcW w:w="1417" w:type="dxa"/>
            <w:tcBorders>
              <w:top w:val="nil"/>
              <w:left w:val="nil"/>
              <w:bottom w:val="nil"/>
              <w:right w:val="single" w:sz="4" w:space="0" w:color="auto"/>
            </w:tcBorders>
            <w:shd w:val="clear" w:color="auto" w:fill="DAEEF3" w:themeFill="accent5" w:themeFillTint="33"/>
            <w:vAlign w:val="center"/>
          </w:tcPr>
          <w:p w14:paraId="3DCB438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(2.2 - 3.1)</w:t>
            </w:r>
          </w:p>
        </w:tc>
        <w:tc>
          <w:tcPr>
            <w:tcW w:w="709" w:type="dxa"/>
            <w:tcBorders>
              <w:top w:val="nil"/>
              <w:left w:val="nil"/>
              <w:bottom w:val="nil"/>
              <w:right w:val="nil"/>
            </w:tcBorders>
            <w:shd w:val="clear" w:color="auto" w:fill="DAEEF3" w:themeFill="accent5" w:themeFillTint="33"/>
            <w:vAlign w:val="center"/>
          </w:tcPr>
          <w:p w14:paraId="39EB200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178</w:t>
            </w:r>
          </w:p>
        </w:tc>
        <w:tc>
          <w:tcPr>
            <w:tcW w:w="1559" w:type="dxa"/>
            <w:tcBorders>
              <w:top w:val="nil"/>
              <w:left w:val="nil"/>
              <w:bottom w:val="nil"/>
              <w:right w:val="single" w:sz="4" w:space="0" w:color="auto"/>
            </w:tcBorders>
            <w:shd w:val="clear" w:color="auto" w:fill="DAEEF3" w:themeFill="accent5" w:themeFillTint="33"/>
            <w:vAlign w:val="center"/>
          </w:tcPr>
          <w:p w14:paraId="0C37D7E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r w:rsidRPr="00AF3A24">
              <w:rPr>
                <w:rFonts w:asciiTheme="minorHAnsi" w:hAnsiTheme="minorHAnsi"/>
                <w:bCs/>
                <w:color w:val="000000"/>
                <w:sz w:val="16"/>
                <w:szCs w:val="16"/>
              </w:rPr>
              <w:br/>
              <w:t>(1.6 - 2.3)</w:t>
            </w:r>
          </w:p>
        </w:tc>
        <w:tc>
          <w:tcPr>
            <w:tcW w:w="709" w:type="dxa"/>
            <w:tcBorders>
              <w:top w:val="single" w:sz="4" w:space="0" w:color="auto"/>
              <w:left w:val="nil"/>
              <w:bottom w:val="single" w:sz="4" w:space="0" w:color="auto"/>
              <w:right w:val="nil"/>
            </w:tcBorders>
            <w:shd w:val="clear" w:color="auto" w:fill="DAEEF3" w:themeFill="accent5" w:themeFillTint="33"/>
            <w:vAlign w:val="center"/>
          </w:tcPr>
          <w:p w14:paraId="55617C7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161</w:t>
            </w:r>
          </w:p>
        </w:tc>
        <w:tc>
          <w:tcPr>
            <w:tcW w:w="1418" w:type="dxa"/>
            <w:tcBorders>
              <w:top w:val="nil"/>
              <w:left w:val="nil"/>
              <w:bottom w:val="nil"/>
              <w:right w:val="single" w:sz="4" w:space="0" w:color="auto"/>
            </w:tcBorders>
            <w:shd w:val="clear" w:color="auto" w:fill="DAEEF3" w:themeFill="accent5" w:themeFillTint="33"/>
            <w:vAlign w:val="center"/>
          </w:tcPr>
          <w:p w14:paraId="17F10E7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(1.3 - 2.0)</w:t>
            </w:r>
          </w:p>
        </w:tc>
      </w:tr>
      <w:tr w:rsidR="003A39BC" w:rsidRPr="00AF3A24" w14:paraId="6C0DA57D" w14:textId="77777777" w:rsidTr="00203BC6">
        <w:tc>
          <w:tcPr>
            <w:tcW w:w="1435" w:type="dxa"/>
            <w:vMerge w:val="restart"/>
            <w:tcBorders>
              <w:top w:val="single" w:sz="4" w:space="0" w:color="auto"/>
            </w:tcBorders>
            <w:shd w:val="clear" w:color="auto" w:fill="DAEEF3" w:themeFill="accent5" w:themeFillTint="33"/>
            <w:vAlign w:val="center"/>
          </w:tcPr>
          <w:p w14:paraId="38841851"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1117" w:type="dxa"/>
            <w:tcBorders>
              <w:top w:val="single" w:sz="4" w:space="0" w:color="auto"/>
              <w:bottom w:val="nil"/>
            </w:tcBorders>
            <w:shd w:val="clear" w:color="auto" w:fill="DAEEF3" w:themeFill="accent5" w:themeFillTint="33"/>
            <w:vAlign w:val="center"/>
          </w:tcPr>
          <w:p w14:paraId="3EA5A4A2"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09" w:type="dxa"/>
            <w:tcBorders>
              <w:left w:val="nil"/>
              <w:bottom w:val="nil"/>
              <w:right w:val="nil"/>
            </w:tcBorders>
            <w:shd w:val="clear" w:color="auto" w:fill="DAEEF3" w:themeFill="accent5" w:themeFillTint="33"/>
            <w:vAlign w:val="center"/>
          </w:tcPr>
          <w:p w14:paraId="73A9A01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300</w:t>
            </w:r>
          </w:p>
        </w:tc>
        <w:tc>
          <w:tcPr>
            <w:tcW w:w="1417" w:type="dxa"/>
            <w:tcBorders>
              <w:left w:val="nil"/>
              <w:bottom w:val="nil"/>
              <w:right w:val="single" w:sz="4" w:space="0" w:color="auto"/>
            </w:tcBorders>
            <w:shd w:val="clear" w:color="auto" w:fill="DAEEF3" w:themeFill="accent5" w:themeFillTint="33"/>
            <w:vAlign w:val="center"/>
          </w:tcPr>
          <w:p w14:paraId="4D6F3F8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(3.6 - 4.8)</w:t>
            </w:r>
          </w:p>
        </w:tc>
        <w:tc>
          <w:tcPr>
            <w:tcW w:w="709" w:type="dxa"/>
            <w:tcBorders>
              <w:left w:val="nil"/>
              <w:bottom w:val="nil"/>
              <w:right w:val="nil"/>
            </w:tcBorders>
            <w:shd w:val="clear" w:color="auto" w:fill="DAEEF3" w:themeFill="accent5" w:themeFillTint="33"/>
            <w:vAlign w:val="center"/>
          </w:tcPr>
          <w:p w14:paraId="3FE558F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w:t>
            </w:r>
          </w:p>
        </w:tc>
        <w:tc>
          <w:tcPr>
            <w:tcW w:w="1417" w:type="dxa"/>
            <w:tcBorders>
              <w:left w:val="nil"/>
              <w:bottom w:val="nil"/>
              <w:right w:val="single" w:sz="4" w:space="0" w:color="auto"/>
            </w:tcBorders>
            <w:shd w:val="clear" w:color="auto" w:fill="DAEEF3" w:themeFill="accent5" w:themeFillTint="33"/>
            <w:vAlign w:val="center"/>
          </w:tcPr>
          <w:p w14:paraId="5C93C32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w:t>
            </w:r>
            <w:r w:rsidRPr="00AF3A24">
              <w:rPr>
                <w:rFonts w:asciiTheme="minorHAnsi" w:hAnsiTheme="minorHAnsi"/>
                <w:bCs/>
                <w:color w:val="000000"/>
                <w:sz w:val="16"/>
                <w:szCs w:val="16"/>
              </w:rPr>
              <w:br/>
              <w:t>(0.4 - 0.7)</w:t>
            </w:r>
          </w:p>
        </w:tc>
        <w:tc>
          <w:tcPr>
            <w:tcW w:w="709" w:type="dxa"/>
            <w:tcBorders>
              <w:left w:val="nil"/>
              <w:bottom w:val="nil"/>
              <w:right w:val="nil"/>
            </w:tcBorders>
            <w:shd w:val="clear" w:color="auto" w:fill="DAEEF3" w:themeFill="accent5" w:themeFillTint="33"/>
            <w:vAlign w:val="center"/>
          </w:tcPr>
          <w:p w14:paraId="2BB3199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p>
        </w:tc>
        <w:tc>
          <w:tcPr>
            <w:tcW w:w="1559" w:type="dxa"/>
            <w:tcBorders>
              <w:left w:val="nil"/>
              <w:bottom w:val="nil"/>
              <w:right w:val="single" w:sz="4" w:space="0" w:color="auto"/>
            </w:tcBorders>
            <w:shd w:val="clear" w:color="auto" w:fill="DAEEF3" w:themeFill="accent5" w:themeFillTint="33"/>
            <w:vAlign w:val="center"/>
          </w:tcPr>
          <w:p w14:paraId="10EAA9C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r w:rsidRPr="00AF3A24">
              <w:rPr>
                <w:rFonts w:asciiTheme="minorHAnsi" w:hAnsiTheme="minorHAnsi"/>
                <w:bCs/>
                <w:color w:val="000000"/>
                <w:sz w:val="16"/>
                <w:szCs w:val="16"/>
              </w:rPr>
              <w:br/>
              <w:t>(0.9 - 1.6)</w:t>
            </w:r>
          </w:p>
        </w:tc>
        <w:tc>
          <w:tcPr>
            <w:tcW w:w="709" w:type="dxa"/>
            <w:tcBorders>
              <w:left w:val="nil"/>
              <w:bottom w:val="nil"/>
              <w:right w:val="nil"/>
            </w:tcBorders>
            <w:shd w:val="clear" w:color="auto" w:fill="DAEEF3" w:themeFill="accent5" w:themeFillTint="33"/>
            <w:vAlign w:val="center"/>
          </w:tcPr>
          <w:p w14:paraId="1580EA6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w:t>
            </w:r>
          </w:p>
        </w:tc>
        <w:tc>
          <w:tcPr>
            <w:tcW w:w="1418" w:type="dxa"/>
            <w:tcBorders>
              <w:left w:val="nil"/>
              <w:bottom w:val="nil"/>
              <w:right w:val="single" w:sz="4" w:space="0" w:color="auto"/>
            </w:tcBorders>
            <w:shd w:val="clear" w:color="auto" w:fill="DAEEF3" w:themeFill="accent5" w:themeFillTint="33"/>
            <w:vAlign w:val="center"/>
          </w:tcPr>
          <w:p w14:paraId="0DAE1FF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w:t>
            </w:r>
            <w:r w:rsidRPr="00AF3A24">
              <w:rPr>
                <w:rFonts w:asciiTheme="minorHAnsi" w:hAnsiTheme="minorHAnsi"/>
                <w:bCs/>
                <w:color w:val="000000"/>
                <w:sz w:val="16"/>
                <w:szCs w:val="16"/>
              </w:rPr>
              <w:br/>
              <w:t>(0.5 - 1.1)</w:t>
            </w:r>
          </w:p>
        </w:tc>
      </w:tr>
      <w:tr w:rsidR="003A39BC" w:rsidRPr="00AF3A24" w14:paraId="244C16A8" w14:textId="77777777" w:rsidTr="00203BC6">
        <w:tc>
          <w:tcPr>
            <w:tcW w:w="1435" w:type="dxa"/>
            <w:vMerge/>
            <w:tcBorders>
              <w:bottom w:val="nil"/>
            </w:tcBorders>
            <w:shd w:val="clear" w:color="auto" w:fill="DAEEF3" w:themeFill="accent5" w:themeFillTint="33"/>
            <w:vAlign w:val="center"/>
          </w:tcPr>
          <w:p w14:paraId="6292AD49"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single" w:sz="4" w:space="0" w:color="auto"/>
            </w:tcBorders>
            <w:shd w:val="clear" w:color="auto" w:fill="DAEEF3" w:themeFill="accent5" w:themeFillTint="33"/>
            <w:vAlign w:val="center"/>
          </w:tcPr>
          <w:p w14:paraId="300EB38B"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09" w:type="dxa"/>
            <w:tcBorders>
              <w:top w:val="nil"/>
              <w:left w:val="nil"/>
              <w:bottom w:val="single" w:sz="4" w:space="0" w:color="auto"/>
              <w:right w:val="nil"/>
            </w:tcBorders>
            <w:shd w:val="clear" w:color="auto" w:fill="DAEEF3" w:themeFill="accent5" w:themeFillTint="33"/>
            <w:vAlign w:val="center"/>
          </w:tcPr>
          <w:p w14:paraId="3F0AB62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199</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18FB147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(3.5 - 4.9)</w:t>
            </w:r>
          </w:p>
        </w:tc>
        <w:tc>
          <w:tcPr>
            <w:tcW w:w="709" w:type="dxa"/>
            <w:tcBorders>
              <w:top w:val="nil"/>
              <w:left w:val="nil"/>
              <w:bottom w:val="single" w:sz="4" w:space="0" w:color="auto"/>
              <w:right w:val="nil"/>
            </w:tcBorders>
            <w:shd w:val="clear" w:color="auto" w:fill="DAEEF3" w:themeFill="accent5" w:themeFillTint="33"/>
            <w:vAlign w:val="center"/>
          </w:tcPr>
          <w:p w14:paraId="734DF83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223</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1137688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r w:rsidRPr="00AF3A24">
              <w:rPr>
                <w:rFonts w:asciiTheme="minorHAnsi" w:hAnsiTheme="minorHAnsi"/>
                <w:bCs/>
                <w:color w:val="000000"/>
                <w:sz w:val="16"/>
                <w:szCs w:val="16"/>
              </w:rPr>
              <w:br/>
              <w:t>(4.0 - 5.7)</w:t>
            </w:r>
          </w:p>
        </w:tc>
        <w:tc>
          <w:tcPr>
            <w:tcW w:w="709" w:type="dxa"/>
            <w:tcBorders>
              <w:top w:val="nil"/>
              <w:left w:val="nil"/>
              <w:bottom w:val="single" w:sz="4" w:space="0" w:color="auto"/>
              <w:right w:val="nil"/>
            </w:tcBorders>
            <w:shd w:val="clear" w:color="auto" w:fill="DAEEF3" w:themeFill="accent5" w:themeFillTint="33"/>
            <w:vAlign w:val="center"/>
          </w:tcPr>
          <w:p w14:paraId="15B1350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107</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4A4CBD7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(2.1 - 3.3)</w:t>
            </w:r>
          </w:p>
        </w:tc>
        <w:tc>
          <w:tcPr>
            <w:tcW w:w="709" w:type="dxa"/>
            <w:tcBorders>
              <w:top w:val="nil"/>
              <w:left w:val="nil"/>
              <w:bottom w:val="single" w:sz="4" w:space="0" w:color="auto"/>
              <w:right w:val="nil"/>
            </w:tcBorders>
            <w:shd w:val="clear" w:color="auto" w:fill="DAEEF3" w:themeFill="accent5" w:themeFillTint="33"/>
            <w:vAlign w:val="center"/>
          </w:tcPr>
          <w:p w14:paraId="7D0D493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96</w:t>
            </w:r>
          </w:p>
        </w:tc>
        <w:tc>
          <w:tcPr>
            <w:tcW w:w="1418" w:type="dxa"/>
            <w:tcBorders>
              <w:top w:val="nil"/>
              <w:left w:val="nil"/>
              <w:bottom w:val="single" w:sz="4" w:space="0" w:color="auto"/>
              <w:right w:val="single" w:sz="4" w:space="0" w:color="auto"/>
            </w:tcBorders>
            <w:shd w:val="clear" w:color="auto" w:fill="DAEEF3" w:themeFill="accent5" w:themeFillTint="33"/>
            <w:vAlign w:val="center"/>
          </w:tcPr>
          <w:p w14:paraId="01BF55D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(1.9 - 3.2)</w:t>
            </w:r>
          </w:p>
        </w:tc>
      </w:tr>
      <w:tr w:rsidR="00E1507C" w:rsidRPr="00AF3A24" w14:paraId="7DBC1B81" w14:textId="77777777" w:rsidTr="00203BC6">
        <w:trPr>
          <w:trHeight w:val="435"/>
        </w:trPr>
        <w:tc>
          <w:tcPr>
            <w:tcW w:w="1435" w:type="dxa"/>
            <w:vMerge w:val="restart"/>
            <w:tcBorders>
              <w:top w:val="single" w:sz="4" w:space="0" w:color="auto"/>
            </w:tcBorders>
            <w:shd w:val="clear" w:color="auto" w:fill="DAEEF3" w:themeFill="accent5" w:themeFillTint="33"/>
            <w:vAlign w:val="center"/>
          </w:tcPr>
          <w:p w14:paraId="160DFBCF" w14:textId="77777777" w:rsidR="00E1507C" w:rsidRPr="00AF3A24" w:rsidRDefault="00E1507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1117" w:type="dxa"/>
            <w:tcBorders>
              <w:top w:val="single" w:sz="4" w:space="0" w:color="auto"/>
              <w:bottom w:val="nil"/>
            </w:tcBorders>
            <w:shd w:val="clear" w:color="auto" w:fill="DAEEF3" w:themeFill="accent5" w:themeFillTint="33"/>
            <w:vAlign w:val="center"/>
          </w:tcPr>
          <w:p w14:paraId="3181F756" w14:textId="77777777" w:rsidR="00E1507C" w:rsidRPr="00AF3A24" w:rsidRDefault="00E1507C" w:rsidP="00203BC6">
            <w:pPr>
              <w:spacing w:before="0" w:line="240" w:lineRule="auto"/>
              <w:ind w:left="78"/>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09" w:type="dxa"/>
            <w:tcBorders>
              <w:bottom w:val="nil"/>
              <w:right w:val="nil"/>
            </w:tcBorders>
            <w:shd w:val="clear" w:color="auto" w:fill="DAEEF3" w:themeFill="accent5" w:themeFillTint="33"/>
            <w:vAlign w:val="center"/>
          </w:tcPr>
          <w:p w14:paraId="61FA6E7D"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p>
        </w:tc>
        <w:tc>
          <w:tcPr>
            <w:tcW w:w="1417" w:type="dxa"/>
            <w:tcBorders>
              <w:left w:val="nil"/>
              <w:bottom w:val="nil"/>
              <w:right w:val="single" w:sz="4" w:space="0" w:color="auto"/>
            </w:tcBorders>
            <w:shd w:val="clear" w:color="auto" w:fill="DAEEF3" w:themeFill="accent5" w:themeFillTint="33"/>
            <w:vAlign w:val="center"/>
          </w:tcPr>
          <w:p w14:paraId="5F6D9FDA"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r w:rsidRPr="00AF3A24">
              <w:rPr>
                <w:rFonts w:asciiTheme="minorHAnsi" w:hAnsiTheme="minorHAnsi"/>
                <w:bCs/>
                <w:color w:val="000000"/>
                <w:sz w:val="16"/>
                <w:szCs w:val="16"/>
              </w:rPr>
              <w:br/>
              <w:t>(2.4 - 4.7)</w:t>
            </w:r>
          </w:p>
        </w:tc>
        <w:tc>
          <w:tcPr>
            <w:tcW w:w="709" w:type="dxa"/>
            <w:tcBorders>
              <w:bottom w:val="nil"/>
              <w:right w:val="nil"/>
            </w:tcBorders>
            <w:shd w:val="clear" w:color="auto" w:fill="DAEEF3" w:themeFill="accent5" w:themeFillTint="33"/>
            <w:vAlign w:val="center"/>
          </w:tcPr>
          <w:p w14:paraId="0B9A645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3D08E20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bottom w:val="nil"/>
              <w:right w:val="nil"/>
            </w:tcBorders>
            <w:shd w:val="clear" w:color="auto" w:fill="DAEEF3" w:themeFill="accent5" w:themeFillTint="33"/>
            <w:vAlign w:val="center"/>
          </w:tcPr>
          <w:p w14:paraId="18D51B9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left w:val="nil"/>
              <w:bottom w:val="nil"/>
              <w:right w:val="single" w:sz="4" w:space="0" w:color="auto"/>
            </w:tcBorders>
            <w:shd w:val="clear" w:color="auto" w:fill="DAEEF3" w:themeFill="accent5" w:themeFillTint="33"/>
            <w:vAlign w:val="center"/>
          </w:tcPr>
          <w:p w14:paraId="4291186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bottom w:val="nil"/>
              <w:right w:val="nil"/>
            </w:tcBorders>
            <w:shd w:val="clear" w:color="auto" w:fill="DAEEF3" w:themeFill="accent5" w:themeFillTint="33"/>
            <w:vAlign w:val="center"/>
          </w:tcPr>
          <w:p w14:paraId="5362BE8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left w:val="nil"/>
              <w:bottom w:val="nil"/>
              <w:right w:val="single" w:sz="4" w:space="0" w:color="auto"/>
            </w:tcBorders>
            <w:shd w:val="clear" w:color="auto" w:fill="DAEEF3" w:themeFill="accent5" w:themeFillTint="33"/>
            <w:vAlign w:val="center"/>
          </w:tcPr>
          <w:p w14:paraId="0E340BF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12D187F9" w14:textId="77777777" w:rsidTr="00203BC6">
        <w:tc>
          <w:tcPr>
            <w:tcW w:w="1435" w:type="dxa"/>
            <w:vMerge/>
            <w:shd w:val="clear" w:color="auto" w:fill="DAEEF3" w:themeFill="accent5" w:themeFillTint="33"/>
            <w:vAlign w:val="center"/>
          </w:tcPr>
          <w:p w14:paraId="34783214"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0225F9D1"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09" w:type="dxa"/>
            <w:tcBorders>
              <w:top w:val="nil"/>
              <w:left w:val="nil"/>
              <w:bottom w:val="nil"/>
              <w:right w:val="nil"/>
            </w:tcBorders>
            <w:shd w:val="clear" w:color="auto" w:fill="DAEEF3" w:themeFill="accent5" w:themeFillTint="33"/>
            <w:vAlign w:val="center"/>
          </w:tcPr>
          <w:p w14:paraId="05ED848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w:t>
            </w:r>
          </w:p>
        </w:tc>
        <w:tc>
          <w:tcPr>
            <w:tcW w:w="1417" w:type="dxa"/>
            <w:tcBorders>
              <w:top w:val="nil"/>
              <w:left w:val="nil"/>
              <w:bottom w:val="nil"/>
              <w:right w:val="single" w:sz="4" w:space="0" w:color="auto"/>
            </w:tcBorders>
            <w:shd w:val="clear" w:color="auto" w:fill="DAEEF3" w:themeFill="accent5" w:themeFillTint="33"/>
            <w:vAlign w:val="center"/>
          </w:tcPr>
          <w:p w14:paraId="0401A1A3"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w:t>
            </w:r>
            <w:r w:rsidRPr="00AF3A24">
              <w:rPr>
                <w:rFonts w:asciiTheme="minorHAnsi" w:hAnsiTheme="minorHAnsi"/>
                <w:bCs/>
                <w:color w:val="000000"/>
                <w:sz w:val="16"/>
                <w:szCs w:val="16"/>
              </w:rPr>
              <w:br/>
              <w:t>(4.5 - 7.1)</w:t>
            </w:r>
          </w:p>
        </w:tc>
        <w:tc>
          <w:tcPr>
            <w:tcW w:w="709" w:type="dxa"/>
            <w:tcBorders>
              <w:top w:val="nil"/>
              <w:left w:val="nil"/>
              <w:bottom w:val="nil"/>
              <w:right w:val="nil"/>
            </w:tcBorders>
            <w:shd w:val="clear" w:color="auto" w:fill="DAEEF3" w:themeFill="accent5" w:themeFillTint="33"/>
            <w:vAlign w:val="center"/>
          </w:tcPr>
          <w:p w14:paraId="4DA2A0F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94</w:t>
            </w:r>
          </w:p>
        </w:tc>
        <w:tc>
          <w:tcPr>
            <w:tcW w:w="1417" w:type="dxa"/>
            <w:tcBorders>
              <w:top w:val="nil"/>
              <w:left w:val="nil"/>
              <w:bottom w:val="nil"/>
              <w:right w:val="single" w:sz="4" w:space="0" w:color="auto"/>
            </w:tcBorders>
            <w:shd w:val="clear" w:color="auto" w:fill="DAEEF3" w:themeFill="accent5" w:themeFillTint="33"/>
            <w:vAlign w:val="center"/>
          </w:tcPr>
          <w:p w14:paraId="73067F4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r w:rsidRPr="00AF3A24">
              <w:rPr>
                <w:rFonts w:asciiTheme="minorHAnsi" w:hAnsiTheme="minorHAnsi"/>
                <w:bCs/>
                <w:color w:val="000000"/>
                <w:sz w:val="16"/>
                <w:szCs w:val="16"/>
              </w:rPr>
              <w:br/>
              <w:t>(4.2 - 6.9)</w:t>
            </w:r>
          </w:p>
        </w:tc>
        <w:tc>
          <w:tcPr>
            <w:tcW w:w="709" w:type="dxa"/>
            <w:tcBorders>
              <w:top w:val="nil"/>
              <w:left w:val="nil"/>
              <w:bottom w:val="nil"/>
              <w:right w:val="nil"/>
            </w:tcBorders>
            <w:shd w:val="clear" w:color="auto" w:fill="DAEEF3" w:themeFill="accent5" w:themeFillTint="33"/>
            <w:vAlign w:val="center"/>
          </w:tcPr>
          <w:p w14:paraId="5B4E6FC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w:t>
            </w:r>
          </w:p>
        </w:tc>
        <w:tc>
          <w:tcPr>
            <w:tcW w:w="1559" w:type="dxa"/>
            <w:tcBorders>
              <w:top w:val="nil"/>
              <w:left w:val="nil"/>
              <w:bottom w:val="nil"/>
              <w:right w:val="single" w:sz="4" w:space="0" w:color="auto"/>
            </w:tcBorders>
            <w:shd w:val="clear" w:color="auto" w:fill="DAEEF3" w:themeFill="accent5" w:themeFillTint="33"/>
            <w:vAlign w:val="center"/>
          </w:tcPr>
          <w:p w14:paraId="6B2432E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w:t>
            </w:r>
            <w:r w:rsidRPr="00AF3A24">
              <w:rPr>
                <w:rFonts w:asciiTheme="minorHAnsi" w:hAnsiTheme="minorHAnsi"/>
                <w:bCs/>
                <w:color w:val="000000"/>
                <w:sz w:val="16"/>
                <w:szCs w:val="16"/>
              </w:rPr>
              <w:br/>
              <w:t>(2.8 - 5.3)</w:t>
            </w:r>
          </w:p>
        </w:tc>
        <w:tc>
          <w:tcPr>
            <w:tcW w:w="709" w:type="dxa"/>
            <w:tcBorders>
              <w:top w:val="nil"/>
              <w:left w:val="nil"/>
              <w:bottom w:val="nil"/>
              <w:right w:val="nil"/>
            </w:tcBorders>
            <w:shd w:val="clear" w:color="auto" w:fill="DAEEF3" w:themeFill="accent5" w:themeFillTint="33"/>
            <w:vAlign w:val="center"/>
          </w:tcPr>
          <w:p w14:paraId="66C2F9C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418" w:type="dxa"/>
            <w:tcBorders>
              <w:top w:val="nil"/>
              <w:left w:val="nil"/>
              <w:bottom w:val="nil"/>
              <w:right w:val="single" w:sz="4" w:space="0" w:color="auto"/>
            </w:tcBorders>
            <w:shd w:val="clear" w:color="auto" w:fill="DAEEF3" w:themeFill="accent5" w:themeFillTint="33"/>
            <w:vAlign w:val="center"/>
          </w:tcPr>
          <w:p w14:paraId="60F42F9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w:t>
            </w:r>
            <w:r w:rsidRPr="00AF3A24">
              <w:rPr>
                <w:rFonts w:asciiTheme="minorHAnsi" w:hAnsiTheme="minorHAnsi"/>
                <w:bCs/>
                <w:color w:val="000000"/>
                <w:sz w:val="16"/>
                <w:szCs w:val="16"/>
              </w:rPr>
              <w:br/>
              <w:t>(1.3 - 3.2)</w:t>
            </w:r>
          </w:p>
        </w:tc>
      </w:tr>
      <w:tr w:rsidR="003A39BC" w:rsidRPr="00AF3A24" w14:paraId="06269ADD" w14:textId="77777777" w:rsidTr="00203BC6">
        <w:tc>
          <w:tcPr>
            <w:tcW w:w="1435" w:type="dxa"/>
            <w:vMerge/>
            <w:shd w:val="clear" w:color="auto" w:fill="DAEEF3" w:themeFill="accent5" w:themeFillTint="33"/>
            <w:vAlign w:val="center"/>
          </w:tcPr>
          <w:p w14:paraId="0B5A1B13"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1ACD638C"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09" w:type="dxa"/>
            <w:tcBorders>
              <w:top w:val="nil"/>
              <w:left w:val="nil"/>
              <w:bottom w:val="nil"/>
              <w:right w:val="nil"/>
            </w:tcBorders>
            <w:shd w:val="clear" w:color="auto" w:fill="DAEEF3" w:themeFill="accent5" w:themeFillTint="33"/>
            <w:vAlign w:val="center"/>
          </w:tcPr>
          <w:p w14:paraId="5470BBD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89</w:t>
            </w:r>
          </w:p>
        </w:tc>
        <w:tc>
          <w:tcPr>
            <w:tcW w:w="1417" w:type="dxa"/>
            <w:tcBorders>
              <w:top w:val="nil"/>
              <w:left w:val="nil"/>
              <w:bottom w:val="nil"/>
              <w:right w:val="single" w:sz="4" w:space="0" w:color="auto"/>
            </w:tcBorders>
            <w:shd w:val="clear" w:color="auto" w:fill="DAEEF3" w:themeFill="accent5" w:themeFillTint="33"/>
            <w:vAlign w:val="center"/>
          </w:tcPr>
          <w:p w14:paraId="03E1FF1F"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(3.1 - 5.3)</w:t>
            </w:r>
          </w:p>
        </w:tc>
        <w:tc>
          <w:tcPr>
            <w:tcW w:w="709" w:type="dxa"/>
            <w:tcBorders>
              <w:top w:val="nil"/>
              <w:left w:val="nil"/>
              <w:bottom w:val="nil"/>
              <w:right w:val="nil"/>
            </w:tcBorders>
            <w:shd w:val="clear" w:color="auto" w:fill="DAEEF3" w:themeFill="accent5" w:themeFillTint="33"/>
            <w:vAlign w:val="center"/>
          </w:tcPr>
          <w:p w14:paraId="1004F29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p>
        </w:tc>
        <w:tc>
          <w:tcPr>
            <w:tcW w:w="1417" w:type="dxa"/>
            <w:tcBorders>
              <w:top w:val="nil"/>
              <w:left w:val="nil"/>
              <w:bottom w:val="nil"/>
              <w:right w:val="single" w:sz="4" w:space="0" w:color="auto"/>
            </w:tcBorders>
            <w:shd w:val="clear" w:color="auto" w:fill="DAEEF3" w:themeFill="accent5" w:themeFillTint="33"/>
            <w:vAlign w:val="center"/>
          </w:tcPr>
          <w:p w14:paraId="28DBA31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w:t>
            </w:r>
            <w:r w:rsidRPr="00AF3A24">
              <w:rPr>
                <w:rFonts w:asciiTheme="minorHAnsi" w:hAnsiTheme="minorHAnsi"/>
                <w:bCs/>
                <w:color w:val="000000"/>
                <w:sz w:val="16"/>
                <w:szCs w:val="16"/>
              </w:rPr>
              <w:br/>
              <w:t>(2.2 - 4.0)</w:t>
            </w:r>
          </w:p>
        </w:tc>
        <w:tc>
          <w:tcPr>
            <w:tcW w:w="709" w:type="dxa"/>
            <w:tcBorders>
              <w:top w:val="nil"/>
              <w:left w:val="nil"/>
              <w:bottom w:val="nil"/>
              <w:right w:val="nil"/>
            </w:tcBorders>
            <w:shd w:val="clear" w:color="auto" w:fill="DAEEF3" w:themeFill="accent5" w:themeFillTint="33"/>
            <w:vAlign w:val="center"/>
          </w:tcPr>
          <w:p w14:paraId="0D0D469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tc>
        <w:tc>
          <w:tcPr>
            <w:tcW w:w="1559" w:type="dxa"/>
            <w:tcBorders>
              <w:top w:val="nil"/>
              <w:left w:val="nil"/>
              <w:bottom w:val="nil"/>
              <w:right w:val="single" w:sz="4" w:space="0" w:color="auto"/>
            </w:tcBorders>
            <w:shd w:val="clear" w:color="auto" w:fill="DAEEF3" w:themeFill="accent5" w:themeFillTint="33"/>
            <w:vAlign w:val="center"/>
          </w:tcPr>
          <w:p w14:paraId="515A958E"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(1.0 - 2.6)</w:t>
            </w:r>
          </w:p>
        </w:tc>
        <w:tc>
          <w:tcPr>
            <w:tcW w:w="709" w:type="dxa"/>
            <w:tcBorders>
              <w:top w:val="nil"/>
              <w:left w:val="nil"/>
              <w:bottom w:val="nil"/>
              <w:right w:val="nil"/>
            </w:tcBorders>
            <w:shd w:val="clear" w:color="auto" w:fill="DAEEF3" w:themeFill="accent5" w:themeFillTint="33"/>
            <w:vAlign w:val="center"/>
          </w:tcPr>
          <w:p w14:paraId="1B283BF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p>
        </w:tc>
        <w:tc>
          <w:tcPr>
            <w:tcW w:w="1418" w:type="dxa"/>
            <w:tcBorders>
              <w:top w:val="nil"/>
              <w:left w:val="nil"/>
              <w:bottom w:val="nil"/>
              <w:right w:val="single" w:sz="4" w:space="0" w:color="auto"/>
            </w:tcBorders>
            <w:shd w:val="clear" w:color="auto" w:fill="DAEEF3" w:themeFill="accent5" w:themeFillTint="33"/>
            <w:vAlign w:val="center"/>
          </w:tcPr>
          <w:p w14:paraId="7191EC6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r w:rsidRPr="00AF3A24">
              <w:rPr>
                <w:rFonts w:asciiTheme="minorHAnsi" w:hAnsiTheme="minorHAnsi"/>
                <w:bCs/>
                <w:color w:val="000000"/>
                <w:sz w:val="16"/>
                <w:szCs w:val="16"/>
              </w:rPr>
              <w:br/>
              <w:t>(1.2 - 2.6)</w:t>
            </w:r>
          </w:p>
        </w:tc>
      </w:tr>
      <w:tr w:rsidR="00E1507C" w:rsidRPr="00AF3A24" w14:paraId="5A83E4DC" w14:textId="77777777" w:rsidTr="00203BC6">
        <w:tc>
          <w:tcPr>
            <w:tcW w:w="1435" w:type="dxa"/>
            <w:vMerge/>
            <w:shd w:val="clear" w:color="auto" w:fill="DAEEF3" w:themeFill="accent5" w:themeFillTint="33"/>
            <w:vAlign w:val="center"/>
          </w:tcPr>
          <w:p w14:paraId="120FBE5F"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0106EAD4"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09" w:type="dxa"/>
            <w:tcBorders>
              <w:top w:val="nil"/>
              <w:left w:val="nil"/>
              <w:bottom w:val="nil"/>
              <w:right w:val="nil"/>
            </w:tcBorders>
            <w:shd w:val="clear" w:color="auto" w:fill="DAEEF3" w:themeFill="accent5" w:themeFillTint="33"/>
            <w:vAlign w:val="center"/>
          </w:tcPr>
          <w:p w14:paraId="016B6FDB"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75</w:t>
            </w:r>
          </w:p>
        </w:tc>
        <w:tc>
          <w:tcPr>
            <w:tcW w:w="1417" w:type="dxa"/>
            <w:tcBorders>
              <w:top w:val="nil"/>
              <w:left w:val="nil"/>
              <w:bottom w:val="nil"/>
              <w:right w:val="single" w:sz="4" w:space="0" w:color="auto"/>
            </w:tcBorders>
            <w:shd w:val="clear" w:color="auto" w:fill="DAEEF3" w:themeFill="accent5" w:themeFillTint="33"/>
            <w:vAlign w:val="center"/>
          </w:tcPr>
          <w:p w14:paraId="11AED7D0"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r w:rsidRPr="00AF3A24">
              <w:rPr>
                <w:rFonts w:asciiTheme="minorHAnsi" w:hAnsiTheme="minorHAnsi"/>
                <w:bCs/>
                <w:color w:val="000000"/>
                <w:sz w:val="16"/>
                <w:szCs w:val="16"/>
              </w:rPr>
              <w:br/>
              <w:t>(2.8 - 5.0)</w:t>
            </w:r>
          </w:p>
        </w:tc>
        <w:tc>
          <w:tcPr>
            <w:tcW w:w="709" w:type="dxa"/>
            <w:tcBorders>
              <w:top w:val="nil"/>
              <w:left w:val="nil"/>
              <w:bottom w:val="nil"/>
              <w:right w:val="nil"/>
            </w:tcBorders>
            <w:shd w:val="clear" w:color="auto" w:fill="DAEEF3" w:themeFill="accent5" w:themeFillTint="33"/>
            <w:vAlign w:val="center"/>
          </w:tcPr>
          <w:p w14:paraId="7B9A0ED3"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w:t>
            </w:r>
          </w:p>
        </w:tc>
        <w:tc>
          <w:tcPr>
            <w:tcW w:w="1417" w:type="dxa"/>
            <w:tcBorders>
              <w:top w:val="nil"/>
              <w:left w:val="nil"/>
              <w:bottom w:val="nil"/>
              <w:right w:val="single" w:sz="4" w:space="0" w:color="auto"/>
            </w:tcBorders>
            <w:shd w:val="clear" w:color="auto" w:fill="DAEEF3" w:themeFill="accent5" w:themeFillTint="33"/>
            <w:vAlign w:val="center"/>
          </w:tcPr>
          <w:p w14:paraId="6037B86A"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(1.1 - 2.6)</w:t>
            </w:r>
          </w:p>
        </w:tc>
        <w:tc>
          <w:tcPr>
            <w:tcW w:w="709" w:type="dxa"/>
            <w:tcBorders>
              <w:top w:val="nil"/>
              <w:left w:val="nil"/>
              <w:bottom w:val="nil"/>
              <w:right w:val="nil"/>
            </w:tcBorders>
            <w:shd w:val="clear" w:color="auto" w:fill="DAEEF3" w:themeFill="accent5" w:themeFillTint="33"/>
            <w:vAlign w:val="center"/>
          </w:tcPr>
          <w:p w14:paraId="54AA913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2E91317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13225C5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283D80D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11507E71" w14:textId="77777777" w:rsidTr="00203BC6">
        <w:tc>
          <w:tcPr>
            <w:tcW w:w="1435" w:type="dxa"/>
            <w:vMerge/>
            <w:shd w:val="clear" w:color="auto" w:fill="DAEEF3" w:themeFill="accent5" w:themeFillTint="33"/>
            <w:vAlign w:val="center"/>
          </w:tcPr>
          <w:p w14:paraId="10EFAD55"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55D94E73"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09" w:type="dxa"/>
            <w:tcBorders>
              <w:top w:val="nil"/>
              <w:left w:val="nil"/>
              <w:bottom w:val="nil"/>
              <w:right w:val="nil"/>
            </w:tcBorders>
            <w:shd w:val="clear" w:color="auto" w:fill="DAEEF3" w:themeFill="accent5" w:themeFillTint="33"/>
            <w:vAlign w:val="center"/>
          </w:tcPr>
          <w:p w14:paraId="0CA370F1"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tc>
        <w:tc>
          <w:tcPr>
            <w:tcW w:w="1417" w:type="dxa"/>
            <w:tcBorders>
              <w:top w:val="nil"/>
              <w:left w:val="nil"/>
              <w:bottom w:val="nil"/>
              <w:right w:val="single" w:sz="4" w:space="0" w:color="auto"/>
            </w:tcBorders>
            <w:shd w:val="clear" w:color="auto" w:fill="DAEEF3" w:themeFill="accent5" w:themeFillTint="33"/>
            <w:vAlign w:val="center"/>
          </w:tcPr>
          <w:p w14:paraId="753074E3"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r w:rsidRPr="00AF3A24">
              <w:rPr>
                <w:rFonts w:asciiTheme="minorHAnsi" w:hAnsiTheme="minorHAnsi"/>
                <w:bCs/>
                <w:color w:val="000000"/>
                <w:sz w:val="16"/>
                <w:szCs w:val="16"/>
              </w:rPr>
              <w:br/>
              <w:t>(3.3 - 5.5)</w:t>
            </w:r>
          </w:p>
        </w:tc>
        <w:tc>
          <w:tcPr>
            <w:tcW w:w="709" w:type="dxa"/>
            <w:tcBorders>
              <w:top w:val="nil"/>
              <w:left w:val="nil"/>
              <w:bottom w:val="nil"/>
              <w:right w:val="nil"/>
            </w:tcBorders>
            <w:shd w:val="clear" w:color="auto" w:fill="DAEEF3" w:themeFill="accent5" w:themeFillTint="33"/>
            <w:vAlign w:val="center"/>
          </w:tcPr>
          <w:p w14:paraId="5F01102A"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417" w:type="dxa"/>
            <w:tcBorders>
              <w:top w:val="nil"/>
              <w:left w:val="nil"/>
              <w:bottom w:val="nil"/>
              <w:right w:val="single" w:sz="4" w:space="0" w:color="auto"/>
            </w:tcBorders>
            <w:shd w:val="clear" w:color="auto" w:fill="DAEEF3" w:themeFill="accent5" w:themeFillTint="33"/>
            <w:vAlign w:val="center"/>
          </w:tcPr>
          <w:p w14:paraId="46D60415"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w:t>
            </w:r>
            <w:r w:rsidRPr="00AF3A24">
              <w:rPr>
                <w:rFonts w:asciiTheme="minorHAnsi" w:hAnsiTheme="minorHAnsi"/>
                <w:bCs/>
                <w:color w:val="000000"/>
                <w:sz w:val="16"/>
                <w:szCs w:val="16"/>
              </w:rPr>
              <w:br/>
              <w:t>(1.3 - 3.1)</w:t>
            </w:r>
          </w:p>
        </w:tc>
        <w:tc>
          <w:tcPr>
            <w:tcW w:w="709" w:type="dxa"/>
            <w:tcBorders>
              <w:top w:val="nil"/>
              <w:left w:val="nil"/>
              <w:bottom w:val="nil"/>
              <w:right w:val="nil"/>
            </w:tcBorders>
            <w:shd w:val="clear" w:color="auto" w:fill="DAEEF3" w:themeFill="accent5" w:themeFillTint="33"/>
            <w:vAlign w:val="center"/>
          </w:tcPr>
          <w:p w14:paraId="1B6777E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6B6F2CA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31035A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3FE6B8E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311E450D" w14:textId="77777777" w:rsidTr="00203BC6">
        <w:tc>
          <w:tcPr>
            <w:tcW w:w="1435" w:type="dxa"/>
            <w:vMerge/>
            <w:tcBorders>
              <w:bottom w:val="nil"/>
            </w:tcBorders>
            <w:shd w:val="clear" w:color="auto" w:fill="DAEEF3" w:themeFill="accent5" w:themeFillTint="33"/>
            <w:vAlign w:val="center"/>
          </w:tcPr>
          <w:p w14:paraId="580F6694"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61DF1813"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09" w:type="dxa"/>
            <w:tcBorders>
              <w:top w:val="nil"/>
              <w:left w:val="nil"/>
              <w:bottom w:val="nil"/>
              <w:right w:val="nil"/>
            </w:tcBorders>
            <w:shd w:val="clear" w:color="auto" w:fill="DAEEF3" w:themeFill="accent5" w:themeFillTint="33"/>
            <w:vAlign w:val="center"/>
          </w:tcPr>
          <w:p w14:paraId="46AB88B6"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82</w:t>
            </w:r>
          </w:p>
        </w:tc>
        <w:tc>
          <w:tcPr>
            <w:tcW w:w="1417" w:type="dxa"/>
            <w:tcBorders>
              <w:top w:val="nil"/>
              <w:left w:val="nil"/>
              <w:bottom w:val="nil"/>
              <w:right w:val="single" w:sz="4" w:space="0" w:color="auto"/>
            </w:tcBorders>
            <w:shd w:val="clear" w:color="auto" w:fill="DAEEF3" w:themeFill="accent5" w:themeFillTint="33"/>
            <w:vAlign w:val="center"/>
          </w:tcPr>
          <w:p w14:paraId="3DA898F7"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r w:rsidRPr="00AF3A24">
              <w:rPr>
                <w:rFonts w:asciiTheme="minorHAnsi" w:hAnsiTheme="minorHAnsi"/>
                <w:bCs/>
                <w:color w:val="000000"/>
                <w:sz w:val="16"/>
                <w:szCs w:val="16"/>
              </w:rPr>
              <w:br/>
              <w:t>(2.6 - 4.3)</w:t>
            </w:r>
          </w:p>
        </w:tc>
        <w:tc>
          <w:tcPr>
            <w:tcW w:w="709" w:type="dxa"/>
            <w:tcBorders>
              <w:top w:val="nil"/>
              <w:left w:val="nil"/>
              <w:bottom w:val="nil"/>
              <w:right w:val="nil"/>
            </w:tcBorders>
            <w:shd w:val="clear" w:color="auto" w:fill="DAEEF3" w:themeFill="accent5" w:themeFillTint="33"/>
            <w:vAlign w:val="center"/>
          </w:tcPr>
          <w:p w14:paraId="0801165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2CC2126B"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C49696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175DD97B"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066D129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216EC23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5EE48961" w14:textId="77777777" w:rsidTr="00203BC6">
        <w:tc>
          <w:tcPr>
            <w:tcW w:w="1435" w:type="dxa"/>
            <w:vMerge w:val="restart"/>
            <w:tcBorders>
              <w:top w:val="single" w:sz="4" w:space="0" w:color="auto"/>
            </w:tcBorders>
            <w:shd w:val="clear" w:color="auto" w:fill="DAEEF3" w:themeFill="accent5" w:themeFillTint="33"/>
            <w:vAlign w:val="center"/>
          </w:tcPr>
          <w:p w14:paraId="714BC19C"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p>
        </w:tc>
        <w:tc>
          <w:tcPr>
            <w:tcW w:w="1117" w:type="dxa"/>
            <w:tcBorders>
              <w:top w:val="single" w:sz="4" w:space="0" w:color="auto"/>
              <w:bottom w:val="nil"/>
            </w:tcBorders>
            <w:shd w:val="clear" w:color="auto" w:fill="DAEEF3" w:themeFill="accent5" w:themeFillTint="33"/>
            <w:vAlign w:val="center"/>
          </w:tcPr>
          <w:p w14:paraId="024F7F3A"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09" w:type="dxa"/>
            <w:tcBorders>
              <w:left w:val="nil"/>
              <w:bottom w:val="nil"/>
              <w:right w:val="nil"/>
            </w:tcBorders>
            <w:shd w:val="clear" w:color="auto" w:fill="DAEEF3" w:themeFill="accent5" w:themeFillTint="33"/>
            <w:vAlign w:val="center"/>
          </w:tcPr>
          <w:p w14:paraId="3ED089CB"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112</w:t>
            </w:r>
          </w:p>
        </w:tc>
        <w:tc>
          <w:tcPr>
            <w:tcW w:w="1417" w:type="dxa"/>
            <w:tcBorders>
              <w:left w:val="nil"/>
              <w:bottom w:val="nil"/>
              <w:right w:val="single" w:sz="4" w:space="0" w:color="auto"/>
            </w:tcBorders>
            <w:shd w:val="clear" w:color="auto" w:fill="DAEEF3" w:themeFill="accent5" w:themeFillTint="33"/>
            <w:vAlign w:val="center"/>
          </w:tcPr>
          <w:p w14:paraId="614313A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4.8</w:t>
            </w:r>
          </w:p>
          <w:p w14:paraId="6555D584"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(3.6 - 5.9)</w:t>
            </w:r>
          </w:p>
        </w:tc>
        <w:tc>
          <w:tcPr>
            <w:tcW w:w="709" w:type="dxa"/>
            <w:tcBorders>
              <w:left w:val="nil"/>
              <w:bottom w:val="nil"/>
              <w:right w:val="nil"/>
            </w:tcBorders>
            <w:shd w:val="clear" w:color="auto" w:fill="DAEEF3" w:themeFill="accent5" w:themeFillTint="33"/>
            <w:vAlign w:val="center"/>
          </w:tcPr>
          <w:p w14:paraId="28ED1FB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69</w:t>
            </w:r>
          </w:p>
        </w:tc>
        <w:tc>
          <w:tcPr>
            <w:tcW w:w="1417" w:type="dxa"/>
            <w:tcBorders>
              <w:left w:val="nil"/>
              <w:bottom w:val="nil"/>
              <w:right w:val="single" w:sz="4" w:space="0" w:color="auto"/>
            </w:tcBorders>
            <w:shd w:val="clear" w:color="auto" w:fill="DAEEF3" w:themeFill="accent5" w:themeFillTint="33"/>
            <w:vAlign w:val="center"/>
          </w:tcPr>
          <w:p w14:paraId="2BE68580"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3.7</w:t>
            </w:r>
          </w:p>
          <w:p w14:paraId="459C470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(2.6 - 4.9)</w:t>
            </w:r>
          </w:p>
        </w:tc>
        <w:tc>
          <w:tcPr>
            <w:tcW w:w="709" w:type="dxa"/>
            <w:tcBorders>
              <w:left w:val="nil"/>
              <w:bottom w:val="nil"/>
              <w:right w:val="nil"/>
            </w:tcBorders>
            <w:shd w:val="clear" w:color="auto" w:fill="DAEEF3" w:themeFill="accent5" w:themeFillTint="33"/>
            <w:vAlign w:val="center"/>
          </w:tcPr>
          <w:p w14:paraId="175ECFD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36</w:t>
            </w:r>
          </w:p>
        </w:tc>
        <w:tc>
          <w:tcPr>
            <w:tcW w:w="1559" w:type="dxa"/>
            <w:tcBorders>
              <w:left w:val="nil"/>
              <w:bottom w:val="nil"/>
              <w:right w:val="single" w:sz="4" w:space="0" w:color="auto"/>
            </w:tcBorders>
            <w:shd w:val="clear" w:color="auto" w:fill="DAEEF3" w:themeFill="accent5" w:themeFillTint="33"/>
            <w:vAlign w:val="center"/>
          </w:tcPr>
          <w:p w14:paraId="2B57FFD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2.2</w:t>
            </w:r>
          </w:p>
          <w:p w14:paraId="69FF80D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(1.3 - 3.1)</w:t>
            </w:r>
          </w:p>
        </w:tc>
        <w:tc>
          <w:tcPr>
            <w:tcW w:w="709" w:type="dxa"/>
            <w:tcBorders>
              <w:left w:val="nil"/>
              <w:bottom w:val="nil"/>
              <w:right w:val="nil"/>
            </w:tcBorders>
            <w:shd w:val="clear" w:color="auto" w:fill="DAEEF3" w:themeFill="accent5" w:themeFillTint="33"/>
            <w:vAlign w:val="center"/>
          </w:tcPr>
          <w:p w14:paraId="09FDF9B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33</w:t>
            </w:r>
          </w:p>
        </w:tc>
        <w:tc>
          <w:tcPr>
            <w:tcW w:w="1418" w:type="dxa"/>
            <w:tcBorders>
              <w:left w:val="nil"/>
              <w:bottom w:val="nil"/>
              <w:right w:val="single" w:sz="4" w:space="0" w:color="auto"/>
            </w:tcBorders>
            <w:shd w:val="clear" w:color="auto" w:fill="DAEEF3" w:themeFill="accent5" w:themeFillTint="33"/>
          </w:tcPr>
          <w:p w14:paraId="6F60C960"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w:t>
            </w:r>
          </w:p>
          <w:p w14:paraId="6F1A4C0D"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(0.9 - 2.6)</w:t>
            </w:r>
          </w:p>
        </w:tc>
      </w:tr>
      <w:tr w:rsidR="00E1507C" w:rsidRPr="00AF3A24" w14:paraId="66C84A48" w14:textId="77777777" w:rsidTr="00E0056C">
        <w:tc>
          <w:tcPr>
            <w:tcW w:w="1435" w:type="dxa"/>
            <w:vMerge/>
            <w:shd w:val="clear" w:color="auto" w:fill="DAEEF3" w:themeFill="accent5" w:themeFillTint="33"/>
            <w:vAlign w:val="center"/>
          </w:tcPr>
          <w:p w14:paraId="0077356B"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784901EA"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09" w:type="dxa"/>
            <w:tcBorders>
              <w:top w:val="nil"/>
              <w:left w:val="nil"/>
              <w:bottom w:val="nil"/>
              <w:right w:val="nil"/>
            </w:tcBorders>
            <w:shd w:val="clear" w:color="auto" w:fill="DAEEF3" w:themeFill="accent5" w:themeFillTint="33"/>
            <w:vAlign w:val="center"/>
          </w:tcPr>
          <w:p w14:paraId="23DB691E"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47</w:t>
            </w:r>
          </w:p>
        </w:tc>
        <w:tc>
          <w:tcPr>
            <w:tcW w:w="1417" w:type="dxa"/>
            <w:tcBorders>
              <w:top w:val="nil"/>
              <w:left w:val="nil"/>
              <w:bottom w:val="nil"/>
              <w:right w:val="single" w:sz="4" w:space="0" w:color="auto"/>
            </w:tcBorders>
            <w:shd w:val="clear" w:color="auto" w:fill="DAEEF3" w:themeFill="accent5" w:themeFillTint="33"/>
            <w:vAlign w:val="center"/>
          </w:tcPr>
          <w:p w14:paraId="335C73B3"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4.9</w:t>
            </w:r>
          </w:p>
          <w:p w14:paraId="7CCF5EA9"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(3.1 - 6.8)</w:t>
            </w:r>
          </w:p>
        </w:tc>
        <w:tc>
          <w:tcPr>
            <w:tcW w:w="709" w:type="dxa"/>
            <w:tcBorders>
              <w:top w:val="nil"/>
              <w:left w:val="nil"/>
              <w:bottom w:val="nil"/>
              <w:right w:val="nil"/>
            </w:tcBorders>
            <w:shd w:val="clear" w:color="auto" w:fill="DAEEF3" w:themeFill="accent5" w:themeFillTint="33"/>
            <w:vAlign w:val="center"/>
          </w:tcPr>
          <w:p w14:paraId="3A6F61E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5E0C5D3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1B60256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52888D6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5BA59B3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7B40249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44CDF130" w14:textId="77777777" w:rsidTr="00E0056C">
        <w:tc>
          <w:tcPr>
            <w:tcW w:w="1435" w:type="dxa"/>
            <w:vMerge/>
            <w:shd w:val="clear" w:color="auto" w:fill="DAEEF3" w:themeFill="accent5" w:themeFillTint="33"/>
            <w:vAlign w:val="center"/>
          </w:tcPr>
          <w:p w14:paraId="2CD6AA90"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425A1A33"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09" w:type="dxa"/>
            <w:tcBorders>
              <w:top w:val="nil"/>
              <w:left w:val="nil"/>
              <w:bottom w:val="nil"/>
              <w:right w:val="nil"/>
            </w:tcBorders>
            <w:shd w:val="clear" w:color="auto" w:fill="DAEEF3" w:themeFill="accent5" w:themeFillTint="33"/>
            <w:vAlign w:val="center"/>
          </w:tcPr>
          <w:p w14:paraId="15ABDFBC"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34</w:t>
            </w:r>
          </w:p>
        </w:tc>
        <w:tc>
          <w:tcPr>
            <w:tcW w:w="1417" w:type="dxa"/>
            <w:tcBorders>
              <w:top w:val="nil"/>
              <w:left w:val="nil"/>
              <w:bottom w:val="nil"/>
              <w:right w:val="single" w:sz="4" w:space="0" w:color="auto"/>
            </w:tcBorders>
            <w:shd w:val="clear" w:color="auto" w:fill="DAEEF3" w:themeFill="accent5" w:themeFillTint="33"/>
            <w:vAlign w:val="center"/>
          </w:tcPr>
          <w:p w14:paraId="7DB2F487"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3.4</w:t>
            </w:r>
          </w:p>
          <w:p w14:paraId="555BD8F3" w14:textId="77777777" w:rsidR="00E1507C" w:rsidRPr="00AF3A24" w:rsidRDefault="00E1507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(2.2 - 4.7)</w:t>
            </w:r>
          </w:p>
        </w:tc>
        <w:tc>
          <w:tcPr>
            <w:tcW w:w="709" w:type="dxa"/>
            <w:tcBorders>
              <w:top w:val="nil"/>
              <w:left w:val="nil"/>
              <w:bottom w:val="nil"/>
              <w:right w:val="nil"/>
            </w:tcBorders>
            <w:shd w:val="clear" w:color="auto" w:fill="DAEEF3" w:themeFill="accent5" w:themeFillTint="33"/>
            <w:vAlign w:val="center"/>
          </w:tcPr>
          <w:p w14:paraId="3F9ED07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4AB1796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158AE8B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0D0D8F5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5C40C98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3C813B5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13646D09" w14:textId="77777777" w:rsidTr="00203BC6">
        <w:tc>
          <w:tcPr>
            <w:tcW w:w="1435" w:type="dxa"/>
            <w:vMerge/>
            <w:tcBorders>
              <w:bottom w:val="nil"/>
            </w:tcBorders>
            <w:shd w:val="clear" w:color="auto" w:fill="DAEEF3" w:themeFill="accent5" w:themeFillTint="33"/>
            <w:vAlign w:val="center"/>
          </w:tcPr>
          <w:p w14:paraId="2BAA98F4"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4ABA8C4D"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09" w:type="dxa"/>
            <w:tcBorders>
              <w:top w:val="nil"/>
              <w:left w:val="nil"/>
              <w:bottom w:val="nil"/>
              <w:right w:val="nil"/>
            </w:tcBorders>
            <w:shd w:val="clear" w:color="auto" w:fill="DAEEF3" w:themeFill="accent5" w:themeFillTint="33"/>
            <w:vAlign w:val="center"/>
          </w:tcPr>
          <w:p w14:paraId="71A540A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392</w:t>
            </w:r>
          </w:p>
        </w:tc>
        <w:tc>
          <w:tcPr>
            <w:tcW w:w="1417" w:type="dxa"/>
            <w:tcBorders>
              <w:top w:val="nil"/>
              <w:left w:val="nil"/>
              <w:bottom w:val="nil"/>
              <w:right w:val="single" w:sz="4" w:space="0" w:color="auto"/>
            </w:tcBorders>
            <w:shd w:val="clear" w:color="auto" w:fill="DAEEF3" w:themeFill="accent5" w:themeFillTint="33"/>
            <w:vAlign w:val="center"/>
          </w:tcPr>
          <w:p w14:paraId="6BAD7ECF"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4.4</w:t>
            </w:r>
          </w:p>
          <w:p w14:paraId="79E6C40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(3.8 - 4.9)</w:t>
            </w:r>
          </w:p>
        </w:tc>
        <w:tc>
          <w:tcPr>
            <w:tcW w:w="709" w:type="dxa"/>
            <w:tcBorders>
              <w:top w:val="nil"/>
              <w:left w:val="nil"/>
              <w:bottom w:val="nil"/>
              <w:right w:val="nil"/>
            </w:tcBorders>
            <w:shd w:val="clear" w:color="auto" w:fill="DAEEF3" w:themeFill="accent5" w:themeFillTint="33"/>
            <w:vAlign w:val="center"/>
          </w:tcPr>
          <w:p w14:paraId="24FC4CD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234</w:t>
            </w:r>
          </w:p>
        </w:tc>
        <w:tc>
          <w:tcPr>
            <w:tcW w:w="1417" w:type="dxa"/>
            <w:tcBorders>
              <w:top w:val="nil"/>
              <w:left w:val="nil"/>
              <w:bottom w:val="nil"/>
              <w:right w:val="single" w:sz="4" w:space="0" w:color="auto"/>
            </w:tcBorders>
            <w:shd w:val="clear" w:color="auto" w:fill="DAEEF3" w:themeFill="accent5" w:themeFillTint="33"/>
            <w:vAlign w:val="center"/>
          </w:tcPr>
          <w:p w14:paraId="7E1CA26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3.2</w:t>
            </w:r>
          </w:p>
          <w:p w14:paraId="2B8F4281"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(2.6 - 3.8)</w:t>
            </w:r>
          </w:p>
        </w:tc>
        <w:tc>
          <w:tcPr>
            <w:tcW w:w="709" w:type="dxa"/>
            <w:tcBorders>
              <w:top w:val="nil"/>
              <w:left w:val="nil"/>
              <w:bottom w:val="nil"/>
              <w:right w:val="nil"/>
            </w:tcBorders>
            <w:shd w:val="clear" w:color="auto" w:fill="DAEEF3" w:themeFill="accent5" w:themeFillTint="33"/>
            <w:vAlign w:val="center"/>
          </w:tcPr>
          <w:p w14:paraId="31F716B8"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142</w:t>
            </w:r>
          </w:p>
        </w:tc>
        <w:tc>
          <w:tcPr>
            <w:tcW w:w="1559" w:type="dxa"/>
            <w:tcBorders>
              <w:top w:val="nil"/>
              <w:left w:val="nil"/>
              <w:bottom w:val="nil"/>
              <w:right w:val="single" w:sz="4" w:space="0" w:color="auto"/>
            </w:tcBorders>
            <w:shd w:val="clear" w:color="auto" w:fill="DAEEF3" w:themeFill="accent5" w:themeFillTint="33"/>
            <w:vAlign w:val="center"/>
          </w:tcPr>
          <w:p w14:paraId="6F2F7219"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2.4</w:t>
            </w:r>
          </w:p>
          <w:p w14:paraId="0A392072"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(1.8 - 2.9)</w:t>
            </w:r>
          </w:p>
        </w:tc>
        <w:tc>
          <w:tcPr>
            <w:tcW w:w="709" w:type="dxa"/>
            <w:tcBorders>
              <w:top w:val="nil"/>
              <w:left w:val="nil"/>
              <w:bottom w:val="nil"/>
              <w:right w:val="nil"/>
            </w:tcBorders>
            <w:shd w:val="clear" w:color="auto" w:fill="DAEEF3" w:themeFill="accent5" w:themeFillTint="33"/>
            <w:vAlign w:val="center"/>
          </w:tcPr>
          <w:p w14:paraId="4C9E7687"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128</w:t>
            </w:r>
          </w:p>
        </w:tc>
        <w:tc>
          <w:tcPr>
            <w:tcW w:w="1418" w:type="dxa"/>
            <w:tcBorders>
              <w:top w:val="nil"/>
              <w:left w:val="nil"/>
              <w:bottom w:val="nil"/>
              <w:right w:val="single" w:sz="4" w:space="0" w:color="auto"/>
            </w:tcBorders>
            <w:shd w:val="clear" w:color="auto" w:fill="DAEEF3" w:themeFill="accent5" w:themeFillTint="33"/>
          </w:tcPr>
          <w:p w14:paraId="7635ECF6"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w:t>
            </w:r>
          </w:p>
          <w:p w14:paraId="0DD083FE" w14:textId="77777777" w:rsidR="003A39BC" w:rsidRPr="00AF3A24" w:rsidRDefault="003A39BC" w:rsidP="00203BC6">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(1.4 - 2.3)</w:t>
            </w:r>
          </w:p>
        </w:tc>
      </w:tr>
      <w:tr w:rsidR="003A39BC" w:rsidRPr="00AF3A24" w14:paraId="1D5B89E3" w14:textId="77777777" w:rsidTr="00203BC6">
        <w:tc>
          <w:tcPr>
            <w:tcW w:w="1435" w:type="dxa"/>
            <w:vMerge w:val="restart"/>
            <w:tcBorders>
              <w:top w:val="single" w:sz="4" w:space="0" w:color="auto"/>
            </w:tcBorders>
            <w:shd w:val="clear" w:color="auto" w:fill="DAEEF3" w:themeFill="accent5" w:themeFillTint="33"/>
            <w:vAlign w:val="center"/>
          </w:tcPr>
          <w:p w14:paraId="0EB7A9DF" w14:textId="77777777" w:rsidR="003A39BC" w:rsidRPr="00AF3A24" w:rsidRDefault="003A39B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1117" w:type="dxa"/>
            <w:tcBorders>
              <w:top w:val="single" w:sz="4" w:space="0" w:color="auto"/>
              <w:bottom w:val="nil"/>
            </w:tcBorders>
            <w:shd w:val="clear" w:color="auto" w:fill="DAEEF3" w:themeFill="accent5" w:themeFillTint="33"/>
            <w:vAlign w:val="center"/>
          </w:tcPr>
          <w:p w14:paraId="36FC7AF2"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09" w:type="dxa"/>
            <w:tcBorders>
              <w:left w:val="nil"/>
              <w:bottom w:val="nil"/>
              <w:right w:val="nil"/>
            </w:tcBorders>
            <w:shd w:val="clear" w:color="auto" w:fill="DAEEF3" w:themeFill="accent5" w:themeFillTint="33"/>
            <w:vAlign w:val="center"/>
          </w:tcPr>
          <w:p w14:paraId="0F0572D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77</w:t>
            </w:r>
          </w:p>
        </w:tc>
        <w:tc>
          <w:tcPr>
            <w:tcW w:w="1417" w:type="dxa"/>
            <w:tcBorders>
              <w:left w:val="nil"/>
              <w:bottom w:val="nil"/>
              <w:right w:val="single" w:sz="4" w:space="0" w:color="auto"/>
            </w:tcBorders>
            <w:shd w:val="clear" w:color="auto" w:fill="DAEEF3" w:themeFill="accent5" w:themeFillTint="33"/>
            <w:vAlign w:val="center"/>
          </w:tcPr>
          <w:p w14:paraId="5F12EB7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(3.2 - 5.5)</w:t>
            </w:r>
          </w:p>
        </w:tc>
        <w:tc>
          <w:tcPr>
            <w:tcW w:w="709" w:type="dxa"/>
            <w:tcBorders>
              <w:left w:val="nil"/>
              <w:bottom w:val="nil"/>
              <w:right w:val="nil"/>
            </w:tcBorders>
            <w:shd w:val="clear" w:color="auto" w:fill="DAEEF3" w:themeFill="accent5" w:themeFillTint="33"/>
            <w:vAlign w:val="center"/>
          </w:tcPr>
          <w:p w14:paraId="73E0BDE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w:t>
            </w:r>
          </w:p>
        </w:tc>
        <w:tc>
          <w:tcPr>
            <w:tcW w:w="1417" w:type="dxa"/>
            <w:tcBorders>
              <w:left w:val="nil"/>
              <w:bottom w:val="nil"/>
              <w:right w:val="single" w:sz="4" w:space="0" w:color="auto"/>
            </w:tcBorders>
            <w:shd w:val="clear" w:color="auto" w:fill="DAEEF3" w:themeFill="accent5" w:themeFillTint="33"/>
            <w:vAlign w:val="center"/>
          </w:tcPr>
          <w:p w14:paraId="0FE30AB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r w:rsidRPr="00AF3A24">
              <w:rPr>
                <w:rFonts w:asciiTheme="minorHAnsi" w:hAnsiTheme="minorHAnsi"/>
                <w:bCs/>
                <w:color w:val="000000"/>
                <w:sz w:val="16"/>
                <w:szCs w:val="16"/>
              </w:rPr>
              <w:br/>
              <w:t>(2.0 - 4.4)</w:t>
            </w:r>
          </w:p>
        </w:tc>
        <w:tc>
          <w:tcPr>
            <w:tcW w:w="709" w:type="dxa"/>
            <w:tcBorders>
              <w:left w:val="nil"/>
              <w:bottom w:val="nil"/>
              <w:right w:val="nil"/>
            </w:tcBorders>
            <w:shd w:val="clear" w:color="auto" w:fill="DAEEF3" w:themeFill="accent5" w:themeFillTint="33"/>
            <w:vAlign w:val="center"/>
          </w:tcPr>
          <w:p w14:paraId="141DB07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559" w:type="dxa"/>
            <w:tcBorders>
              <w:left w:val="nil"/>
              <w:bottom w:val="nil"/>
              <w:right w:val="single" w:sz="4" w:space="0" w:color="auto"/>
            </w:tcBorders>
            <w:shd w:val="clear" w:color="auto" w:fill="DAEEF3" w:themeFill="accent5" w:themeFillTint="33"/>
            <w:vAlign w:val="center"/>
          </w:tcPr>
          <w:p w14:paraId="5207BDB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(1.6 - 3.8)</w:t>
            </w:r>
          </w:p>
        </w:tc>
        <w:tc>
          <w:tcPr>
            <w:tcW w:w="709" w:type="dxa"/>
            <w:tcBorders>
              <w:left w:val="nil"/>
              <w:bottom w:val="nil"/>
              <w:right w:val="nil"/>
            </w:tcBorders>
            <w:shd w:val="clear" w:color="auto" w:fill="DAEEF3" w:themeFill="accent5" w:themeFillTint="33"/>
            <w:vAlign w:val="center"/>
          </w:tcPr>
          <w:p w14:paraId="0E05F25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418" w:type="dxa"/>
            <w:tcBorders>
              <w:left w:val="nil"/>
              <w:bottom w:val="nil"/>
              <w:right w:val="single" w:sz="4" w:space="0" w:color="auto"/>
            </w:tcBorders>
            <w:shd w:val="clear" w:color="auto" w:fill="DAEEF3" w:themeFill="accent5" w:themeFillTint="33"/>
            <w:vAlign w:val="center"/>
          </w:tcPr>
          <w:p w14:paraId="152DE94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(1.2 - 3.6)</w:t>
            </w:r>
          </w:p>
        </w:tc>
      </w:tr>
      <w:tr w:rsidR="00E1507C" w:rsidRPr="00AF3A24" w14:paraId="1D0D2000" w14:textId="77777777" w:rsidTr="00203BC6">
        <w:tc>
          <w:tcPr>
            <w:tcW w:w="1435" w:type="dxa"/>
            <w:vMerge/>
            <w:shd w:val="clear" w:color="auto" w:fill="DAEEF3" w:themeFill="accent5" w:themeFillTint="33"/>
            <w:vAlign w:val="center"/>
          </w:tcPr>
          <w:p w14:paraId="5BC58050"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42D85567"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09" w:type="dxa"/>
            <w:tcBorders>
              <w:top w:val="nil"/>
              <w:left w:val="nil"/>
              <w:bottom w:val="nil"/>
              <w:right w:val="nil"/>
            </w:tcBorders>
            <w:shd w:val="clear" w:color="auto" w:fill="DAEEF3" w:themeFill="accent5" w:themeFillTint="33"/>
            <w:vAlign w:val="center"/>
          </w:tcPr>
          <w:p w14:paraId="0051302E"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68</w:t>
            </w:r>
          </w:p>
        </w:tc>
        <w:tc>
          <w:tcPr>
            <w:tcW w:w="1417" w:type="dxa"/>
            <w:tcBorders>
              <w:top w:val="nil"/>
              <w:left w:val="nil"/>
              <w:bottom w:val="nil"/>
              <w:right w:val="single" w:sz="4" w:space="0" w:color="auto"/>
            </w:tcBorders>
            <w:shd w:val="clear" w:color="auto" w:fill="DAEEF3" w:themeFill="accent5" w:themeFillTint="33"/>
            <w:vAlign w:val="center"/>
          </w:tcPr>
          <w:p w14:paraId="45B20D6E"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r w:rsidRPr="00AF3A24">
              <w:rPr>
                <w:rFonts w:asciiTheme="minorHAnsi" w:hAnsiTheme="minorHAnsi"/>
                <w:bCs/>
                <w:color w:val="000000"/>
                <w:sz w:val="16"/>
                <w:szCs w:val="16"/>
              </w:rPr>
              <w:br/>
              <w:t>(2.4 - 4.5)</w:t>
            </w:r>
          </w:p>
        </w:tc>
        <w:tc>
          <w:tcPr>
            <w:tcW w:w="709" w:type="dxa"/>
            <w:tcBorders>
              <w:top w:val="nil"/>
              <w:left w:val="nil"/>
              <w:bottom w:val="nil"/>
              <w:right w:val="nil"/>
            </w:tcBorders>
            <w:shd w:val="clear" w:color="auto" w:fill="DAEEF3" w:themeFill="accent5" w:themeFillTint="33"/>
            <w:vAlign w:val="center"/>
          </w:tcPr>
          <w:p w14:paraId="5ABA220F"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417" w:type="dxa"/>
            <w:tcBorders>
              <w:top w:val="nil"/>
              <w:left w:val="nil"/>
              <w:bottom w:val="nil"/>
              <w:right w:val="single" w:sz="4" w:space="0" w:color="auto"/>
            </w:tcBorders>
            <w:shd w:val="clear" w:color="auto" w:fill="DAEEF3" w:themeFill="accent5" w:themeFillTint="33"/>
            <w:vAlign w:val="center"/>
          </w:tcPr>
          <w:p w14:paraId="31B96D4C"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(1.2 - 2.5)</w:t>
            </w:r>
          </w:p>
        </w:tc>
        <w:tc>
          <w:tcPr>
            <w:tcW w:w="709" w:type="dxa"/>
            <w:tcBorders>
              <w:top w:val="nil"/>
              <w:left w:val="nil"/>
              <w:bottom w:val="nil"/>
              <w:right w:val="nil"/>
            </w:tcBorders>
            <w:shd w:val="clear" w:color="auto" w:fill="DAEEF3" w:themeFill="accent5" w:themeFillTint="33"/>
            <w:vAlign w:val="center"/>
          </w:tcPr>
          <w:p w14:paraId="31A2B9E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4AC29CB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7033BD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421AE69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25B304F4" w14:textId="77777777" w:rsidTr="00203BC6">
        <w:tc>
          <w:tcPr>
            <w:tcW w:w="1435" w:type="dxa"/>
            <w:vMerge/>
            <w:shd w:val="clear" w:color="auto" w:fill="DAEEF3" w:themeFill="accent5" w:themeFillTint="33"/>
            <w:vAlign w:val="center"/>
          </w:tcPr>
          <w:p w14:paraId="1B915E1E"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32D46EA1"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09" w:type="dxa"/>
            <w:tcBorders>
              <w:top w:val="nil"/>
              <w:left w:val="nil"/>
              <w:bottom w:val="nil"/>
              <w:right w:val="nil"/>
            </w:tcBorders>
            <w:shd w:val="clear" w:color="auto" w:fill="DAEEF3" w:themeFill="accent5" w:themeFillTint="33"/>
            <w:vAlign w:val="center"/>
          </w:tcPr>
          <w:p w14:paraId="1AA4E62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110</w:t>
            </w:r>
          </w:p>
        </w:tc>
        <w:tc>
          <w:tcPr>
            <w:tcW w:w="1417" w:type="dxa"/>
            <w:tcBorders>
              <w:top w:val="nil"/>
              <w:left w:val="nil"/>
              <w:bottom w:val="nil"/>
              <w:right w:val="single" w:sz="4" w:space="0" w:color="auto"/>
            </w:tcBorders>
            <w:shd w:val="clear" w:color="auto" w:fill="DAEEF3" w:themeFill="accent5" w:themeFillTint="33"/>
            <w:vAlign w:val="center"/>
          </w:tcPr>
          <w:p w14:paraId="431DA9C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w:t>
            </w:r>
            <w:r w:rsidRPr="00AF3A24">
              <w:rPr>
                <w:rFonts w:asciiTheme="minorHAnsi" w:hAnsiTheme="minorHAnsi"/>
                <w:bCs/>
                <w:color w:val="000000"/>
                <w:sz w:val="16"/>
                <w:szCs w:val="16"/>
              </w:rPr>
              <w:br/>
              <w:t>(3.7 - 5.9)</w:t>
            </w:r>
          </w:p>
        </w:tc>
        <w:tc>
          <w:tcPr>
            <w:tcW w:w="709" w:type="dxa"/>
            <w:tcBorders>
              <w:top w:val="nil"/>
              <w:left w:val="nil"/>
              <w:bottom w:val="nil"/>
              <w:right w:val="nil"/>
            </w:tcBorders>
            <w:shd w:val="clear" w:color="auto" w:fill="DAEEF3" w:themeFill="accent5" w:themeFillTint="33"/>
            <w:vAlign w:val="center"/>
          </w:tcPr>
          <w:p w14:paraId="640701B2"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73</w:t>
            </w:r>
          </w:p>
        </w:tc>
        <w:tc>
          <w:tcPr>
            <w:tcW w:w="1417" w:type="dxa"/>
            <w:tcBorders>
              <w:top w:val="nil"/>
              <w:left w:val="nil"/>
              <w:bottom w:val="nil"/>
              <w:right w:val="single" w:sz="4" w:space="0" w:color="auto"/>
            </w:tcBorders>
            <w:shd w:val="clear" w:color="auto" w:fill="DAEEF3" w:themeFill="accent5" w:themeFillTint="33"/>
            <w:vAlign w:val="center"/>
          </w:tcPr>
          <w:p w14:paraId="7BD8F1A9"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r w:rsidRPr="00AF3A24">
              <w:rPr>
                <w:rFonts w:asciiTheme="minorHAnsi" w:hAnsiTheme="minorHAnsi"/>
                <w:bCs/>
                <w:color w:val="000000"/>
                <w:sz w:val="16"/>
                <w:szCs w:val="16"/>
              </w:rPr>
              <w:br/>
              <w:t>(2.3 - 4.1)</w:t>
            </w:r>
          </w:p>
        </w:tc>
        <w:tc>
          <w:tcPr>
            <w:tcW w:w="709" w:type="dxa"/>
            <w:tcBorders>
              <w:top w:val="nil"/>
              <w:left w:val="nil"/>
              <w:bottom w:val="nil"/>
              <w:right w:val="nil"/>
            </w:tcBorders>
            <w:shd w:val="clear" w:color="auto" w:fill="DAEEF3" w:themeFill="accent5" w:themeFillTint="33"/>
            <w:vAlign w:val="center"/>
          </w:tcPr>
          <w:p w14:paraId="4CBBE51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tc>
        <w:tc>
          <w:tcPr>
            <w:tcW w:w="1559" w:type="dxa"/>
            <w:tcBorders>
              <w:top w:val="nil"/>
              <w:left w:val="nil"/>
              <w:bottom w:val="nil"/>
              <w:right w:val="single" w:sz="4" w:space="0" w:color="auto"/>
            </w:tcBorders>
            <w:shd w:val="clear" w:color="auto" w:fill="DAEEF3" w:themeFill="accent5" w:themeFillTint="33"/>
            <w:vAlign w:val="center"/>
          </w:tcPr>
          <w:p w14:paraId="5F509791"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(1.0 - 2.4)</w:t>
            </w:r>
          </w:p>
        </w:tc>
        <w:tc>
          <w:tcPr>
            <w:tcW w:w="709" w:type="dxa"/>
            <w:tcBorders>
              <w:top w:val="nil"/>
              <w:left w:val="nil"/>
              <w:bottom w:val="nil"/>
              <w:right w:val="nil"/>
            </w:tcBorders>
            <w:shd w:val="clear" w:color="auto" w:fill="DAEEF3" w:themeFill="accent5" w:themeFillTint="33"/>
            <w:vAlign w:val="center"/>
          </w:tcPr>
          <w:p w14:paraId="31D38B5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p>
        </w:tc>
        <w:tc>
          <w:tcPr>
            <w:tcW w:w="1418" w:type="dxa"/>
            <w:tcBorders>
              <w:top w:val="nil"/>
              <w:left w:val="nil"/>
              <w:bottom w:val="nil"/>
              <w:right w:val="single" w:sz="4" w:space="0" w:color="auto"/>
            </w:tcBorders>
            <w:shd w:val="clear" w:color="auto" w:fill="DAEEF3" w:themeFill="accent5" w:themeFillTint="33"/>
            <w:vAlign w:val="center"/>
          </w:tcPr>
          <w:p w14:paraId="1B945CA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r w:rsidRPr="00AF3A24">
              <w:rPr>
                <w:rFonts w:asciiTheme="minorHAnsi" w:hAnsiTheme="minorHAnsi"/>
                <w:bCs/>
                <w:color w:val="000000"/>
                <w:sz w:val="16"/>
                <w:szCs w:val="16"/>
              </w:rPr>
              <w:br/>
              <w:t>(0.7 - 1.7)</w:t>
            </w:r>
          </w:p>
        </w:tc>
      </w:tr>
      <w:tr w:rsidR="00E1507C" w:rsidRPr="00AF3A24" w14:paraId="1C214E27" w14:textId="77777777" w:rsidTr="00203BC6">
        <w:tc>
          <w:tcPr>
            <w:tcW w:w="1435" w:type="dxa"/>
            <w:vMerge/>
            <w:shd w:val="clear" w:color="auto" w:fill="DAEEF3" w:themeFill="accent5" w:themeFillTint="33"/>
            <w:vAlign w:val="center"/>
          </w:tcPr>
          <w:p w14:paraId="5FD1C467" w14:textId="77777777" w:rsidR="00E1507C" w:rsidRPr="00AF3A24" w:rsidRDefault="00E1507C" w:rsidP="00203BC6">
            <w:pPr>
              <w:spacing w:before="0" w:line="240" w:lineRule="auto"/>
              <w:ind w:left="33"/>
              <w:jc w:val="left"/>
              <w:rPr>
                <w:rFonts w:asciiTheme="minorHAnsi" w:hAnsiTheme="minorHAnsi" w:cstheme="minorHAnsi"/>
                <w:sz w:val="16"/>
                <w:szCs w:val="16"/>
              </w:rPr>
            </w:pPr>
          </w:p>
        </w:tc>
        <w:tc>
          <w:tcPr>
            <w:tcW w:w="1117" w:type="dxa"/>
            <w:tcBorders>
              <w:top w:val="nil"/>
              <w:bottom w:val="nil"/>
            </w:tcBorders>
            <w:shd w:val="clear" w:color="auto" w:fill="DAEEF3" w:themeFill="accent5" w:themeFillTint="33"/>
            <w:vAlign w:val="center"/>
          </w:tcPr>
          <w:p w14:paraId="0D68935D"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09" w:type="dxa"/>
            <w:tcBorders>
              <w:top w:val="nil"/>
              <w:left w:val="nil"/>
              <w:bottom w:val="nil"/>
              <w:right w:val="nil"/>
            </w:tcBorders>
            <w:shd w:val="clear" w:color="auto" w:fill="DAEEF3" w:themeFill="accent5" w:themeFillTint="33"/>
            <w:vAlign w:val="center"/>
          </w:tcPr>
          <w:p w14:paraId="7FEA187E"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112</w:t>
            </w:r>
          </w:p>
        </w:tc>
        <w:tc>
          <w:tcPr>
            <w:tcW w:w="1417" w:type="dxa"/>
            <w:tcBorders>
              <w:top w:val="nil"/>
              <w:left w:val="nil"/>
              <w:bottom w:val="nil"/>
              <w:right w:val="single" w:sz="4" w:space="0" w:color="auto"/>
            </w:tcBorders>
            <w:shd w:val="clear" w:color="auto" w:fill="DAEEF3" w:themeFill="accent5" w:themeFillTint="33"/>
            <w:vAlign w:val="center"/>
          </w:tcPr>
          <w:p w14:paraId="52BAA570"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(3.3 - 5.3)</w:t>
            </w:r>
          </w:p>
        </w:tc>
        <w:tc>
          <w:tcPr>
            <w:tcW w:w="709" w:type="dxa"/>
            <w:tcBorders>
              <w:top w:val="nil"/>
              <w:left w:val="nil"/>
              <w:bottom w:val="nil"/>
              <w:right w:val="nil"/>
            </w:tcBorders>
            <w:shd w:val="clear" w:color="auto" w:fill="DAEEF3" w:themeFill="accent5" w:themeFillTint="33"/>
            <w:vAlign w:val="center"/>
          </w:tcPr>
          <w:p w14:paraId="5D69A9B4"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w:t>
            </w:r>
          </w:p>
        </w:tc>
        <w:tc>
          <w:tcPr>
            <w:tcW w:w="1417" w:type="dxa"/>
            <w:tcBorders>
              <w:top w:val="nil"/>
              <w:left w:val="nil"/>
              <w:bottom w:val="nil"/>
              <w:right w:val="single" w:sz="4" w:space="0" w:color="auto"/>
            </w:tcBorders>
            <w:shd w:val="clear" w:color="auto" w:fill="DAEEF3" w:themeFill="accent5" w:themeFillTint="33"/>
            <w:vAlign w:val="center"/>
          </w:tcPr>
          <w:p w14:paraId="39A04D6F"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w:t>
            </w:r>
            <w:r w:rsidRPr="00AF3A24">
              <w:rPr>
                <w:rFonts w:asciiTheme="minorHAnsi" w:hAnsiTheme="minorHAnsi"/>
                <w:bCs/>
                <w:color w:val="000000"/>
                <w:sz w:val="16"/>
                <w:szCs w:val="16"/>
              </w:rPr>
              <w:br/>
              <w:t>(1.9 - 3.8)</w:t>
            </w:r>
          </w:p>
        </w:tc>
        <w:tc>
          <w:tcPr>
            <w:tcW w:w="709" w:type="dxa"/>
            <w:tcBorders>
              <w:top w:val="nil"/>
              <w:left w:val="nil"/>
              <w:bottom w:val="nil"/>
              <w:right w:val="nil"/>
            </w:tcBorders>
            <w:shd w:val="clear" w:color="auto" w:fill="DAEEF3" w:themeFill="accent5" w:themeFillTint="33"/>
            <w:vAlign w:val="center"/>
          </w:tcPr>
          <w:p w14:paraId="55C77C81"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559" w:type="dxa"/>
            <w:tcBorders>
              <w:top w:val="nil"/>
              <w:left w:val="nil"/>
              <w:bottom w:val="nil"/>
              <w:right w:val="single" w:sz="4" w:space="0" w:color="auto"/>
            </w:tcBorders>
            <w:shd w:val="clear" w:color="auto" w:fill="DAEEF3" w:themeFill="accent5" w:themeFillTint="33"/>
            <w:vAlign w:val="center"/>
          </w:tcPr>
          <w:p w14:paraId="61005141"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(1.1 - 2.5)</w:t>
            </w:r>
          </w:p>
        </w:tc>
        <w:tc>
          <w:tcPr>
            <w:tcW w:w="709" w:type="dxa"/>
            <w:tcBorders>
              <w:top w:val="nil"/>
              <w:left w:val="nil"/>
              <w:bottom w:val="nil"/>
              <w:right w:val="nil"/>
            </w:tcBorders>
            <w:shd w:val="clear" w:color="auto" w:fill="DAEEF3" w:themeFill="accent5" w:themeFillTint="33"/>
            <w:vAlign w:val="center"/>
          </w:tcPr>
          <w:p w14:paraId="643A162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top w:val="nil"/>
              <w:left w:val="nil"/>
              <w:bottom w:val="nil"/>
              <w:right w:val="single" w:sz="4" w:space="0" w:color="auto"/>
            </w:tcBorders>
            <w:shd w:val="clear" w:color="auto" w:fill="DAEEF3" w:themeFill="accent5" w:themeFillTint="33"/>
            <w:vAlign w:val="center"/>
          </w:tcPr>
          <w:p w14:paraId="2370094B"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4512DFE0" w14:textId="77777777" w:rsidTr="00203BC6">
        <w:tc>
          <w:tcPr>
            <w:tcW w:w="1435" w:type="dxa"/>
            <w:vMerge/>
            <w:tcBorders>
              <w:bottom w:val="single" w:sz="4" w:space="0" w:color="auto"/>
            </w:tcBorders>
            <w:shd w:val="clear" w:color="auto" w:fill="DAEEF3" w:themeFill="accent5" w:themeFillTint="33"/>
            <w:vAlign w:val="center"/>
          </w:tcPr>
          <w:p w14:paraId="44BFE1B8" w14:textId="77777777" w:rsidR="003A39BC" w:rsidRPr="00AF3A24" w:rsidRDefault="003A39BC" w:rsidP="00203BC6">
            <w:pPr>
              <w:spacing w:before="0" w:line="240" w:lineRule="auto"/>
              <w:ind w:left="33"/>
              <w:jc w:val="left"/>
              <w:rPr>
                <w:rFonts w:asciiTheme="minorHAnsi" w:hAnsiTheme="minorHAnsi" w:cstheme="minorHAnsi"/>
                <w:sz w:val="16"/>
                <w:szCs w:val="16"/>
              </w:rPr>
            </w:pPr>
          </w:p>
        </w:tc>
        <w:tc>
          <w:tcPr>
            <w:tcW w:w="1117" w:type="dxa"/>
            <w:tcBorders>
              <w:top w:val="nil"/>
              <w:bottom w:val="single" w:sz="4" w:space="0" w:color="auto"/>
            </w:tcBorders>
            <w:shd w:val="clear" w:color="auto" w:fill="DAEEF3" w:themeFill="accent5" w:themeFillTint="33"/>
            <w:vAlign w:val="center"/>
          </w:tcPr>
          <w:p w14:paraId="1043287D"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09" w:type="dxa"/>
            <w:tcBorders>
              <w:top w:val="nil"/>
              <w:left w:val="nil"/>
              <w:bottom w:val="single" w:sz="4" w:space="0" w:color="auto"/>
              <w:right w:val="nil"/>
            </w:tcBorders>
            <w:shd w:val="clear" w:color="auto" w:fill="DAEEF3" w:themeFill="accent5" w:themeFillTint="33"/>
            <w:vAlign w:val="center"/>
          </w:tcPr>
          <w:p w14:paraId="7B74F25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132</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5080DC0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r w:rsidRPr="00AF3A24">
              <w:rPr>
                <w:rFonts w:asciiTheme="minorHAnsi" w:hAnsiTheme="minorHAnsi"/>
                <w:bCs/>
                <w:color w:val="000000"/>
                <w:sz w:val="16"/>
                <w:szCs w:val="16"/>
              </w:rPr>
              <w:br/>
              <w:t>(3.2 - 5.0)</w:t>
            </w:r>
          </w:p>
        </w:tc>
        <w:tc>
          <w:tcPr>
            <w:tcW w:w="709" w:type="dxa"/>
            <w:tcBorders>
              <w:top w:val="nil"/>
              <w:left w:val="nil"/>
              <w:bottom w:val="single" w:sz="4" w:space="0" w:color="auto"/>
              <w:right w:val="nil"/>
            </w:tcBorders>
            <w:shd w:val="clear" w:color="auto" w:fill="DAEEF3" w:themeFill="accent5" w:themeFillTint="33"/>
            <w:vAlign w:val="center"/>
          </w:tcPr>
          <w:p w14:paraId="7A85C0D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78442988"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r w:rsidRPr="00AF3A24">
              <w:rPr>
                <w:rFonts w:asciiTheme="minorHAnsi" w:hAnsiTheme="minorHAnsi"/>
                <w:bCs/>
                <w:color w:val="000000"/>
                <w:sz w:val="16"/>
                <w:szCs w:val="16"/>
              </w:rPr>
              <w:br/>
              <w:t>(1.3 - 2.9)</w:t>
            </w:r>
          </w:p>
        </w:tc>
        <w:tc>
          <w:tcPr>
            <w:tcW w:w="709" w:type="dxa"/>
            <w:tcBorders>
              <w:top w:val="nil"/>
              <w:left w:val="nil"/>
              <w:bottom w:val="single" w:sz="4" w:space="0" w:color="auto"/>
              <w:right w:val="nil"/>
            </w:tcBorders>
            <w:shd w:val="clear" w:color="auto" w:fill="DAEEF3" w:themeFill="accent5" w:themeFillTint="33"/>
            <w:vAlign w:val="center"/>
          </w:tcPr>
          <w:p w14:paraId="69FA4B67"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422B982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r w:rsidRPr="00AF3A24">
              <w:rPr>
                <w:rFonts w:asciiTheme="minorHAnsi" w:hAnsiTheme="minorHAnsi"/>
                <w:bCs/>
                <w:color w:val="000000"/>
                <w:sz w:val="16"/>
                <w:szCs w:val="16"/>
              </w:rPr>
              <w:br/>
              <w:t>(1.1 - 2.6)</w:t>
            </w:r>
          </w:p>
        </w:tc>
        <w:tc>
          <w:tcPr>
            <w:tcW w:w="709" w:type="dxa"/>
            <w:tcBorders>
              <w:top w:val="nil"/>
              <w:left w:val="nil"/>
              <w:bottom w:val="single" w:sz="4" w:space="0" w:color="auto"/>
              <w:right w:val="nil"/>
            </w:tcBorders>
            <w:shd w:val="clear" w:color="auto" w:fill="DAEEF3" w:themeFill="accent5" w:themeFillTint="33"/>
            <w:vAlign w:val="center"/>
          </w:tcPr>
          <w:p w14:paraId="1D78823C"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p>
        </w:tc>
        <w:tc>
          <w:tcPr>
            <w:tcW w:w="1418" w:type="dxa"/>
            <w:tcBorders>
              <w:top w:val="nil"/>
              <w:left w:val="nil"/>
              <w:bottom w:val="single" w:sz="4" w:space="0" w:color="auto"/>
              <w:right w:val="single" w:sz="4" w:space="0" w:color="auto"/>
            </w:tcBorders>
            <w:shd w:val="clear" w:color="auto" w:fill="DAEEF3" w:themeFill="accent5" w:themeFillTint="33"/>
            <w:vAlign w:val="center"/>
          </w:tcPr>
          <w:p w14:paraId="3328F384"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(0.7 - 1.8)</w:t>
            </w:r>
          </w:p>
        </w:tc>
      </w:tr>
      <w:tr w:rsidR="00E1507C" w:rsidRPr="00AF3A24" w14:paraId="5EE9C219" w14:textId="77777777" w:rsidTr="00203BC6">
        <w:tc>
          <w:tcPr>
            <w:tcW w:w="1435" w:type="dxa"/>
            <w:vMerge w:val="restart"/>
            <w:tcBorders>
              <w:top w:val="single" w:sz="4" w:space="0" w:color="auto"/>
            </w:tcBorders>
            <w:shd w:val="clear" w:color="auto" w:fill="DAEEF3" w:themeFill="accent5" w:themeFillTint="33"/>
            <w:vAlign w:val="center"/>
          </w:tcPr>
          <w:p w14:paraId="002374D0" w14:textId="77777777" w:rsidR="00E1507C" w:rsidRPr="00AF3A24" w:rsidRDefault="00E1507C" w:rsidP="00203BC6">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1117" w:type="dxa"/>
            <w:tcBorders>
              <w:top w:val="single" w:sz="4" w:space="0" w:color="auto"/>
              <w:bottom w:val="nil"/>
            </w:tcBorders>
            <w:shd w:val="clear" w:color="auto" w:fill="DAEEF3" w:themeFill="accent5" w:themeFillTint="33"/>
            <w:vAlign w:val="center"/>
          </w:tcPr>
          <w:p w14:paraId="6B44FA45" w14:textId="77777777" w:rsidR="00E1507C" w:rsidRPr="00AF3A24" w:rsidRDefault="00E1507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09" w:type="dxa"/>
            <w:tcBorders>
              <w:left w:val="nil"/>
              <w:bottom w:val="nil"/>
              <w:right w:val="nil"/>
            </w:tcBorders>
            <w:shd w:val="clear" w:color="auto" w:fill="DAEEF3" w:themeFill="accent5" w:themeFillTint="33"/>
            <w:vAlign w:val="center"/>
          </w:tcPr>
          <w:p w14:paraId="50421770"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p>
        </w:tc>
        <w:tc>
          <w:tcPr>
            <w:tcW w:w="1417" w:type="dxa"/>
            <w:tcBorders>
              <w:left w:val="nil"/>
              <w:bottom w:val="nil"/>
              <w:right w:val="single" w:sz="4" w:space="0" w:color="auto"/>
            </w:tcBorders>
            <w:shd w:val="clear" w:color="auto" w:fill="DAEEF3" w:themeFill="accent5" w:themeFillTint="33"/>
            <w:vAlign w:val="center"/>
          </w:tcPr>
          <w:p w14:paraId="1289FAFB" w14:textId="77777777" w:rsidR="00E1507C" w:rsidRPr="00AF3A24" w:rsidRDefault="00E1507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r w:rsidRPr="00AF3A24">
              <w:rPr>
                <w:rFonts w:asciiTheme="minorHAnsi" w:hAnsiTheme="minorHAnsi"/>
                <w:bCs/>
                <w:color w:val="000000"/>
                <w:sz w:val="16"/>
                <w:szCs w:val="16"/>
              </w:rPr>
              <w:br/>
              <w:t>(1.6 - 3.5)</w:t>
            </w:r>
          </w:p>
        </w:tc>
        <w:tc>
          <w:tcPr>
            <w:tcW w:w="709" w:type="dxa"/>
            <w:tcBorders>
              <w:left w:val="nil"/>
              <w:bottom w:val="nil"/>
              <w:right w:val="nil"/>
            </w:tcBorders>
            <w:shd w:val="clear" w:color="auto" w:fill="DAEEF3" w:themeFill="accent5" w:themeFillTint="33"/>
            <w:vAlign w:val="center"/>
          </w:tcPr>
          <w:p w14:paraId="526E3A1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69B8369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5B13005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left w:val="nil"/>
              <w:bottom w:val="nil"/>
              <w:right w:val="single" w:sz="4" w:space="0" w:color="auto"/>
            </w:tcBorders>
            <w:shd w:val="clear" w:color="auto" w:fill="DAEEF3" w:themeFill="accent5" w:themeFillTint="33"/>
            <w:vAlign w:val="center"/>
          </w:tcPr>
          <w:p w14:paraId="0301005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5877EC2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8" w:type="dxa"/>
            <w:tcBorders>
              <w:left w:val="nil"/>
              <w:bottom w:val="nil"/>
              <w:right w:val="single" w:sz="4" w:space="0" w:color="auto"/>
            </w:tcBorders>
            <w:shd w:val="clear" w:color="auto" w:fill="DAEEF3" w:themeFill="accent5" w:themeFillTint="33"/>
            <w:vAlign w:val="center"/>
          </w:tcPr>
          <w:p w14:paraId="0BABF52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623A1DB4" w14:textId="77777777" w:rsidTr="00203BC6">
        <w:tc>
          <w:tcPr>
            <w:tcW w:w="1435" w:type="dxa"/>
            <w:vMerge/>
            <w:tcBorders>
              <w:bottom w:val="single" w:sz="4" w:space="0" w:color="auto"/>
            </w:tcBorders>
            <w:shd w:val="clear" w:color="auto" w:fill="DAEEF3" w:themeFill="accent5" w:themeFillTint="33"/>
          </w:tcPr>
          <w:p w14:paraId="48C8117F" w14:textId="77777777" w:rsidR="003A39BC" w:rsidRPr="00AF3A24" w:rsidRDefault="003A39BC" w:rsidP="00203BC6">
            <w:pPr>
              <w:spacing w:before="0" w:line="240" w:lineRule="auto"/>
              <w:ind w:left="78"/>
              <w:jc w:val="center"/>
              <w:rPr>
                <w:rFonts w:asciiTheme="minorHAnsi" w:hAnsiTheme="minorHAnsi" w:cstheme="minorHAnsi"/>
                <w:sz w:val="16"/>
                <w:szCs w:val="16"/>
              </w:rPr>
            </w:pPr>
          </w:p>
        </w:tc>
        <w:tc>
          <w:tcPr>
            <w:tcW w:w="1117" w:type="dxa"/>
            <w:tcBorders>
              <w:top w:val="nil"/>
              <w:bottom w:val="single" w:sz="4" w:space="0" w:color="auto"/>
            </w:tcBorders>
            <w:shd w:val="clear" w:color="auto" w:fill="DAEEF3" w:themeFill="accent5" w:themeFillTint="33"/>
            <w:vAlign w:val="center"/>
          </w:tcPr>
          <w:p w14:paraId="3E541BDD" w14:textId="77777777" w:rsidR="003A39BC" w:rsidRPr="00AF3A24" w:rsidRDefault="003A39BC" w:rsidP="00203BC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09" w:type="dxa"/>
            <w:tcBorders>
              <w:top w:val="nil"/>
              <w:left w:val="nil"/>
              <w:bottom w:val="single" w:sz="4" w:space="0" w:color="auto"/>
              <w:right w:val="nil"/>
            </w:tcBorders>
            <w:shd w:val="clear" w:color="auto" w:fill="DAEEF3" w:themeFill="accent5" w:themeFillTint="33"/>
            <w:vAlign w:val="center"/>
          </w:tcPr>
          <w:p w14:paraId="3BBDC84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464</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7AB8065B"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r w:rsidRPr="00AF3A24">
              <w:rPr>
                <w:rFonts w:asciiTheme="minorHAnsi" w:hAnsiTheme="minorHAnsi"/>
                <w:bCs/>
                <w:color w:val="000000"/>
                <w:sz w:val="16"/>
                <w:szCs w:val="16"/>
              </w:rPr>
              <w:br/>
              <w:t>(3.9 - 4.9)</w:t>
            </w:r>
          </w:p>
        </w:tc>
        <w:tc>
          <w:tcPr>
            <w:tcW w:w="709" w:type="dxa"/>
            <w:tcBorders>
              <w:top w:val="nil"/>
              <w:left w:val="nil"/>
              <w:bottom w:val="single" w:sz="4" w:space="0" w:color="auto"/>
              <w:right w:val="nil"/>
            </w:tcBorders>
            <w:shd w:val="clear" w:color="auto" w:fill="DAEEF3" w:themeFill="accent5" w:themeFillTint="33"/>
            <w:vAlign w:val="center"/>
          </w:tcPr>
          <w:p w14:paraId="00D8B95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264</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154BD245"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w:t>
            </w:r>
            <w:r w:rsidRPr="00AF3A24">
              <w:rPr>
                <w:rFonts w:asciiTheme="minorHAnsi" w:hAnsiTheme="minorHAnsi"/>
                <w:bCs/>
                <w:color w:val="000000"/>
                <w:sz w:val="16"/>
                <w:szCs w:val="16"/>
              </w:rPr>
              <w:br/>
              <w:t>(2.4 - 3.3)</w:t>
            </w:r>
          </w:p>
        </w:tc>
        <w:tc>
          <w:tcPr>
            <w:tcW w:w="709" w:type="dxa"/>
            <w:tcBorders>
              <w:top w:val="nil"/>
              <w:left w:val="nil"/>
              <w:bottom w:val="single" w:sz="4" w:space="0" w:color="auto"/>
              <w:right w:val="nil"/>
            </w:tcBorders>
            <w:shd w:val="clear" w:color="auto" w:fill="DAEEF3" w:themeFill="accent5" w:themeFillTint="33"/>
            <w:vAlign w:val="center"/>
          </w:tcPr>
          <w:p w14:paraId="18CE5E5D"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167</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4006C4BA"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r w:rsidRPr="00AF3A24">
              <w:rPr>
                <w:rFonts w:asciiTheme="minorHAnsi" w:hAnsiTheme="minorHAnsi"/>
                <w:bCs/>
                <w:color w:val="000000"/>
                <w:sz w:val="16"/>
                <w:szCs w:val="16"/>
              </w:rPr>
              <w:br/>
              <w:t>(1.7 - 2.5)</w:t>
            </w:r>
          </w:p>
        </w:tc>
        <w:tc>
          <w:tcPr>
            <w:tcW w:w="709" w:type="dxa"/>
            <w:tcBorders>
              <w:top w:val="nil"/>
              <w:left w:val="nil"/>
              <w:bottom w:val="single" w:sz="4" w:space="0" w:color="auto"/>
              <w:right w:val="nil"/>
            </w:tcBorders>
            <w:shd w:val="clear" w:color="auto" w:fill="DAEEF3" w:themeFill="accent5" w:themeFillTint="33"/>
            <w:vAlign w:val="center"/>
          </w:tcPr>
          <w:p w14:paraId="5EB5F8D6"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151</w:t>
            </w:r>
          </w:p>
        </w:tc>
        <w:tc>
          <w:tcPr>
            <w:tcW w:w="1418" w:type="dxa"/>
            <w:tcBorders>
              <w:top w:val="nil"/>
              <w:left w:val="nil"/>
              <w:bottom w:val="single" w:sz="4" w:space="0" w:color="auto"/>
              <w:right w:val="single" w:sz="4" w:space="0" w:color="auto"/>
            </w:tcBorders>
            <w:shd w:val="clear" w:color="auto" w:fill="DAEEF3" w:themeFill="accent5" w:themeFillTint="33"/>
            <w:vAlign w:val="center"/>
          </w:tcPr>
          <w:p w14:paraId="06180310" w14:textId="77777777" w:rsidR="003A39BC" w:rsidRPr="00AF3A24" w:rsidRDefault="003A39BC" w:rsidP="00203BC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(1.3 - 2.1)</w:t>
            </w:r>
          </w:p>
        </w:tc>
      </w:tr>
    </w:tbl>
    <w:p w14:paraId="6A9278A0" w14:textId="77777777" w:rsidR="003A39BC" w:rsidRPr="00AF3A24" w:rsidRDefault="003A39BC" w:rsidP="003A39BC">
      <w:pPr>
        <w:spacing w:line="240" w:lineRule="auto"/>
        <w:rPr>
          <w:rFonts w:asciiTheme="minorHAnsi" w:hAnsiTheme="minorHAnsi" w:cstheme="minorHAnsi"/>
          <w:sz w:val="18"/>
        </w:rPr>
      </w:pPr>
    </w:p>
    <w:p w14:paraId="102A8418" w14:textId="77777777" w:rsidR="003A39BC" w:rsidRPr="00AF3A24" w:rsidRDefault="003A39BC" w:rsidP="003A39BC">
      <w:pPr>
        <w:spacing w:before="0" w:after="200" w:line="276" w:lineRule="auto"/>
        <w:jc w:val="left"/>
        <w:rPr>
          <w:rFonts w:asciiTheme="minorHAnsi" w:hAnsiTheme="minorHAnsi" w:cstheme="minorHAnsi"/>
          <w:sz w:val="18"/>
        </w:rPr>
      </w:pPr>
      <w:r w:rsidRPr="00AF3A24">
        <w:rPr>
          <w:rFonts w:asciiTheme="minorHAnsi" w:hAnsiTheme="minorHAnsi" w:cstheme="minorHAnsi"/>
          <w:sz w:val="18"/>
        </w:rPr>
        <w:br w:type="page"/>
      </w:r>
    </w:p>
    <w:p w14:paraId="4A1A4AC2" w14:textId="77777777" w:rsidR="003A39BC" w:rsidRPr="00AF3A24" w:rsidRDefault="003A39BC" w:rsidP="003A39BC">
      <w:pPr>
        <w:spacing w:line="240" w:lineRule="auto"/>
        <w:rPr>
          <w:rFonts w:asciiTheme="minorHAnsi" w:hAnsiTheme="minorHAnsi" w:cstheme="minorHAnsi"/>
          <w:sz w:val="18"/>
        </w:rPr>
      </w:pPr>
    </w:p>
    <w:tbl>
      <w:tblPr>
        <w:tblStyle w:val="TableGrid"/>
        <w:tblpPr w:leftFromText="180" w:rightFromText="180" w:vertAnchor="text" w:horzAnchor="margin" w:tblpX="-459" w:tblpY="31"/>
        <w:tblOverlap w:val="never"/>
        <w:tblW w:w="6946" w:type="dxa"/>
        <w:tblLayout w:type="fixed"/>
        <w:tblLook w:val="04A0" w:firstRow="1" w:lastRow="0" w:firstColumn="1" w:lastColumn="0" w:noHBand="0" w:noVBand="1"/>
      </w:tblPr>
      <w:tblGrid>
        <w:gridCol w:w="1429"/>
        <w:gridCol w:w="1123"/>
        <w:gridCol w:w="709"/>
        <w:gridCol w:w="1417"/>
        <w:gridCol w:w="709"/>
        <w:gridCol w:w="1559"/>
      </w:tblGrid>
      <w:tr w:rsidR="003A39BC" w:rsidRPr="00AF3A24" w14:paraId="5D15B951" w14:textId="77777777" w:rsidTr="00E1507C">
        <w:trPr>
          <w:trHeight w:val="386"/>
        </w:trPr>
        <w:tc>
          <w:tcPr>
            <w:tcW w:w="2552" w:type="dxa"/>
            <w:gridSpan w:val="2"/>
            <w:vMerge w:val="restart"/>
            <w:shd w:val="clear" w:color="auto" w:fill="92CDDC" w:themeFill="accent5" w:themeFillTint="99"/>
          </w:tcPr>
          <w:p w14:paraId="6DB2DD99" w14:textId="77777777" w:rsidR="003A39BC" w:rsidRPr="00AF3A24" w:rsidRDefault="003A39BC" w:rsidP="00E1507C">
            <w:pPr>
              <w:spacing w:before="0" w:line="240" w:lineRule="auto"/>
              <w:jc w:val="left"/>
              <w:rPr>
                <w:rFonts w:asciiTheme="minorHAnsi" w:hAnsiTheme="minorHAnsi" w:cstheme="minorHAnsi"/>
                <w:b/>
                <w:sz w:val="18"/>
                <w:szCs w:val="18"/>
              </w:rPr>
            </w:pPr>
          </w:p>
        </w:tc>
        <w:tc>
          <w:tcPr>
            <w:tcW w:w="4394" w:type="dxa"/>
            <w:gridSpan w:val="4"/>
            <w:tcBorders>
              <w:bottom w:val="single" w:sz="4" w:space="0" w:color="auto"/>
            </w:tcBorders>
            <w:shd w:val="clear" w:color="auto" w:fill="92CDDC" w:themeFill="accent5" w:themeFillTint="99"/>
            <w:vAlign w:val="center"/>
          </w:tcPr>
          <w:p w14:paraId="01EC30B8"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ACTIVITY – PAST YEAR PARTICIPATION (CONTINUED)</w:t>
            </w:r>
          </w:p>
        </w:tc>
      </w:tr>
      <w:tr w:rsidR="003A39BC" w:rsidRPr="00AF3A24" w14:paraId="7E94996C" w14:textId="77777777" w:rsidTr="00E1507C">
        <w:trPr>
          <w:trHeight w:val="386"/>
        </w:trPr>
        <w:tc>
          <w:tcPr>
            <w:tcW w:w="2552" w:type="dxa"/>
            <w:gridSpan w:val="2"/>
            <w:vMerge/>
            <w:shd w:val="clear" w:color="auto" w:fill="92CDDC" w:themeFill="accent5" w:themeFillTint="99"/>
          </w:tcPr>
          <w:p w14:paraId="2573344B" w14:textId="77777777" w:rsidR="003A39BC" w:rsidRPr="00AF3A24" w:rsidRDefault="003A39BC" w:rsidP="00E1507C">
            <w:pPr>
              <w:spacing w:before="0" w:line="240" w:lineRule="auto"/>
              <w:jc w:val="left"/>
              <w:rPr>
                <w:rFonts w:asciiTheme="minorHAnsi" w:hAnsiTheme="minorHAnsi" w:cstheme="minorHAnsi"/>
                <w:b/>
                <w:sz w:val="18"/>
                <w:szCs w:val="18"/>
              </w:rPr>
            </w:pPr>
          </w:p>
        </w:tc>
        <w:tc>
          <w:tcPr>
            <w:tcW w:w="2126" w:type="dxa"/>
            <w:gridSpan w:val="2"/>
            <w:tcBorders>
              <w:bottom w:val="single" w:sz="4" w:space="0" w:color="auto"/>
            </w:tcBorders>
            <w:shd w:val="clear" w:color="auto" w:fill="92CDDC" w:themeFill="accent5" w:themeFillTint="99"/>
            <w:vAlign w:val="center"/>
          </w:tcPr>
          <w:p w14:paraId="4FA9DFE3"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Keno </w:t>
            </w:r>
          </w:p>
          <w:p w14:paraId="42FEDB9C"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(not in a casino)</w:t>
            </w:r>
          </w:p>
        </w:tc>
        <w:tc>
          <w:tcPr>
            <w:tcW w:w="2268" w:type="dxa"/>
            <w:gridSpan w:val="2"/>
            <w:tcBorders>
              <w:bottom w:val="single" w:sz="4" w:space="0" w:color="auto"/>
            </w:tcBorders>
            <w:shd w:val="clear" w:color="auto" w:fill="92CDDC" w:themeFill="accent5" w:themeFillTint="99"/>
            <w:vAlign w:val="center"/>
          </w:tcPr>
          <w:p w14:paraId="463BC8D6"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Housie</w:t>
            </w:r>
          </w:p>
        </w:tc>
      </w:tr>
      <w:tr w:rsidR="003A39BC" w:rsidRPr="00AF3A24" w14:paraId="2C1C515D" w14:textId="77777777" w:rsidTr="00E1507C">
        <w:trPr>
          <w:trHeight w:val="386"/>
        </w:trPr>
        <w:tc>
          <w:tcPr>
            <w:tcW w:w="2552" w:type="dxa"/>
            <w:gridSpan w:val="2"/>
            <w:vMerge/>
            <w:tcBorders>
              <w:bottom w:val="single" w:sz="4" w:space="0" w:color="auto"/>
            </w:tcBorders>
            <w:shd w:val="clear" w:color="auto" w:fill="92CDDC" w:themeFill="accent5" w:themeFillTint="99"/>
          </w:tcPr>
          <w:p w14:paraId="25CEC2B7" w14:textId="77777777" w:rsidR="003A39BC" w:rsidRPr="00AF3A24" w:rsidRDefault="003A39BC" w:rsidP="00E1507C">
            <w:pPr>
              <w:spacing w:before="0" w:line="240" w:lineRule="auto"/>
              <w:jc w:val="left"/>
              <w:rPr>
                <w:rFonts w:asciiTheme="minorHAnsi" w:hAnsiTheme="minorHAnsi" w:cstheme="minorHAnsi"/>
                <w:b/>
                <w:sz w:val="18"/>
                <w:szCs w:val="18"/>
              </w:rPr>
            </w:pPr>
          </w:p>
        </w:tc>
        <w:tc>
          <w:tcPr>
            <w:tcW w:w="709" w:type="dxa"/>
            <w:tcBorders>
              <w:bottom w:val="single" w:sz="4" w:space="0" w:color="auto"/>
            </w:tcBorders>
            <w:shd w:val="clear" w:color="auto" w:fill="92CDDC" w:themeFill="accent5" w:themeFillTint="99"/>
            <w:vAlign w:val="center"/>
          </w:tcPr>
          <w:p w14:paraId="0810B156"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036FF555"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9235D1F"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5CB864A6"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559" w:type="dxa"/>
            <w:tcBorders>
              <w:bottom w:val="single" w:sz="4" w:space="0" w:color="auto"/>
            </w:tcBorders>
            <w:shd w:val="clear" w:color="auto" w:fill="92CDDC" w:themeFill="accent5" w:themeFillTint="99"/>
            <w:vAlign w:val="center"/>
          </w:tcPr>
          <w:p w14:paraId="28FA0DD9"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1BF1F3A2" w14:textId="77777777" w:rsidR="003A39BC" w:rsidRPr="00AF3A24" w:rsidRDefault="003A39BC" w:rsidP="00E1507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3A39BC" w:rsidRPr="00AF3A24" w14:paraId="33A64A81" w14:textId="77777777" w:rsidTr="00E1507C">
        <w:tc>
          <w:tcPr>
            <w:tcW w:w="2552" w:type="dxa"/>
            <w:gridSpan w:val="2"/>
            <w:tcBorders>
              <w:top w:val="nil"/>
              <w:bottom w:val="nil"/>
            </w:tcBorders>
            <w:shd w:val="clear" w:color="auto" w:fill="DAEEF3" w:themeFill="accent5" w:themeFillTint="33"/>
            <w:vAlign w:val="center"/>
          </w:tcPr>
          <w:p w14:paraId="556A2983" w14:textId="77777777" w:rsidR="003A39BC" w:rsidRPr="00AF3A24" w:rsidRDefault="003A39BC" w:rsidP="00E1507C">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09" w:type="dxa"/>
            <w:tcBorders>
              <w:top w:val="nil"/>
              <w:bottom w:val="nil"/>
              <w:right w:val="nil"/>
            </w:tcBorders>
            <w:shd w:val="clear" w:color="auto" w:fill="DAEEF3" w:themeFill="accent5" w:themeFillTint="33"/>
            <w:vAlign w:val="center"/>
          </w:tcPr>
          <w:p w14:paraId="64C7606D"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149</w:t>
            </w:r>
          </w:p>
        </w:tc>
        <w:tc>
          <w:tcPr>
            <w:tcW w:w="1417" w:type="dxa"/>
            <w:tcBorders>
              <w:top w:val="nil"/>
              <w:left w:val="nil"/>
              <w:bottom w:val="nil"/>
              <w:right w:val="single" w:sz="4" w:space="0" w:color="auto"/>
            </w:tcBorders>
            <w:shd w:val="clear" w:color="auto" w:fill="DAEEF3" w:themeFill="accent5" w:themeFillTint="33"/>
            <w:vAlign w:val="center"/>
          </w:tcPr>
          <w:p w14:paraId="4FCB2DA2"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(0.7 - 1.2)</w:t>
            </w:r>
          </w:p>
        </w:tc>
        <w:tc>
          <w:tcPr>
            <w:tcW w:w="709" w:type="dxa"/>
            <w:tcBorders>
              <w:top w:val="nil"/>
              <w:left w:val="nil"/>
              <w:bottom w:val="nil"/>
              <w:right w:val="nil"/>
            </w:tcBorders>
            <w:shd w:val="clear" w:color="auto" w:fill="DAEEF3" w:themeFill="accent5" w:themeFillTint="33"/>
            <w:vAlign w:val="center"/>
          </w:tcPr>
          <w:p w14:paraId="40A2793E"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158</w:t>
            </w:r>
          </w:p>
        </w:tc>
        <w:tc>
          <w:tcPr>
            <w:tcW w:w="1559" w:type="dxa"/>
            <w:tcBorders>
              <w:top w:val="nil"/>
              <w:left w:val="nil"/>
              <w:bottom w:val="nil"/>
              <w:right w:val="single" w:sz="4" w:space="0" w:color="auto"/>
            </w:tcBorders>
            <w:shd w:val="clear" w:color="auto" w:fill="DAEEF3" w:themeFill="accent5" w:themeFillTint="33"/>
            <w:vAlign w:val="center"/>
          </w:tcPr>
          <w:p w14:paraId="34120DC0"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(0.7 - 1.1)</w:t>
            </w:r>
          </w:p>
        </w:tc>
      </w:tr>
      <w:tr w:rsidR="003A39BC" w:rsidRPr="00AF3A24" w14:paraId="352F7724" w14:textId="77777777" w:rsidTr="00E1507C">
        <w:tc>
          <w:tcPr>
            <w:tcW w:w="1429" w:type="dxa"/>
            <w:vMerge w:val="restart"/>
            <w:tcBorders>
              <w:top w:val="single" w:sz="4" w:space="0" w:color="auto"/>
            </w:tcBorders>
            <w:shd w:val="clear" w:color="auto" w:fill="DAEEF3" w:themeFill="accent5" w:themeFillTint="33"/>
            <w:vAlign w:val="center"/>
          </w:tcPr>
          <w:p w14:paraId="0D8502D8" w14:textId="77777777" w:rsidR="003A39BC" w:rsidRPr="00AF3A24" w:rsidRDefault="003A39BC" w:rsidP="00E1507C">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1123" w:type="dxa"/>
            <w:tcBorders>
              <w:top w:val="single" w:sz="4" w:space="0" w:color="auto"/>
              <w:bottom w:val="nil"/>
            </w:tcBorders>
            <w:shd w:val="clear" w:color="auto" w:fill="DAEEF3" w:themeFill="accent5" w:themeFillTint="33"/>
            <w:vAlign w:val="center"/>
          </w:tcPr>
          <w:p w14:paraId="42CAD2FD"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09" w:type="dxa"/>
            <w:tcBorders>
              <w:bottom w:val="nil"/>
              <w:right w:val="nil"/>
            </w:tcBorders>
            <w:shd w:val="clear" w:color="auto" w:fill="DAEEF3" w:themeFill="accent5" w:themeFillTint="33"/>
            <w:vAlign w:val="center"/>
          </w:tcPr>
          <w:p w14:paraId="7A0D086D"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w:t>
            </w:r>
          </w:p>
        </w:tc>
        <w:tc>
          <w:tcPr>
            <w:tcW w:w="1417" w:type="dxa"/>
            <w:tcBorders>
              <w:left w:val="nil"/>
              <w:bottom w:val="nil"/>
              <w:right w:val="single" w:sz="4" w:space="0" w:color="auto"/>
            </w:tcBorders>
            <w:shd w:val="clear" w:color="auto" w:fill="DAEEF3" w:themeFill="accent5" w:themeFillTint="33"/>
            <w:vAlign w:val="center"/>
          </w:tcPr>
          <w:p w14:paraId="6109399A"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(0.7 - 1.2)</w:t>
            </w:r>
          </w:p>
        </w:tc>
        <w:tc>
          <w:tcPr>
            <w:tcW w:w="709" w:type="dxa"/>
            <w:tcBorders>
              <w:left w:val="nil"/>
              <w:bottom w:val="nil"/>
              <w:right w:val="nil"/>
            </w:tcBorders>
            <w:shd w:val="clear" w:color="auto" w:fill="DAEEF3" w:themeFill="accent5" w:themeFillTint="33"/>
            <w:vAlign w:val="center"/>
          </w:tcPr>
          <w:p w14:paraId="39F3BA76"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p>
        </w:tc>
        <w:tc>
          <w:tcPr>
            <w:tcW w:w="1559" w:type="dxa"/>
            <w:tcBorders>
              <w:left w:val="nil"/>
              <w:bottom w:val="nil"/>
              <w:right w:val="single" w:sz="4" w:space="0" w:color="auto"/>
            </w:tcBorders>
            <w:shd w:val="clear" w:color="auto" w:fill="DAEEF3" w:themeFill="accent5" w:themeFillTint="33"/>
            <w:vAlign w:val="center"/>
          </w:tcPr>
          <w:p w14:paraId="564521D3"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r w:rsidRPr="00AF3A24">
              <w:rPr>
                <w:rFonts w:asciiTheme="minorHAnsi" w:hAnsiTheme="minorHAnsi"/>
                <w:bCs/>
                <w:color w:val="000000"/>
                <w:sz w:val="16"/>
                <w:szCs w:val="16"/>
              </w:rPr>
              <w:br/>
              <w:t>(0.9 - 1.5)</w:t>
            </w:r>
          </w:p>
        </w:tc>
      </w:tr>
      <w:tr w:rsidR="00E1507C" w:rsidRPr="00AF3A24" w14:paraId="1FA01A26" w14:textId="77777777" w:rsidTr="00E1507C">
        <w:tc>
          <w:tcPr>
            <w:tcW w:w="1429" w:type="dxa"/>
            <w:vMerge/>
            <w:tcBorders>
              <w:bottom w:val="nil"/>
            </w:tcBorders>
            <w:shd w:val="clear" w:color="auto" w:fill="DAEEF3" w:themeFill="accent5" w:themeFillTint="33"/>
            <w:vAlign w:val="center"/>
          </w:tcPr>
          <w:p w14:paraId="78FA7199"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single" w:sz="4" w:space="0" w:color="auto"/>
            </w:tcBorders>
            <w:shd w:val="clear" w:color="auto" w:fill="DAEEF3" w:themeFill="accent5" w:themeFillTint="33"/>
            <w:vAlign w:val="center"/>
          </w:tcPr>
          <w:p w14:paraId="3AE4EC66"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09" w:type="dxa"/>
            <w:tcBorders>
              <w:top w:val="nil"/>
              <w:bottom w:val="single" w:sz="4" w:space="0" w:color="auto"/>
              <w:right w:val="nil"/>
            </w:tcBorders>
            <w:shd w:val="clear" w:color="auto" w:fill="DAEEF3" w:themeFill="accent5" w:themeFillTint="33"/>
            <w:vAlign w:val="center"/>
          </w:tcPr>
          <w:p w14:paraId="7B4DDB98"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74EE4E8D"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r w:rsidRPr="00AF3A24">
              <w:rPr>
                <w:rFonts w:asciiTheme="minorHAnsi" w:hAnsiTheme="minorHAnsi"/>
                <w:bCs/>
                <w:color w:val="000000"/>
                <w:sz w:val="16"/>
                <w:szCs w:val="16"/>
              </w:rPr>
              <w:br/>
              <w:t>(0.6 - 1.3)</w:t>
            </w:r>
          </w:p>
        </w:tc>
        <w:tc>
          <w:tcPr>
            <w:tcW w:w="709" w:type="dxa"/>
            <w:tcBorders>
              <w:top w:val="nil"/>
              <w:left w:val="nil"/>
              <w:bottom w:val="single" w:sz="4" w:space="0" w:color="auto"/>
              <w:right w:val="nil"/>
            </w:tcBorders>
            <w:shd w:val="clear" w:color="auto" w:fill="DAEEF3" w:themeFill="accent5" w:themeFillTint="33"/>
            <w:vAlign w:val="center"/>
          </w:tcPr>
          <w:p w14:paraId="75486CA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767C74F7"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4B98B30" w14:textId="77777777" w:rsidTr="00E1507C">
        <w:trPr>
          <w:trHeight w:val="437"/>
        </w:trPr>
        <w:tc>
          <w:tcPr>
            <w:tcW w:w="1429" w:type="dxa"/>
            <w:vMerge w:val="restart"/>
            <w:tcBorders>
              <w:top w:val="single" w:sz="4" w:space="0" w:color="auto"/>
            </w:tcBorders>
            <w:shd w:val="clear" w:color="auto" w:fill="DAEEF3" w:themeFill="accent5" w:themeFillTint="33"/>
            <w:vAlign w:val="center"/>
          </w:tcPr>
          <w:p w14:paraId="5C17E55E" w14:textId="77777777" w:rsidR="00E1507C" w:rsidRPr="00AF3A24" w:rsidRDefault="00E1507C" w:rsidP="00E1507C">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1123" w:type="dxa"/>
            <w:tcBorders>
              <w:top w:val="single" w:sz="4" w:space="0" w:color="auto"/>
              <w:bottom w:val="nil"/>
            </w:tcBorders>
            <w:shd w:val="clear" w:color="auto" w:fill="DAEEF3" w:themeFill="accent5" w:themeFillTint="33"/>
            <w:vAlign w:val="center"/>
          </w:tcPr>
          <w:p w14:paraId="1BC71E84" w14:textId="77777777" w:rsidR="00E1507C" w:rsidRPr="00AF3A24" w:rsidRDefault="00E1507C" w:rsidP="00E1507C">
            <w:pPr>
              <w:spacing w:before="0" w:line="240" w:lineRule="auto"/>
              <w:ind w:left="78"/>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09" w:type="dxa"/>
            <w:tcBorders>
              <w:bottom w:val="nil"/>
              <w:right w:val="nil"/>
            </w:tcBorders>
            <w:shd w:val="clear" w:color="auto" w:fill="DAEEF3" w:themeFill="accent5" w:themeFillTint="33"/>
            <w:vAlign w:val="center"/>
          </w:tcPr>
          <w:p w14:paraId="40EA7FDA"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7F37961F"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bottom w:val="nil"/>
              <w:right w:val="nil"/>
            </w:tcBorders>
            <w:shd w:val="clear" w:color="auto" w:fill="DAEEF3" w:themeFill="accent5" w:themeFillTint="33"/>
            <w:vAlign w:val="center"/>
          </w:tcPr>
          <w:p w14:paraId="128731DA"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left w:val="nil"/>
              <w:bottom w:val="nil"/>
              <w:right w:val="single" w:sz="4" w:space="0" w:color="auto"/>
            </w:tcBorders>
            <w:shd w:val="clear" w:color="auto" w:fill="DAEEF3" w:themeFill="accent5" w:themeFillTint="33"/>
            <w:vAlign w:val="center"/>
          </w:tcPr>
          <w:p w14:paraId="67904525"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1608DF10" w14:textId="77777777" w:rsidTr="00E1507C">
        <w:trPr>
          <w:trHeight w:val="437"/>
        </w:trPr>
        <w:tc>
          <w:tcPr>
            <w:tcW w:w="1429" w:type="dxa"/>
            <w:vMerge/>
            <w:shd w:val="clear" w:color="auto" w:fill="DAEEF3" w:themeFill="accent5" w:themeFillTint="33"/>
            <w:vAlign w:val="center"/>
          </w:tcPr>
          <w:p w14:paraId="7D1D75BE"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6E3AFAE6"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09" w:type="dxa"/>
            <w:tcBorders>
              <w:top w:val="nil"/>
              <w:bottom w:val="nil"/>
              <w:right w:val="nil"/>
            </w:tcBorders>
            <w:shd w:val="clear" w:color="auto" w:fill="DAEEF3" w:themeFill="accent5" w:themeFillTint="33"/>
            <w:vAlign w:val="center"/>
          </w:tcPr>
          <w:p w14:paraId="67B83393"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209F8F8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451206E"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5755EA43"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12701481" w14:textId="77777777" w:rsidTr="00E1507C">
        <w:trPr>
          <w:trHeight w:val="437"/>
        </w:trPr>
        <w:tc>
          <w:tcPr>
            <w:tcW w:w="1429" w:type="dxa"/>
            <w:vMerge/>
            <w:shd w:val="clear" w:color="auto" w:fill="DAEEF3" w:themeFill="accent5" w:themeFillTint="33"/>
            <w:vAlign w:val="center"/>
          </w:tcPr>
          <w:p w14:paraId="6D6230AB"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6AF1F160"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09" w:type="dxa"/>
            <w:tcBorders>
              <w:top w:val="nil"/>
              <w:bottom w:val="nil"/>
              <w:right w:val="nil"/>
            </w:tcBorders>
            <w:shd w:val="clear" w:color="auto" w:fill="DAEEF3" w:themeFill="accent5" w:themeFillTint="33"/>
            <w:vAlign w:val="center"/>
          </w:tcPr>
          <w:p w14:paraId="5EC5E76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694A9003"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6C83B521"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13C89E5D"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AD99A85" w14:textId="77777777" w:rsidTr="00E1507C">
        <w:trPr>
          <w:trHeight w:val="437"/>
        </w:trPr>
        <w:tc>
          <w:tcPr>
            <w:tcW w:w="1429" w:type="dxa"/>
            <w:vMerge/>
            <w:shd w:val="clear" w:color="auto" w:fill="DAEEF3" w:themeFill="accent5" w:themeFillTint="33"/>
            <w:vAlign w:val="center"/>
          </w:tcPr>
          <w:p w14:paraId="70CF4D9C"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5BE15514"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09" w:type="dxa"/>
            <w:tcBorders>
              <w:top w:val="nil"/>
              <w:bottom w:val="nil"/>
              <w:right w:val="nil"/>
            </w:tcBorders>
            <w:shd w:val="clear" w:color="auto" w:fill="DAEEF3" w:themeFill="accent5" w:themeFillTint="33"/>
            <w:vAlign w:val="center"/>
          </w:tcPr>
          <w:p w14:paraId="6E89C065"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35A6E49E"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5E9D5A09"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tc>
        <w:tc>
          <w:tcPr>
            <w:tcW w:w="1559" w:type="dxa"/>
            <w:tcBorders>
              <w:top w:val="nil"/>
              <w:left w:val="nil"/>
              <w:bottom w:val="nil"/>
              <w:right w:val="single" w:sz="4" w:space="0" w:color="auto"/>
            </w:tcBorders>
            <w:shd w:val="clear" w:color="auto" w:fill="DAEEF3" w:themeFill="accent5" w:themeFillTint="33"/>
            <w:vAlign w:val="center"/>
          </w:tcPr>
          <w:p w14:paraId="559406E6"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w:t>
            </w:r>
            <w:r w:rsidRPr="00AF3A24">
              <w:rPr>
                <w:rFonts w:asciiTheme="minorHAnsi" w:hAnsiTheme="minorHAnsi"/>
                <w:bCs/>
                <w:color w:val="000000"/>
                <w:sz w:val="16"/>
                <w:szCs w:val="16"/>
              </w:rPr>
              <w:br/>
              <w:t>(0.5 - 1.6)</w:t>
            </w:r>
          </w:p>
        </w:tc>
      </w:tr>
      <w:tr w:rsidR="00E1507C" w:rsidRPr="00AF3A24" w14:paraId="331A8F8C" w14:textId="77777777" w:rsidTr="00E1507C">
        <w:trPr>
          <w:trHeight w:val="437"/>
        </w:trPr>
        <w:tc>
          <w:tcPr>
            <w:tcW w:w="1429" w:type="dxa"/>
            <w:vMerge/>
            <w:shd w:val="clear" w:color="auto" w:fill="DAEEF3" w:themeFill="accent5" w:themeFillTint="33"/>
            <w:vAlign w:val="center"/>
          </w:tcPr>
          <w:p w14:paraId="7909A88B"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0293E099"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09" w:type="dxa"/>
            <w:tcBorders>
              <w:top w:val="nil"/>
              <w:bottom w:val="nil"/>
              <w:right w:val="nil"/>
            </w:tcBorders>
            <w:shd w:val="clear" w:color="auto" w:fill="DAEEF3" w:themeFill="accent5" w:themeFillTint="33"/>
            <w:vAlign w:val="center"/>
          </w:tcPr>
          <w:p w14:paraId="7E1C0A0C"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p>
        </w:tc>
        <w:tc>
          <w:tcPr>
            <w:tcW w:w="1417" w:type="dxa"/>
            <w:tcBorders>
              <w:top w:val="nil"/>
              <w:left w:val="nil"/>
              <w:bottom w:val="nil"/>
              <w:right w:val="single" w:sz="4" w:space="0" w:color="auto"/>
            </w:tcBorders>
            <w:shd w:val="clear" w:color="auto" w:fill="DAEEF3" w:themeFill="accent5" w:themeFillTint="33"/>
            <w:vAlign w:val="center"/>
          </w:tcPr>
          <w:p w14:paraId="14BA5E9B"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w:t>
            </w:r>
            <w:r w:rsidRPr="00AF3A24">
              <w:rPr>
                <w:rFonts w:asciiTheme="minorHAnsi" w:hAnsiTheme="minorHAnsi"/>
                <w:bCs/>
                <w:color w:val="000000"/>
                <w:sz w:val="16"/>
                <w:szCs w:val="16"/>
              </w:rPr>
              <w:br/>
              <w:t>(0.9 - 2.0)</w:t>
            </w:r>
          </w:p>
        </w:tc>
        <w:tc>
          <w:tcPr>
            <w:tcW w:w="709" w:type="dxa"/>
            <w:tcBorders>
              <w:top w:val="nil"/>
              <w:left w:val="nil"/>
              <w:bottom w:val="nil"/>
              <w:right w:val="nil"/>
            </w:tcBorders>
            <w:shd w:val="clear" w:color="auto" w:fill="DAEEF3" w:themeFill="accent5" w:themeFillTint="33"/>
            <w:vAlign w:val="center"/>
          </w:tcPr>
          <w:p w14:paraId="4CCC2E9C"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5024E964"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70464804" w14:textId="77777777" w:rsidTr="00E1507C">
        <w:trPr>
          <w:trHeight w:val="437"/>
        </w:trPr>
        <w:tc>
          <w:tcPr>
            <w:tcW w:w="1429" w:type="dxa"/>
            <w:vMerge/>
            <w:tcBorders>
              <w:bottom w:val="nil"/>
            </w:tcBorders>
            <w:shd w:val="clear" w:color="auto" w:fill="DAEEF3" w:themeFill="accent5" w:themeFillTint="33"/>
            <w:vAlign w:val="center"/>
          </w:tcPr>
          <w:p w14:paraId="1D01CF1E"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697382E5"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09" w:type="dxa"/>
            <w:tcBorders>
              <w:top w:val="nil"/>
              <w:bottom w:val="nil"/>
              <w:right w:val="nil"/>
            </w:tcBorders>
            <w:shd w:val="clear" w:color="auto" w:fill="DAEEF3" w:themeFill="accent5" w:themeFillTint="33"/>
            <w:vAlign w:val="center"/>
          </w:tcPr>
          <w:p w14:paraId="0F717299"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0E45FE2C"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E34A65E"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559" w:type="dxa"/>
            <w:tcBorders>
              <w:top w:val="nil"/>
              <w:left w:val="nil"/>
              <w:bottom w:val="nil"/>
              <w:right w:val="single" w:sz="4" w:space="0" w:color="auto"/>
            </w:tcBorders>
            <w:shd w:val="clear" w:color="auto" w:fill="DAEEF3" w:themeFill="accent5" w:themeFillTint="33"/>
            <w:vAlign w:val="center"/>
          </w:tcPr>
          <w:p w14:paraId="34DF2975" w14:textId="77777777" w:rsidR="00E1507C" w:rsidRPr="00AF3A24" w:rsidRDefault="00E1507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r w:rsidRPr="00AF3A24">
              <w:rPr>
                <w:rFonts w:asciiTheme="minorHAnsi" w:hAnsiTheme="minorHAnsi"/>
                <w:bCs/>
                <w:color w:val="000000"/>
                <w:sz w:val="16"/>
                <w:szCs w:val="16"/>
              </w:rPr>
              <w:br/>
              <w:t>(0.6 - 1.4)</w:t>
            </w:r>
          </w:p>
        </w:tc>
      </w:tr>
      <w:tr w:rsidR="003A39BC" w:rsidRPr="00AF3A24" w14:paraId="79FE1F36" w14:textId="77777777" w:rsidTr="00E1507C">
        <w:trPr>
          <w:trHeight w:val="437"/>
        </w:trPr>
        <w:tc>
          <w:tcPr>
            <w:tcW w:w="1429" w:type="dxa"/>
            <w:vMerge w:val="restart"/>
            <w:tcBorders>
              <w:top w:val="single" w:sz="4" w:space="0" w:color="auto"/>
            </w:tcBorders>
            <w:shd w:val="clear" w:color="auto" w:fill="DAEEF3" w:themeFill="accent5" w:themeFillTint="33"/>
            <w:vAlign w:val="center"/>
          </w:tcPr>
          <w:p w14:paraId="5345AB7A" w14:textId="77777777" w:rsidR="003A39BC" w:rsidRPr="00AF3A24" w:rsidRDefault="003A39BC" w:rsidP="00E1507C">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Ethnicity</w:t>
            </w:r>
          </w:p>
        </w:tc>
        <w:tc>
          <w:tcPr>
            <w:tcW w:w="1123" w:type="dxa"/>
            <w:tcBorders>
              <w:top w:val="single" w:sz="4" w:space="0" w:color="auto"/>
              <w:bottom w:val="nil"/>
            </w:tcBorders>
            <w:shd w:val="clear" w:color="auto" w:fill="DAEEF3" w:themeFill="accent5" w:themeFillTint="33"/>
            <w:vAlign w:val="center"/>
          </w:tcPr>
          <w:p w14:paraId="32D0420F"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09" w:type="dxa"/>
            <w:tcBorders>
              <w:bottom w:val="nil"/>
              <w:right w:val="nil"/>
            </w:tcBorders>
            <w:shd w:val="clear" w:color="auto" w:fill="DAEEF3" w:themeFill="accent5" w:themeFillTint="33"/>
            <w:vAlign w:val="center"/>
          </w:tcPr>
          <w:p w14:paraId="7A831203"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p>
        </w:tc>
        <w:tc>
          <w:tcPr>
            <w:tcW w:w="1417" w:type="dxa"/>
            <w:tcBorders>
              <w:left w:val="nil"/>
              <w:bottom w:val="nil"/>
              <w:right w:val="single" w:sz="4" w:space="0" w:color="auto"/>
            </w:tcBorders>
            <w:shd w:val="clear" w:color="auto" w:fill="DAEEF3" w:themeFill="accent5" w:themeFillTint="33"/>
            <w:vAlign w:val="center"/>
          </w:tcPr>
          <w:p w14:paraId="1156F1C2"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p>
          <w:p w14:paraId="4F854BE9"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(1.4 - 2.8)</w:t>
            </w:r>
          </w:p>
        </w:tc>
        <w:tc>
          <w:tcPr>
            <w:tcW w:w="709" w:type="dxa"/>
            <w:tcBorders>
              <w:left w:val="nil"/>
              <w:bottom w:val="nil"/>
              <w:right w:val="nil"/>
            </w:tcBorders>
            <w:shd w:val="clear" w:color="auto" w:fill="DAEEF3" w:themeFill="accent5" w:themeFillTint="33"/>
            <w:vAlign w:val="center"/>
          </w:tcPr>
          <w:p w14:paraId="47BDF878"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73</w:t>
            </w:r>
          </w:p>
        </w:tc>
        <w:tc>
          <w:tcPr>
            <w:tcW w:w="1559" w:type="dxa"/>
            <w:tcBorders>
              <w:left w:val="nil"/>
              <w:bottom w:val="nil"/>
              <w:right w:val="single" w:sz="4" w:space="0" w:color="auto"/>
            </w:tcBorders>
            <w:shd w:val="clear" w:color="auto" w:fill="DAEEF3" w:themeFill="accent5" w:themeFillTint="33"/>
            <w:vAlign w:val="center"/>
          </w:tcPr>
          <w:p w14:paraId="5DF1F0BA"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2.5</w:t>
            </w:r>
          </w:p>
          <w:p w14:paraId="25AD074F"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(1.8 - 3.2)</w:t>
            </w:r>
          </w:p>
        </w:tc>
      </w:tr>
      <w:tr w:rsidR="00E1507C" w:rsidRPr="00AF3A24" w14:paraId="5D77C917" w14:textId="77777777" w:rsidTr="00E1507C">
        <w:trPr>
          <w:trHeight w:val="437"/>
        </w:trPr>
        <w:tc>
          <w:tcPr>
            <w:tcW w:w="1429" w:type="dxa"/>
            <w:vMerge/>
            <w:shd w:val="clear" w:color="auto" w:fill="DAEEF3" w:themeFill="accent5" w:themeFillTint="33"/>
            <w:vAlign w:val="center"/>
          </w:tcPr>
          <w:p w14:paraId="25005FB1"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1A63D38F"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09" w:type="dxa"/>
            <w:tcBorders>
              <w:top w:val="nil"/>
              <w:bottom w:val="nil"/>
              <w:right w:val="nil"/>
            </w:tcBorders>
            <w:shd w:val="clear" w:color="auto" w:fill="DAEEF3" w:themeFill="accent5" w:themeFillTint="33"/>
            <w:vAlign w:val="center"/>
          </w:tcPr>
          <w:p w14:paraId="02B7C8A7"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5F996EE1"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1C3FA12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50155557"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32E59FE" w14:textId="77777777" w:rsidTr="00E1507C">
        <w:trPr>
          <w:trHeight w:val="437"/>
        </w:trPr>
        <w:tc>
          <w:tcPr>
            <w:tcW w:w="1429" w:type="dxa"/>
            <w:vMerge/>
            <w:shd w:val="clear" w:color="auto" w:fill="DAEEF3" w:themeFill="accent5" w:themeFillTint="33"/>
            <w:vAlign w:val="center"/>
          </w:tcPr>
          <w:p w14:paraId="576A5311"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2501999B"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09" w:type="dxa"/>
            <w:tcBorders>
              <w:top w:val="nil"/>
              <w:bottom w:val="nil"/>
              <w:right w:val="nil"/>
            </w:tcBorders>
            <w:shd w:val="clear" w:color="auto" w:fill="DAEEF3" w:themeFill="accent5" w:themeFillTint="33"/>
            <w:vAlign w:val="center"/>
          </w:tcPr>
          <w:p w14:paraId="496E8E66"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3159B6A6"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59C0BEBE"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526260F4"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3DBEFF23" w14:textId="77777777" w:rsidTr="00E1507C">
        <w:trPr>
          <w:trHeight w:val="437"/>
        </w:trPr>
        <w:tc>
          <w:tcPr>
            <w:tcW w:w="1429" w:type="dxa"/>
            <w:vMerge/>
            <w:tcBorders>
              <w:bottom w:val="nil"/>
            </w:tcBorders>
            <w:shd w:val="clear" w:color="auto" w:fill="DAEEF3" w:themeFill="accent5" w:themeFillTint="33"/>
            <w:vAlign w:val="center"/>
          </w:tcPr>
          <w:p w14:paraId="443F2796" w14:textId="77777777" w:rsidR="003A39BC" w:rsidRPr="00AF3A24" w:rsidRDefault="003A39B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45DE75D1"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09" w:type="dxa"/>
            <w:tcBorders>
              <w:top w:val="nil"/>
              <w:bottom w:val="nil"/>
              <w:right w:val="nil"/>
            </w:tcBorders>
            <w:shd w:val="clear" w:color="auto" w:fill="DAEEF3" w:themeFill="accent5" w:themeFillTint="33"/>
            <w:vAlign w:val="center"/>
          </w:tcPr>
          <w:p w14:paraId="025AA1FB"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94</w:t>
            </w:r>
          </w:p>
        </w:tc>
        <w:tc>
          <w:tcPr>
            <w:tcW w:w="1417" w:type="dxa"/>
            <w:tcBorders>
              <w:top w:val="nil"/>
              <w:left w:val="nil"/>
              <w:bottom w:val="nil"/>
              <w:right w:val="single" w:sz="4" w:space="0" w:color="auto"/>
            </w:tcBorders>
            <w:shd w:val="clear" w:color="auto" w:fill="DAEEF3" w:themeFill="accent5" w:themeFillTint="33"/>
            <w:vAlign w:val="center"/>
          </w:tcPr>
          <w:p w14:paraId="6A04BF7F"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w:t>
            </w:r>
          </w:p>
          <w:p w14:paraId="53335683"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(0.5 - 1.0)</w:t>
            </w:r>
          </w:p>
        </w:tc>
        <w:tc>
          <w:tcPr>
            <w:tcW w:w="709" w:type="dxa"/>
            <w:tcBorders>
              <w:top w:val="nil"/>
              <w:left w:val="nil"/>
              <w:bottom w:val="nil"/>
              <w:right w:val="nil"/>
            </w:tcBorders>
            <w:shd w:val="clear" w:color="auto" w:fill="DAEEF3" w:themeFill="accent5" w:themeFillTint="33"/>
            <w:vAlign w:val="center"/>
          </w:tcPr>
          <w:p w14:paraId="738AB53B"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85</w:t>
            </w:r>
          </w:p>
        </w:tc>
        <w:tc>
          <w:tcPr>
            <w:tcW w:w="1559" w:type="dxa"/>
            <w:tcBorders>
              <w:top w:val="nil"/>
              <w:left w:val="nil"/>
              <w:bottom w:val="nil"/>
              <w:right w:val="single" w:sz="4" w:space="0" w:color="auto"/>
            </w:tcBorders>
            <w:shd w:val="clear" w:color="auto" w:fill="DAEEF3" w:themeFill="accent5" w:themeFillTint="33"/>
            <w:vAlign w:val="center"/>
          </w:tcPr>
          <w:p w14:paraId="2B5789E0"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0.6</w:t>
            </w:r>
          </w:p>
          <w:p w14:paraId="58513083" w14:textId="77777777" w:rsidR="003A39BC" w:rsidRPr="00AF3A24" w:rsidRDefault="003A39BC" w:rsidP="00E1507C">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(0.4 - 0.8)</w:t>
            </w:r>
          </w:p>
        </w:tc>
      </w:tr>
      <w:tr w:rsidR="00E1507C" w:rsidRPr="00AF3A24" w14:paraId="475B1635" w14:textId="77777777" w:rsidTr="00E1507C">
        <w:trPr>
          <w:trHeight w:val="437"/>
        </w:trPr>
        <w:tc>
          <w:tcPr>
            <w:tcW w:w="1429" w:type="dxa"/>
            <w:vMerge w:val="restart"/>
            <w:tcBorders>
              <w:top w:val="single" w:sz="4" w:space="0" w:color="auto"/>
            </w:tcBorders>
            <w:shd w:val="clear" w:color="auto" w:fill="DAEEF3" w:themeFill="accent5" w:themeFillTint="33"/>
            <w:vAlign w:val="center"/>
          </w:tcPr>
          <w:p w14:paraId="634EAA9E" w14:textId="77777777" w:rsidR="00E1507C" w:rsidRPr="00AF3A24" w:rsidRDefault="00E1507C" w:rsidP="00E1507C">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1123" w:type="dxa"/>
            <w:tcBorders>
              <w:top w:val="single" w:sz="4" w:space="0" w:color="auto"/>
              <w:bottom w:val="nil"/>
            </w:tcBorders>
            <w:shd w:val="clear" w:color="auto" w:fill="DAEEF3" w:themeFill="accent5" w:themeFillTint="33"/>
            <w:vAlign w:val="center"/>
          </w:tcPr>
          <w:p w14:paraId="5BF4657C"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09" w:type="dxa"/>
            <w:tcBorders>
              <w:bottom w:val="nil"/>
              <w:right w:val="nil"/>
            </w:tcBorders>
            <w:shd w:val="clear" w:color="auto" w:fill="DAEEF3" w:themeFill="accent5" w:themeFillTint="33"/>
            <w:vAlign w:val="center"/>
          </w:tcPr>
          <w:p w14:paraId="49E62A13"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1DE9078D"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0FD36E3D"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left w:val="nil"/>
              <w:bottom w:val="nil"/>
              <w:right w:val="single" w:sz="4" w:space="0" w:color="auto"/>
            </w:tcBorders>
            <w:shd w:val="clear" w:color="auto" w:fill="DAEEF3" w:themeFill="accent5" w:themeFillTint="33"/>
            <w:vAlign w:val="center"/>
          </w:tcPr>
          <w:p w14:paraId="3D38CE9C"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53A84B4F" w14:textId="77777777" w:rsidTr="00E1507C">
        <w:trPr>
          <w:trHeight w:val="437"/>
        </w:trPr>
        <w:tc>
          <w:tcPr>
            <w:tcW w:w="1429" w:type="dxa"/>
            <w:vMerge/>
            <w:shd w:val="clear" w:color="auto" w:fill="DAEEF3" w:themeFill="accent5" w:themeFillTint="33"/>
            <w:vAlign w:val="center"/>
          </w:tcPr>
          <w:p w14:paraId="0C6FB970"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3529AA6C"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09" w:type="dxa"/>
            <w:tcBorders>
              <w:top w:val="nil"/>
              <w:bottom w:val="nil"/>
              <w:right w:val="nil"/>
            </w:tcBorders>
            <w:shd w:val="clear" w:color="auto" w:fill="DAEEF3" w:themeFill="accent5" w:themeFillTint="33"/>
            <w:vAlign w:val="center"/>
          </w:tcPr>
          <w:p w14:paraId="1A7BB59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6F16EB2"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47304F2C"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235A20C8"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001E7AFC" w14:textId="77777777" w:rsidTr="00E1507C">
        <w:trPr>
          <w:trHeight w:val="437"/>
        </w:trPr>
        <w:tc>
          <w:tcPr>
            <w:tcW w:w="1429" w:type="dxa"/>
            <w:vMerge/>
            <w:shd w:val="clear" w:color="auto" w:fill="DAEEF3" w:themeFill="accent5" w:themeFillTint="33"/>
            <w:vAlign w:val="center"/>
          </w:tcPr>
          <w:p w14:paraId="7A5DE771" w14:textId="77777777" w:rsidR="00E1507C" w:rsidRPr="00AF3A24" w:rsidRDefault="00E1507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7F84E0C5"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09" w:type="dxa"/>
            <w:tcBorders>
              <w:top w:val="nil"/>
              <w:bottom w:val="nil"/>
              <w:right w:val="nil"/>
            </w:tcBorders>
            <w:shd w:val="clear" w:color="auto" w:fill="DAEEF3" w:themeFill="accent5" w:themeFillTint="33"/>
            <w:vAlign w:val="center"/>
          </w:tcPr>
          <w:p w14:paraId="27AFD62F"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FB8A337"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095A3C2A"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top w:val="nil"/>
              <w:left w:val="nil"/>
              <w:bottom w:val="nil"/>
              <w:right w:val="single" w:sz="4" w:space="0" w:color="auto"/>
            </w:tcBorders>
            <w:shd w:val="clear" w:color="auto" w:fill="DAEEF3" w:themeFill="accent5" w:themeFillTint="33"/>
            <w:vAlign w:val="center"/>
          </w:tcPr>
          <w:p w14:paraId="65C2E029"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386125B0" w14:textId="77777777" w:rsidTr="00E1507C">
        <w:trPr>
          <w:trHeight w:val="437"/>
        </w:trPr>
        <w:tc>
          <w:tcPr>
            <w:tcW w:w="1429" w:type="dxa"/>
            <w:vMerge/>
            <w:shd w:val="clear" w:color="auto" w:fill="DAEEF3" w:themeFill="accent5" w:themeFillTint="33"/>
            <w:vAlign w:val="center"/>
          </w:tcPr>
          <w:p w14:paraId="2C60D337" w14:textId="77777777" w:rsidR="003A39BC" w:rsidRPr="00AF3A24" w:rsidRDefault="003A39BC" w:rsidP="00E1507C">
            <w:pPr>
              <w:spacing w:before="0" w:line="240" w:lineRule="auto"/>
              <w:ind w:left="33"/>
              <w:jc w:val="left"/>
              <w:rPr>
                <w:rFonts w:asciiTheme="minorHAnsi" w:hAnsiTheme="minorHAnsi" w:cstheme="minorHAnsi"/>
                <w:sz w:val="16"/>
                <w:szCs w:val="16"/>
              </w:rPr>
            </w:pPr>
          </w:p>
        </w:tc>
        <w:tc>
          <w:tcPr>
            <w:tcW w:w="1123" w:type="dxa"/>
            <w:tcBorders>
              <w:top w:val="nil"/>
              <w:bottom w:val="nil"/>
            </w:tcBorders>
            <w:shd w:val="clear" w:color="auto" w:fill="DAEEF3" w:themeFill="accent5" w:themeFillTint="33"/>
            <w:vAlign w:val="center"/>
          </w:tcPr>
          <w:p w14:paraId="1993AB44"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09" w:type="dxa"/>
            <w:tcBorders>
              <w:top w:val="nil"/>
              <w:bottom w:val="nil"/>
              <w:right w:val="nil"/>
            </w:tcBorders>
            <w:shd w:val="clear" w:color="auto" w:fill="DAEEF3" w:themeFill="accent5" w:themeFillTint="33"/>
            <w:vAlign w:val="center"/>
          </w:tcPr>
          <w:p w14:paraId="511E201A"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p>
        </w:tc>
        <w:tc>
          <w:tcPr>
            <w:tcW w:w="1417" w:type="dxa"/>
            <w:tcBorders>
              <w:top w:val="nil"/>
              <w:left w:val="nil"/>
              <w:bottom w:val="nil"/>
              <w:right w:val="single" w:sz="4" w:space="0" w:color="auto"/>
            </w:tcBorders>
            <w:shd w:val="clear" w:color="auto" w:fill="DAEEF3" w:themeFill="accent5" w:themeFillTint="33"/>
            <w:vAlign w:val="center"/>
          </w:tcPr>
          <w:p w14:paraId="0BC25B77"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(0.7 - 1.9)</w:t>
            </w:r>
          </w:p>
        </w:tc>
        <w:tc>
          <w:tcPr>
            <w:tcW w:w="709" w:type="dxa"/>
            <w:tcBorders>
              <w:top w:val="nil"/>
              <w:left w:val="nil"/>
              <w:bottom w:val="nil"/>
              <w:right w:val="nil"/>
            </w:tcBorders>
            <w:shd w:val="clear" w:color="auto" w:fill="DAEEF3" w:themeFill="accent5" w:themeFillTint="33"/>
            <w:vAlign w:val="center"/>
          </w:tcPr>
          <w:p w14:paraId="3A3BABCA"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tc>
        <w:tc>
          <w:tcPr>
            <w:tcW w:w="1559" w:type="dxa"/>
            <w:tcBorders>
              <w:top w:val="nil"/>
              <w:left w:val="nil"/>
              <w:bottom w:val="nil"/>
              <w:right w:val="single" w:sz="4" w:space="0" w:color="auto"/>
            </w:tcBorders>
            <w:shd w:val="clear" w:color="auto" w:fill="DAEEF3" w:themeFill="accent5" w:themeFillTint="33"/>
            <w:vAlign w:val="center"/>
          </w:tcPr>
          <w:p w14:paraId="1E3A29C5"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w:t>
            </w:r>
            <w:r w:rsidRPr="00AF3A24">
              <w:rPr>
                <w:rFonts w:asciiTheme="minorHAnsi" w:hAnsiTheme="minorHAnsi"/>
                <w:bCs/>
                <w:color w:val="000000"/>
                <w:sz w:val="16"/>
                <w:szCs w:val="16"/>
              </w:rPr>
              <w:br/>
              <w:t>(0.5 - 1.2)</w:t>
            </w:r>
          </w:p>
        </w:tc>
      </w:tr>
      <w:tr w:rsidR="003A39BC" w:rsidRPr="00AF3A24" w14:paraId="17701DDE" w14:textId="77777777" w:rsidTr="00E1507C">
        <w:trPr>
          <w:trHeight w:val="437"/>
        </w:trPr>
        <w:tc>
          <w:tcPr>
            <w:tcW w:w="1429" w:type="dxa"/>
            <w:vMerge/>
            <w:tcBorders>
              <w:bottom w:val="single" w:sz="4" w:space="0" w:color="auto"/>
            </w:tcBorders>
            <w:shd w:val="clear" w:color="auto" w:fill="DAEEF3" w:themeFill="accent5" w:themeFillTint="33"/>
            <w:vAlign w:val="center"/>
          </w:tcPr>
          <w:p w14:paraId="01EF907B" w14:textId="77777777" w:rsidR="003A39BC" w:rsidRPr="00AF3A24" w:rsidRDefault="003A39BC" w:rsidP="00E1507C">
            <w:pPr>
              <w:spacing w:before="0" w:line="240" w:lineRule="auto"/>
              <w:ind w:left="33"/>
              <w:jc w:val="left"/>
              <w:rPr>
                <w:rFonts w:asciiTheme="minorHAnsi" w:hAnsiTheme="minorHAnsi" w:cstheme="minorHAnsi"/>
                <w:sz w:val="16"/>
                <w:szCs w:val="16"/>
              </w:rPr>
            </w:pPr>
          </w:p>
        </w:tc>
        <w:tc>
          <w:tcPr>
            <w:tcW w:w="1123" w:type="dxa"/>
            <w:tcBorders>
              <w:top w:val="nil"/>
              <w:bottom w:val="single" w:sz="4" w:space="0" w:color="auto"/>
            </w:tcBorders>
            <w:shd w:val="clear" w:color="auto" w:fill="DAEEF3" w:themeFill="accent5" w:themeFillTint="33"/>
            <w:vAlign w:val="center"/>
          </w:tcPr>
          <w:p w14:paraId="5E86735B"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09" w:type="dxa"/>
            <w:tcBorders>
              <w:top w:val="nil"/>
              <w:bottom w:val="single" w:sz="4" w:space="0" w:color="auto"/>
              <w:right w:val="nil"/>
            </w:tcBorders>
            <w:shd w:val="clear" w:color="auto" w:fill="DAEEF3" w:themeFill="accent5" w:themeFillTint="33"/>
            <w:vAlign w:val="center"/>
          </w:tcPr>
          <w:p w14:paraId="67045E7F"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2DAA2952"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(1.1 - 2.2)</w:t>
            </w:r>
          </w:p>
        </w:tc>
        <w:tc>
          <w:tcPr>
            <w:tcW w:w="709" w:type="dxa"/>
            <w:tcBorders>
              <w:top w:val="nil"/>
              <w:left w:val="nil"/>
              <w:bottom w:val="single" w:sz="4" w:space="0" w:color="auto"/>
              <w:right w:val="nil"/>
            </w:tcBorders>
            <w:shd w:val="clear" w:color="auto" w:fill="DAEEF3" w:themeFill="accent5" w:themeFillTint="33"/>
            <w:vAlign w:val="center"/>
          </w:tcPr>
          <w:p w14:paraId="73FFF9F0"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84</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3E247382"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w:t>
            </w:r>
            <w:r w:rsidRPr="00AF3A24">
              <w:rPr>
                <w:rFonts w:asciiTheme="minorHAnsi" w:hAnsiTheme="minorHAnsi"/>
                <w:bCs/>
                <w:color w:val="000000"/>
                <w:sz w:val="16"/>
                <w:szCs w:val="16"/>
              </w:rPr>
              <w:br/>
              <w:t>(1.6 - 2.8)</w:t>
            </w:r>
          </w:p>
        </w:tc>
      </w:tr>
      <w:tr w:rsidR="00E1507C" w:rsidRPr="00AF3A24" w14:paraId="29C3EFF5" w14:textId="77777777" w:rsidTr="00E1507C">
        <w:trPr>
          <w:trHeight w:val="437"/>
        </w:trPr>
        <w:tc>
          <w:tcPr>
            <w:tcW w:w="1429" w:type="dxa"/>
            <w:vMerge w:val="restart"/>
            <w:tcBorders>
              <w:top w:val="single" w:sz="4" w:space="0" w:color="auto"/>
            </w:tcBorders>
            <w:shd w:val="clear" w:color="auto" w:fill="DAEEF3" w:themeFill="accent5" w:themeFillTint="33"/>
            <w:vAlign w:val="center"/>
          </w:tcPr>
          <w:p w14:paraId="433686BE" w14:textId="77777777" w:rsidR="00E1507C" w:rsidRPr="00AF3A24" w:rsidRDefault="00E1507C" w:rsidP="00E1507C">
            <w:pPr>
              <w:spacing w:before="0" w:line="240" w:lineRule="auto"/>
              <w:ind w:left="33"/>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1123" w:type="dxa"/>
            <w:tcBorders>
              <w:top w:val="single" w:sz="4" w:space="0" w:color="auto"/>
              <w:bottom w:val="nil"/>
            </w:tcBorders>
            <w:shd w:val="clear" w:color="auto" w:fill="DAEEF3" w:themeFill="accent5" w:themeFillTint="33"/>
            <w:vAlign w:val="center"/>
          </w:tcPr>
          <w:p w14:paraId="1DDC109A" w14:textId="77777777" w:rsidR="00E1507C" w:rsidRPr="00AF3A24" w:rsidRDefault="00E1507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09" w:type="dxa"/>
            <w:tcBorders>
              <w:bottom w:val="nil"/>
              <w:right w:val="nil"/>
            </w:tcBorders>
            <w:shd w:val="clear" w:color="auto" w:fill="DAEEF3" w:themeFill="accent5" w:themeFillTint="33"/>
            <w:vAlign w:val="center"/>
          </w:tcPr>
          <w:p w14:paraId="1E7594CD"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1FDA406F"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12E6B280"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559" w:type="dxa"/>
            <w:tcBorders>
              <w:left w:val="nil"/>
              <w:bottom w:val="nil"/>
              <w:right w:val="single" w:sz="4" w:space="0" w:color="auto"/>
            </w:tcBorders>
            <w:shd w:val="clear" w:color="auto" w:fill="DAEEF3" w:themeFill="accent5" w:themeFillTint="33"/>
            <w:vAlign w:val="center"/>
          </w:tcPr>
          <w:p w14:paraId="375A999D" w14:textId="77777777" w:rsidR="00E1507C" w:rsidRPr="00980823" w:rsidRDefault="00E1507C" w:rsidP="00E1507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A39BC" w:rsidRPr="00AF3A24" w14:paraId="660D1BDB" w14:textId="77777777" w:rsidTr="00E1507C">
        <w:trPr>
          <w:trHeight w:val="437"/>
        </w:trPr>
        <w:tc>
          <w:tcPr>
            <w:tcW w:w="1429" w:type="dxa"/>
            <w:vMerge/>
            <w:tcBorders>
              <w:bottom w:val="single" w:sz="4" w:space="0" w:color="auto"/>
            </w:tcBorders>
            <w:shd w:val="clear" w:color="auto" w:fill="DAEEF3" w:themeFill="accent5" w:themeFillTint="33"/>
          </w:tcPr>
          <w:p w14:paraId="5CD94E43" w14:textId="77777777" w:rsidR="003A39BC" w:rsidRPr="00AF3A24" w:rsidRDefault="003A39BC" w:rsidP="00E1507C">
            <w:pPr>
              <w:spacing w:before="0" w:line="240" w:lineRule="auto"/>
              <w:ind w:left="78"/>
              <w:jc w:val="center"/>
              <w:rPr>
                <w:rFonts w:asciiTheme="minorHAnsi" w:hAnsiTheme="minorHAnsi" w:cstheme="minorHAnsi"/>
                <w:sz w:val="18"/>
                <w:szCs w:val="18"/>
              </w:rPr>
            </w:pPr>
          </w:p>
        </w:tc>
        <w:tc>
          <w:tcPr>
            <w:tcW w:w="1123" w:type="dxa"/>
            <w:tcBorders>
              <w:top w:val="nil"/>
              <w:bottom w:val="single" w:sz="4" w:space="0" w:color="auto"/>
            </w:tcBorders>
            <w:shd w:val="clear" w:color="auto" w:fill="DAEEF3" w:themeFill="accent5" w:themeFillTint="33"/>
            <w:vAlign w:val="center"/>
          </w:tcPr>
          <w:p w14:paraId="179C4C64" w14:textId="77777777" w:rsidR="003A39BC" w:rsidRPr="00AF3A24" w:rsidRDefault="003A39BC" w:rsidP="00E1507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09" w:type="dxa"/>
            <w:tcBorders>
              <w:top w:val="nil"/>
              <w:bottom w:val="single" w:sz="4" w:space="0" w:color="auto"/>
              <w:right w:val="nil"/>
            </w:tcBorders>
            <w:shd w:val="clear" w:color="auto" w:fill="DAEEF3" w:themeFill="accent5" w:themeFillTint="33"/>
            <w:vAlign w:val="center"/>
          </w:tcPr>
          <w:p w14:paraId="622B48F4"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142</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319AB46C"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r w:rsidRPr="00AF3A24">
              <w:rPr>
                <w:rFonts w:asciiTheme="minorHAnsi" w:hAnsiTheme="minorHAnsi"/>
                <w:bCs/>
                <w:color w:val="000000"/>
                <w:sz w:val="16"/>
                <w:szCs w:val="16"/>
              </w:rPr>
              <w:br/>
              <w:t>(0.8 - 1.3)</w:t>
            </w:r>
          </w:p>
        </w:tc>
        <w:tc>
          <w:tcPr>
            <w:tcW w:w="709" w:type="dxa"/>
            <w:tcBorders>
              <w:top w:val="nil"/>
              <w:left w:val="nil"/>
              <w:bottom w:val="single" w:sz="4" w:space="0" w:color="auto"/>
              <w:right w:val="nil"/>
            </w:tcBorders>
            <w:shd w:val="clear" w:color="auto" w:fill="DAEEF3" w:themeFill="accent5" w:themeFillTint="33"/>
            <w:vAlign w:val="center"/>
          </w:tcPr>
          <w:p w14:paraId="17086FC6"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150</w:t>
            </w:r>
          </w:p>
        </w:tc>
        <w:tc>
          <w:tcPr>
            <w:tcW w:w="1559" w:type="dxa"/>
            <w:tcBorders>
              <w:top w:val="nil"/>
              <w:left w:val="nil"/>
              <w:bottom w:val="single" w:sz="4" w:space="0" w:color="auto"/>
              <w:right w:val="single" w:sz="4" w:space="0" w:color="auto"/>
            </w:tcBorders>
            <w:shd w:val="clear" w:color="auto" w:fill="DAEEF3" w:themeFill="accent5" w:themeFillTint="33"/>
            <w:vAlign w:val="center"/>
          </w:tcPr>
          <w:p w14:paraId="39B4BEEB" w14:textId="77777777" w:rsidR="003A39BC" w:rsidRPr="00AF3A24" w:rsidRDefault="003A39BC" w:rsidP="00E1507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(0.7 - 1.1)</w:t>
            </w:r>
          </w:p>
        </w:tc>
      </w:tr>
    </w:tbl>
    <w:p w14:paraId="1FF27C46" w14:textId="77777777" w:rsidR="003A0141" w:rsidRDefault="003A0141" w:rsidP="003A39BC">
      <w:pPr>
        <w:spacing w:line="240" w:lineRule="auto"/>
        <w:rPr>
          <w:rFonts w:asciiTheme="minorHAnsi" w:hAnsiTheme="minorHAnsi" w:cstheme="minorHAnsi"/>
          <w:sz w:val="18"/>
        </w:rPr>
      </w:pPr>
    </w:p>
    <w:p w14:paraId="3496497F" w14:textId="77777777" w:rsidR="003A0141" w:rsidRPr="003A0141" w:rsidRDefault="003A0141" w:rsidP="003A0141">
      <w:pPr>
        <w:rPr>
          <w:rFonts w:asciiTheme="minorHAnsi" w:hAnsiTheme="minorHAnsi" w:cstheme="minorHAnsi"/>
          <w:sz w:val="18"/>
        </w:rPr>
      </w:pPr>
    </w:p>
    <w:p w14:paraId="048E4C3B" w14:textId="77777777" w:rsidR="003A0141" w:rsidRPr="003A0141" w:rsidRDefault="003A0141" w:rsidP="003A0141">
      <w:pPr>
        <w:rPr>
          <w:rFonts w:asciiTheme="minorHAnsi" w:hAnsiTheme="minorHAnsi" w:cstheme="minorHAnsi"/>
          <w:sz w:val="18"/>
        </w:rPr>
      </w:pPr>
    </w:p>
    <w:p w14:paraId="620F24A9" w14:textId="77777777" w:rsidR="003A0141" w:rsidRDefault="003A0141" w:rsidP="003A39BC">
      <w:pPr>
        <w:spacing w:line="240" w:lineRule="auto"/>
        <w:rPr>
          <w:rFonts w:asciiTheme="minorHAnsi" w:hAnsiTheme="minorHAnsi" w:cstheme="minorHAnsi"/>
          <w:sz w:val="18"/>
        </w:rPr>
      </w:pPr>
    </w:p>
    <w:p w14:paraId="79FE4E31" w14:textId="77777777" w:rsidR="003A0141" w:rsidRDefault="003A0141" w:rsidP="003A39BC">
      <w:pPr>
        <w:spacing w:line="240" w:lineRule="auto"/>
        <w:rPr>
          <w:rFonts w:asciiTheme="minorHAnsi" w:hAnsiTheme="minorHAnsi" w:cstheme="minorHAnsi"/>
          <w:sz w:val="18"/>
        </w:rPr>
      </w:pPr>
    </w:p>
    <w:p w14:paraId="2C0AB619" w14:textId="77777777" w:rsidR="003A39BC" w:rsidRPr="00AF3A24" w:rsidRDefault="003A0141" w:rsidP="003A0141">
      <w:pPr>
        <w:tabs>
          <w:tab w:val="left" w:pos="1172"/>
        </w:tabs>
        <w:spacing w:line="240" w:lineRule="auto"/>
        <w:rPr>
          <w:rFonts w:asciiTheme="minorHAnsi" w:hAnsiTheme="minorHAnsi" w:cstheme="minorHAnsi"/>
          <w:sz w:val="18"/>
        </w:rPr>
      </w:pPr>
      <w:r>
        <w:rPr>
          <w:rFonts w:asciiTheme="minorHAnsi" w:hAnsiTheme="minorHAnsi" w:cstheme="minorHAnsi"/>
          <w:sz w:val="18"/>
        </w:rPr>
        <w:tab/>
      </w:r>
      <w:r w:rsidR="003A39BC" w:rsidRPr="00AF3A24">
        <w:rPr>
          <w:rFonts w:asciiTheme="minorHAnsi" w:hAnsiTheme="minorHAnsi" w:cstheme="minorHAnsi"/>
          <w:sz w:val="18"/>
        </w:rPr>
        <w:br w:type="textWrapping" w:clear="all"/>
      </w:r>
    </w:p>
    <w:p w14:paraId="31F8A025" w14:textId="77777777" w:rsidR="003A39BC" w:rsidRPr="00AF3A24" w:rsidRDefault="003A39BC" w:rsidP="003A39BC">
      <w:pPr>
        <w:spacing w:line="240" w:lineRule="auto"/>
        <w:rPr>
          <w:rFonts w:asciiTheme="minorHAnsi" w:hAnsiTheme="minorHAnsi" w:cstheme="minorHAnsi"/>
          <w:sz w:val="18"/>
        </w:rPr>
      </w:pPr>
    </w:p>
    <w:p w14:paraId="2A2474B9" w14:textId="77777777" w:rsidR="00BE638E" w:rsidRDefault="00BE638E">
      <w:pPr>
        <w:spacing w:before="0" w:after="200" w:line="276" w:lineRule="auto"/>
        <w:jc w:val="left"/>
        <w:rPr>
          <w:rFonts w:ascii="Arial Bold" w:hAnsi="Arial Bold" w:cstheme="minorHAnsi"/>
          <w:b/>
          <w:bCs/>
          <w:iCs/>
          <w:color w:val="1F497D"/>
        </w:rPr>
      </w:pPr>
      <w:r>
        <w:br w:type="page"/>
      </w:r>
    </w:p>
    <w:p w14:paraId="539EA969" w14:textId="77777777" w:rsidR="00BE638E" w:rsidRPr="00FB0B7B" w:rsidRDefault="00BA4C78" w:rsidP="008F7A58">
      <w:pPr>
        <w:pStyle w:val="FionasAppendixtitles"/>
        <w:ind w:left="1134"/>
      </w:pPr>
      <w:bookmarkStart w:id="277" w:name="_Ref397446250"/>
      <w:bookmarkStart w:id="278" w:name="_Toc403833213"/>
      <w:r w:rsidRPr="00FB0B7B">
        <w:lastRenderedPageBreak/>
        <w:t>Past year participation in individual gambling activities by NZHS survey wave</w:t>
      </w:r>
      <w:bookmarkEnd w:id="277"/>
      <w:bookmarkEnd w:id="278"/>
    </w:p>
    <w:p w14:paraId="08D5F092" w14:textId="586B0E97" w:rsidR="00BA4C78" w:rsidRPr="00AF3A24" w:rsidRDefault="00BA4C78" w:rsidP="00BA4C78">
      <w:pPr>
        <w:pStyle w:val="Caption"/>
        <w:keepNext/>
        <w:spacing w:line="276" w:lineRule="auto"/>
        <w:ind w:left="993" w:hanging="993"/>
        <w:rPr>
          <w:rFonts w:asciiTheme="minorHAnsi" w:hAnsiTheme="minorHAnsi" w:cstheme="minorHAnsi"/>
          <w:i/>
        </w:rPr>
      </w:pPr>
      <w:bookmarkStart w:id="279" w:name="_Ref397446191"/>
      <w:bookmarkStart w:id="280" w:name="_Toc425426887"/>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20</w:t>
      </w:r>
      <w:r w:rsidRPr="00AF3A24">
        <w:rPr>
          <w:rFonts w:asciiTheme="minorHAnsi" w:hAnsiTheme="minorHAnsi"/>
          <w:i/>
        </w:rPr>
        <w:fldChar w:fldCharType="end"/>
      </w:r>
      <w:bookmarkEnd w:id="279"/>
      <w:r w:rsidRPr="00AF3A24">
        <w:rPr>
          <w:rFonts w:asciiTheme="minorHAnsi" w:hAnsiTheme="minorHAnsi"/>
          <w:i/>
        </w:rPr>
        <w:t>:</w:t>
      </w:r>
      <w:r w:rsidRPr="00AF3A24">
        <w:rPr>
          <w:rFonts w:asciiTheme="minorHAnsi" w:hAnsiTheme="minorHAnsi" w:cstheme="minorHAnsi"/>
          <w:i/>
        </w:rPr>
        <w:tab/>
        <w:t xml:space="preserve">Past year participation in gambling </w:t>
      </w:r>
      <w:r>
        <w:rPr>
          <w:rFonts w:asciiTheme="minorHAnsi" w:hAnsiTheme="minorHAnsi" w:cstheme="minorHAnsi"/>
          <w:i/>
        </w:rPr>
        <w:t xml:space="preserve">activities </w:t>
      </w:r>
      <w:r w:rsidRPr="00AF3A24">
        <w:rPr>
          <w:rFonts w:asciiTheme="minorHAnsi" w:hAnsiTheme="minorHAnsi" w:cstheme="minorHAnsi"/>
          <w:i/>
        </w:rPr>
        <w:t>by NZHS survey wave, total population aged 15 years and over</w:t>
      </w:r>
      <w:r w:rsidR="00FA4B88">
        <w:rPr>
          <w:rFonts w:asciiTheme="minorHAnsi" w:hAnsiTheme="minorHAnsi" w:cstheme="minorHAnsi"/>
          <w:i/>
        </w:rPr>
        <w:t xml:space="preserve"> (adjusted prevalence</w:t>
      </w:r>
      <w:r w:rsidR="003736B9">
        <w:rPr>
          <w:rFonts w:asciiTheme="minorHAnsi" w:hAnsiTheme="minorHAnsi" w:cstheme="minorHAnsi"/>
          <w:i/>
        </w:rPr>
        <w:t xml:space="preserve">; </w:t>
      </w:r>
      <w:r w:rsidR="003736B9">
        <w:rPr>
          <w:rFonts w:asciiTheme="minorHAnsi" w:hAnsiTheme="minorHAnsi"/>
          <w:i/>
        </w:rPr>
        <w:t>2002/03 NZHS N=12,529,</w:t>
      </w:r>
      <w:r w:rsidR="003736B9">
        <w:rPr>
          <w:rFonts w:asciiTheme="minorHAnsi" w:hAnsiTheme="minorHAnsi" w:cstheme="minorHAnsi"/>
          <w:i/>
        </w:rPr>
        <w:t xml:space="preserve"> </w:t>
      </w:r>
      <w:r w:rsidR="003736B9" w:rsidRPr="0072417E">
        <w:rPr>
          <w:rFonts w:asciiTheme="minorHAnsi" w:hAnsiTheme="minorHAnsi"/>
          <w:i/>
        </w:rPr>
        <w:t>2006/07 NZHS N=12,488, 2011/12 NZHS N=12,596</w:t>
      </w:r>
      <w:r w:rsidR="00FA4B88">
        <w:rPr>
          <w:rFonts w:asciiTheme="minorHAnsi" w:hAnsiTheme="minorHAnsi" w:cstheme="minorHAnsi"/>
          <w:i/>
        </w:rPr>
        <w:t>)</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280"/>
    </w:p>
    <w:tbl>
      <w:tblPr>
        <w:tblStyle w:val="TableGrid"/>
        <w:tblW w:w="10382" w:type="dxa"/>
        <w:jc w:val="center"/>
        <w:tblLayout w:type="fixed"/>
        <w:tblLook w:val="04A0" w:firstRow="1" w:lastRow="0" w:firstColumn="1" w:lastColumn="0" w:noHBand="0" w:noVBand="1"/>
      </w:tblPr>
      <w:tblGrid>
        <w:gridCol w:w="3760"/>
        <w:gridCol w:w="720"/>
        <w:gridCol w:w="1080"/>
        <w:gridCol w:w="720"/>
        <w:gridCol w:w="1080"/>
        <w:gridCol w:w="720"/>
        <w:gridCol w:w="1080"/>
        <w:gridCol w:w="1222"/>
      </w:tblGrid>
      <w:tr w:rsidR="00BA4C78" w:rsidRPr="00AF3A24" w14:paraId="532CAA24" w14:textId="77777777" w:rsidTr="00A310A6">
        <w:trPr>
          <w:trHeight w:val="386"/>
          <w:jc w:val="center"/>
        </w:trPr>
        <w:tc>
          <w:tcPr>
            <w:tcW w:w="3760" w:type="dxa"/>
            <w:vMerge w:val="restart"/>
            <w:shd w:val="clear" w:color="auto" w:fill="92CDDC" w:themeFill="accent5" w:themeFillTint="99"/>
            <w:vAlign w:val="center"/>
          </w:tcPr>
          <w:p w14:paraId="127AD933" w14:textId="77777777" w:rsidR="00BA4C78" w:rsidRPr="00AF3A24" w:rsidRDefault="00BA4C78"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 xml:space="preserve">GAMBLING ACTIVITY </w:t>
            </w:r>
            <w:r w:rsidRPr="00AF3A24">
              <w:rPr>
                <w:rFonts w:asciiTheme="minorHAnsi" w:hAnsiTheme="minorHAnsi" w:cstheme="minorHAnsi"/>
                <w:b/>
                <w:sz w:val="18"/>
                <w:szCs w:val="18"/>
                <w:vertAlign w:val="superscript"/>
              </w:rPr>
              <w:t>2</w:t>
            </w:r>
          </w:p>
        </w:tc>
        <w:tc>
          <w:tcPr>
            <w:tcW w:w="5400" w:type="dxa"/>
            <w:gridSpan w:val="6"/>
            <w:tcBorders>
              <w:bottom w:val="single" w:sz="4" w:space="0" w:color="auto"/>
            </w:tcBorders>
            <w:shd w:val="clear" w:color="auto" w:fill="92CDDC" w:themeFill="accent5" w:themeFillTint="99"/>
            <w:vAlign w:val="center"/>
          </w:tcPr>
          <w:p w14:paraId="0DEB29EF"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NZHS SURVEY WAVE</w:t>
            </w:r>
          </w:p>
        </w:tc>
        <w:tc>
          <w:tcPr>
            <w:tcW w:w="1222" w:type="dxa"/>
            <w:vMerge w:val="restart"/>
            <w:shd w:val="clear" w:color="auto" w:fill="92CDDC" w:themeFill="accent5" w:themeFillTint="99"/>
            <w:vAlign w:val="center"/>
          </w:tcPr>
          <w:p w14:paraId="11B47657"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3</w:t>
            </w:r>
          </w:p>
        </w:tc>
      </w:tr>
      <w:tr w:rsidR="00BA4C78" w:rsidRPr="00AF3A24" w14:paraId="0B5E9D44" w14:textId="77777777" w:rsidTr="00A310A6">
        <w:trPr>
          <w:trHeight w:val="386"/>
          <w:jc w:val="center"/>
        </w:trPr>
        <w:tc>
          <w:tcPr>
            <w:tcW w:w="3760" w:type="dxa"/>
            <w:vMerge/>
            <w:shd w:val="clear" w:color="auto" w:fill="92CDDC" w:themeFill="accent5" w:themeFillTint="99"/>
          </w:tcPr>
          <w:p w14:paraId="73880C4E" w14:textId="77777777" w:rsidR="00BA4C78" w:rsidRPr="00AF3A24" w:rsidRDefault="00BA4C78" w:rsidP="00A310A6">
            <w:pPr>
              <w:spacing w:before="0" w:line="240" w:lineRule="auto"/>
              <w:jc w:val="left"/>
              <w:rPr>
                <w:rFonts w:asciiTheme="minorHAnsi" w:hAnsiTheme="minorHAnsi" w:cstheme="minorHAnsi"/>
                <w:b/>
                <w:sz w:val="18"/>
                <w:szCs w:val="18"/>
              </w:rPr>
            </w:pPr>
          </w:p>
        </w:tc>
        <w:tc>
          <w:tcPr>
            <w:tcW w:w="1800" w:type="dxa"/>
            <w:gridSpan w:val="2"/>
            <w:tcBorders>
              <w:bottom w:val="single" w:sz="4" w:space="0" w:color="auto"/>
            </w:tcBorders>
            <w:shd w:val="clear" w:color="auto" w:fill="92CDDC" w:themeFill="accent5" w:themeFillTint="99"/>
            <w:vAlign w:val="center"/>
          </w:tcPr>
          <w:p w14:paraId="454CF563"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2002/03</w:t>
            </w:r>
          </w:p>
          <w:p w14:paraId="346EA3EB"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(N=12,529)</w:t>
            </w:r>
          </w:p>
        </w:tc>
        <w:tc>
          <w:tcPr>
            <w:tcW w:w="1800" w:type="dxa"/>
            <w:gridSpan w:val="2"/>
            <w:tcBorders>
              <w:bottom w:val="single" w:sz="4" w:space="0" w:color="auto"/>
            </w:tcBorders>
            <w:shd w:val="clear" w:color="auto" w:fill="92CDDC" w:themeFill="accent5" w:themeFillTint="99"/>
            <w:vAlign w:val="center"/>
          </w:tcPr>
          <w:p w14:paraId="139336C1"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2006/07</w:t>
            </w:r>
          </w:p>
          <w:p w14:paraId="11A84F6D"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(N=12,488)</w:t>
            </w:r>
          </w:p>
        </w:tc>
        <w:tc>
          <w:tcPr>
            <w:tcW w:w="1800" w:type="dxa"/>
            <w:gridSpan w:val="2"/>
            <w:tcBorders>
              <w:bottom w:val="single" w:sz="4" w:space="0" w:color="auto"/>
            </w:tcBorders>
            <w:shd w:val="clear" w:color="auto" w:fill="92CDDC" w:themeFill="accent5" w:themeFillTint="99"/>
            <w:vAlign w:val="center"/>
          </w:tcPr>
          <w:p w14:paraId="00FBBCC0"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2011/12</w:t>
            </w:r>
          </w:p>
          <w:p w14:paraId="5484D569"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(N=12,596)</w:t>
            </w:r>
          </w:p>
        </w:tc>
        <w:tc>
          <w:tcPr>
            <w:tcW w:w="1222" w:type="dxa"/>
            <w:vMerge/>
            <w:shd w:val="clear" w:color="auto" w:fill="92CDDC" w:themeFill="accent5" w:themeFillTint="99"/>
            <w:vAlign w:val="center"/>
          </w:tcPr>
          <w:p w14:paraId="06FBF7D0" w14:textId="77777777" w:rsidR="00BA4C78" w:rsidRPr="00AF3A24" w:rsidRDefault="00BA4C78" w:rsidP="00A310A6">
            <w:pPr>
              <w:spacing w:before="0" w:line="240" w:lineRule="auto"/>
              <w:jc w:val="center"/>
              <w:rPr>
                <w:rFonts w:asciiTheme="minorHAnsi" w:hAnsiTheme="minorHAnsi" w:cstheme="minorHAnsi"/>
                <w:b/>
                <w:sz w:val="18"/>
                <w:szCs w:val="18"/>
              </w:rPr>
            </w:pPr>
          </w:p>
        </w:tc>
      </w:tr>
      <w:tr w:rsidR="00BA4C78" w:rsidRPr="00AF3A24" w14:paraId="44640F7D" w14:textId="77777777" w:rsidTr="00A310A6">
        <w:trPr>
          <w:trHeight w:val="386"/>
          <w:jc w:val="center"/>
        </w:trPr>
        <w:tc>
          <w:tcPr>
            <w:tcW w:w="3760" w:type="dxa"/>
            <w:vMerge/>
            <w:tcBorders>
              <w:bottom w:val="single" w:sz="4" w:space="0" w:color="auto"/>
            </w:tcBorders>
            <w:shd w:val="clear" w:color="auto" w:fill="92CDDC" w:themeFill="accent5" w:themeFillTint="99"/>
          </w:tcPr>
          <w:p w14:paraId="47C3DDBE" w14:textId="77777777" w:rsidR="00BA4C78" w:rsidRPr="00AF3A24" w:rsidRDefault="00BA4C78" w:rsidP="00A310A6">
            <w:pPr>
              <w:spacing w:before="0" w:line="240" w:lineRule="auto"/>
              <w:jc w:val="left"/>
              <w:rPr>
                <w:rFonts w:asciiTheme="minorHAnsi" w:hAnsiTheme="minorHAnsi" w:cstheme="minorHAnsi"/>
                <w:b/>
                <w:sz w:val="18"/>
                <w:szCs w:val="18"/>
              </w:rPr>
            </w:pPr>
          </w:p>
        </w:tc>
        <w:tc>
          <w:tcPr>
            <w:tcW w:w="720" w:type="dxa"/>
            <w:tcBorders>
              <w:bottom w:val="single" w:sz="4" w:space="0" w:color="auto"/>
            </w:tcBorders>
            <w:shd w:val="clear" w:color="auto" w:fill="92CDDC" w:themeFill="accent5" w:themeFillTint="99"/>
            <w:vAlign w:val="center"/>
          </w:tcPr>
          <w:p w14:paraId="401EAA06"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736D8683"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BCE43BA"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43092564"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50EC399B"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116AC5B4"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482F4E6D"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59E082BD"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15047005" w14:textId="77777777" w:rsidR="00BA4C78" w:rsidRPr="00AF3A24" w:rsidRDefault="00BA4C78"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222" w:type="dxa"/>
            <w:vMerge/>
            <w:tcBorders>
              <w:bottom w:val="single" w:sz="4" w:space="0" w:color="auto"/>
            </w:tcBorders>
            <w:shd w:val="clear" w:color="auto" w:fill="92CDDC" w:themeFill="accent5" w:themeFillTint="99"/>
          </w:tcPr>
          <w:p w14:paraId="664A1DBF" w14:textId="77777777" w:rsidR="00BA4C78" w:rsidRPr="00AF3A24" w:rsidRDefault="00BA4C78" w:rsidP="00A310A6">
            <w:pPr>
              <w:spacing w:before="0" w:line="240" w:lineRule="auto"/>
              <w:jc w:val="center"/>
              <w:rPr>
                <w:rFonts w:asciiTheme="minorHAnsi" w:hAnsiTheme="minorHAnsi" w:cstheme="minorHAnsi"/>
                <w:b/>
                <w:sz w:val="18"/>
                <w:szCs w:val="18"/>
              </w:rPr>
            </w:pPr>
          </w:p>
        </w:tc>
      </w:tr>
      <w:tr w:rsidR="00BA4C78" w:rsidRPr="00AF3A24" w14:paraId="73548A26" w14:textId="77777777" w:rsidTr="00A310A6">
        <w:trPr>
          <w:jc w:val="center"/>
        </w:trPr>
        <w:tc>
          <w:tcPr>
            <w:tcW w:w="3760" w:type="dxa"/>
            <w:tcBorders>
              <w:top w:val="single" w:sz="4" w:space="0" w:color="auto"/>
              <w:bottom w:val="single" w:sz="4" w:space="0" w:color="auto"/>
            </w:tcBorders>
            <w:shd w:val="clear" w:color="auto" w:fill="DAEEF3" w:themeFill="accent5" w:themeFillTint="33"/>
            <w:vAlign w:val="center"/>
          </w:tcPr>
          <w:p w14:paraId="4DB305DA" w14:textId="77777777" w:rsidR="00BA4C78" w:rsidRPr="00AF3A24" w:rsidRDefault="00BA4C78" w:rsidP="00A310A6">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Any gambling activity</w:t>
            </w:r>
          </w:p>
        </w:tc>
        <w:tc>
          <w:tcPr>
            <w:tcW w:w="720" w:type="dxa"/>
            <w:tcBorders>
              <w:top w:val="single" w:sz="4" w:space="0" w:color="auto"/>
              <w:bottom w:val="single" w:sz="4" w:space="0" w:color="auto"/>
              <w:right w:val="nil"/>
            </w:tcBorders>
            <w:shd w:val="clear" w:color="auto" w:fill="DAEEF3" w:themeFill="accent5" w:themeFillTint="33"/>
            <w:vAlign w:val="center"/>
          </w:tcPr>
          <w:p w14:paraId="67F4550F"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8,617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3700AA0"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65.9</w:t>
            </w:r>
          </w:p>
          <w:p w14:paraId="1C545E5D"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(64.1 - 67.8)</w:t>
            </w:r>
          </w:p>
        </w:tc>
        <w:tc>
          <w:tcPr>
            <w:tcW w:w="720" w:type="dxa"/>
            <w:tcBorders>
              <w:top w:val="single" w:sz="4" w:space="0" w:color="auto"/>
              <w:left w:val="nil"/>
              <w:bottom w:val="single" w:sz="4" w:space="0" w:color="auto"/>
              <w:right w:val="nil"/>
            </w:tcBorders>
            <w:shd w:val="clear" w:color="auto" w:fill="DAEEF3" w:themeFill="accent5" w:themeFillTint="33"/>
            <w:vAlign w:val="center"/>
          </w:tcPr>
          <w:p w14:paraId="6BB4DF23"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8,223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4E13B40"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60.3</w:t>
            </w:r>
          </w:p>
          <w:p w14:paraId="1FAAD1B5"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(58.6 - 61.9)</w:t>
            </w:r>
          </w:p>
        </w:tc>
        <w:tc>
          <w:tcPr>
            <w:tcW w:w="720" w:type="dxa"/>
            <w:tcBorders>
              <w:top w:val="single" w:sz="4" w:space="0" w:color="auto"/>
              <w:left w:val="nil"/>
              <w:bottom w:val="single" w:sz="4" w:space="0" w:color="auto"/>
              <w:right w:val="nil"/>
            </w:tcBorders>
            <w:shd w:val="clear" w:color="auto" w:fill="DAEEF3" w:themeFill="accent5" w:themeFillTint="33"/>
            <w:vAlign w:val="center"/>
          </w:tcPr>
          <w:p w14:paraId="773BBCDB"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6,549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9C90EED"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45.7</w:t>
            </w:r>
          </w:p>
          <w:p w14:paraId="414E6D32"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(44.2 - 47.3)</w:t>
            </w:r>
          </w:p>
        </w:tc>
        <w:tc>
          <w:tcPr>
            <w:tcW w:w="1222"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8BFDB7F"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
                <w:bCs/>
                <w:color w:val="000000"/>
                <w:sz w:val="16"/>
                <w:szCs w:val="16"/>
              </w:rPr>
              <w:t>&lt;0.0001</w:t>
            </w:r>
          </w:p>
        </w:tc>
      </w:tr>
      <w:tr w:rsidR="00BA4C78" w:rsidRPr="00AF3A24" w14:paraId="01B958AA" w14:textId="77777777" w:rsidTr="00A310A6">
        <w:trPr>
          <w:jc w:val="center"/>
        </w:trPr>
        <w:tc>
          <w:tcPr>
            <w:tcW w:w="3760" w:type="dxa"/>
            <w:tcBorders>
              <w:top w:val="single" w:sz="4" w:space="0" w:color="auto"/>
              <w:bottom w:val="nil"/>
            </w:tcBorders>
            <w:shd w:val="clear" w:color="auto" w:fill="DAEEF3" w:themeFill="accent5" w:themeFillTint="33"/>
            <w:vAlign w:val="center"/>
          </w:tcPr>
          <w:p w14:paraId="0D44CD1E"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only</w:t>
            </w:r>
          </w:p>
        </w:tc>
        <w:tc>
          <w:tcPr>
            <w:tcW w:w="720" w:type="dxa"/>
            <w:tcBorders>
              <w:top w:val="single" w:sz="4" w:space="0" w:color="auto"/>
              <w:bottom w:val="nil"/>
              <w:right w:val="nil"/>
            </w:tcBorders>
            <w:shd w:val="clear" w:color="auto" w:fill="DAEEF3" w:themeFill="accent5" w:themeFillTint="33"/>
            <w:vAlign w:val="center"/>
          </w:tcPr>
          <w:p w14:paraId="237DAE6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3,379</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27974E6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18.3</w:t>
            </w:r>
          </w:p>
          <w:p w14:paraId="72A686D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(17.3 - 19.4)</w:t>
            </w:r>
          </w:p>
        </w:tc>
        <w:tc>
          <w:tcPr>
            <w:tcW w:w="720" w:type="dxa"/>
            <w:tcBorders>
              <w:top w:val="single" w:sz="4" w:space="0" w:color="auto"/>
              <w:left w:val="nil"/>
              <w:bottom w:val="nil"/>
              <w:right w:val="nil"/>
            </w:tcBorders>
            <w:shd w:val="clear" w:color="auto" w:fill="DAEEF3" w:themeFill="accent5" w:themeFillTint="33"/>
            <w:vAlign w:val="center"/>
          </w:tcPr>
          <w:p w14:paraId="79911C9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3,259</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4F027ED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18.4</w:t>
            </w:r>
          </w:p>
          <w:p w14:paraId="2DC89137"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(17.5 - 19.3)</w:t>
            </w:r>
          </w:p>
        </w:tc>
        <w:tc>
          <w:tcPr>
            <w:tcW w:w="720" w:type="dxa"/>
            <w:tcBorders>
              <w:top w:val="single" w:sz="4" w:space="0" w:color="auto"/>
              <w:left w:val="nil"/>
              <w:bottom w:val="nil"/>
              <w:right w:val="nil"/>
            </w:tcBorders>
            <w:shd w:val="clear" w:color="auto" w:fill="DAEEF3" w:themeFill="accent5" w:themeFillTint="33"/>
            <w:vAlign w:val="center"/>
          </w:tcPr>
          <w:p w14:paraId="0277AAAC"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3,428</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43DB4B1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19.9</w:t>
            </w:r>
          </w:p>
          <w:p w14:paraId="4EDCC3E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(18.7 - 21.0)</w:t>
            </w:r>
          </w:p>
        </w:tc>
        <w:tc>
          <w:tcPr>
            <w:tcW w:w="1222" w:type="dxa"/>
            <w:tcBorders>
              <w:top w:val="single" w:sz="4" w:space="0" w:color="auto"/>
              <w:left w:val="nil"/>
              <w:bottom w:val="nil"/>
              <w:right w:val="single" w:sz="4" w:space="0" w:color="auto"/>
            </w:tcBorders>
            <w:shd w:val="clear" w:color="auto" w:fill="DAEEF3" w:themeFill="accent5" w:themeFillTint="33"/>
            <w:vAlign w:val="center"/>
          </w:tcPr>
          <w:p w14:paraId="0654E3F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0.0042</w:t>
            </w:r>
          </w:p>
        </w:tc>
      </w:tr>
      <w:tr w:rsidR="00BA4C78" w:rsidRPr="00AF3A24" w14:paraId="4A490E98" w14:textId="77777777" w:rsidTr="00A310A6">
        <w:trPr>
          <w:jc w:val="center"/>
        </w:trPr>
        <w:tc>
          <w:tcPr>
            <w:tcW w:w="3760" w:type="dxa"/>
            <w:tcBorders>
              <w:top w:val="nil"/>
              <w:bottom w:val="nil"/>
            </w:tcBorders>
            <w:shd w:val="clear" w:color="auto" w:fill="DAEEF3" w:themeFill="accent5" w:themeFillTint="33"/>
            <w:vAlign w:val="center"/>
          </w:tcPr>
          <w:p w14:paraId="3E8B2981"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non-Lotto gambling activity</w:t>
            </w:r>
          </w:p>
        </w:tc>
        <w:tc>
          <w:tcPr>
            <w:tcW w:w="720" w:type="dxa"/>
            <w:tcBorders>
              <w:top w:val="nil"/>
              <w:bottom w:val="nil"/>
              <w:right w:val="nil"/>
            </w:tcBorders>
            <w:shd w:val="clear" w:color="auto" w:fill="DAEEF3" w:themeFill="accent5" w:themeFillTint="33"/>
            <w:vAlign w:val="center"/>
          </w:tcPr>
          <w:p w14:paraId="7BC4191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5,238</w:t>
            </w:r>
          </w:p>
        </w:tc>
        <w:tc>
          <w:tcPr>
            <w:tcW w:w="1080" w:type="dxa"/>
            <w:tcBorders>
              <w:top w:val="nil"/>
              <w:left w:val="nil"/>
              <w:bottom w:val="nil"/>
              <w:right w:val="single" w:sz="4" w:space="0" w:color="auto"/>
            </w:tcBorders>
            <w:shd w:val="clear" w:color="auto" w:fill="DAEEF3" w:themeFill="accent5" w:themeFillTint="33"/>
            <w:vAlign w:val="center"/>
          </w:tcPr>
          <w:p w14:paraId="2D03BFC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47.6</w:t>
            </w:r>
          </w:p>
          <w:p w14:paraId="03E029B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(45.6 - 49.6)</w:t>
            </w:r>
          </w:p>
        </w:tc>
        <w:tc>
          <w:tcPr>
            <w:tcW w:w="720" w:type="dxa"/>
            <w:tcBorders>
              <w:top w:val="nil"/>
              <w:left w:val="nil"/>
              <w:bottom w:val="nil"/>
              <w:right w:val="nil"/>
            </w:tcBorders>
            <w:shd w:val="clear" w:color="auto" w:fill="DAEEF3" w:themeFill="accent5" w:themeFillTint="33"/>
            <w:vAlign w:val="center"/>
          </w:tcPr>
          <w:p w14:paraId="49ACA90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4,964</w:t>
            </w:r>
          </w:p>
        </w:tc>
        <w:tc>
          <w:tcPr>
            <w:tcW w:w="1080" w:type="dxa"/>
            <w:tcBorders>
              <w:top w:val="nil"/>
              <w:left w:val="nil"/>
              <w:bottom w:val="nil"/>
              <w:right w:val="single" w:sz="4" w:space="0" w:color="auto"/>
            </w:tcBorders>
            <w:shd w:val="clear" w:color="auto" w:fill="DAEEF3" w:themeFill="accent5" w:themeFillTint="33"/>
            <w:vAlign w:val="center"/>
          </w:tcPr>
          <w:p w14:paraId="7FDCFB5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41.8</w:t>
            </w:r>
          </w:p>
          <w:p w14:paraId="5BA3CA64"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(40.2 - 43.4)</w:t>
            </w:r>
          </w:p>
        </w:tc>
        <w:tc>
          <w:tcPr>
            <w:tcW w:w="720" w:type="dxa"/>
            <w:tcBorders>
              <w:top w:val="nil"/>
              <w:left w:val="nil"/>
              <w:bottom w:val="nil"/>
              <w:right w:val="nil"/>
            </w:tcBorders>
            <w:shd w:val="clear" w:color="auto" w:fill="DAEEF3" w:themeFill="accent5" w:themeFillTint="33"/>
            <w:vAlign w:val="center"/>
          </w:tcPr>
          <w:p w14:paraId="359853BE"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3,121</w:t>
            </w:r>
          </w:p>
        </w:tc>
        <w:tc>
          <w:tcPr>
            <w:tcW w:w="1080" w:type="dxa"/>
            <w:tcBorders>
              <w:top w:val="nil"/>
              <w:left w:val="nil"/>
              <w:bottom w:val="nil"/>
              <w:right w:val="single" w:sz="4" w:space="0" w:color="auto"/>
            </w:tcBorders>
            <w:shd w:val="clear" w:color="auto" w:fill="DAEEF3" w:themeFill="accent5" w:themeFillTint="33"/>
            <w:vAlign w:val="center"/>
          </w:tcPr>
          <w:p w14:paraId="2FD16BB4"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25.9</w:t>
            </w:r>
          </w:p>
          <w:p w14:paraId="101D9D67"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(24.4 - 27.4)</w:t>
            </w:r>
          </w:p>
        </w:tc>
        <w:tc>
          <w:tcPr>
            <w:tcW w:w="1222" w:type="dxa"/>
            <w:tcBorders>
              <w:top w:val="nil"/>
              <w:left w:val="nil"/>
              <w:bottom w:val="nil"/>
              <w:right w:val="single" w:sz="4" w:space="0" w:color="auto"/>
            </w:tcBorders>
            <w:shd w:val="clear" w:color="auto" w:fill="DAEEF3" w:themeFill="accent5" w:themeFillTint="33"/>
            <w:vAlign w:val="center"/>
          </w:tcPr>
          <w:p w14:paraId="5B2C370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47B4DBCC" w14:textId="77777777" w:rsidTr="00A310A6">
        <w:trPr>
          <w:jc w:val="center"/>
        </w:trPr>
        <w:tc>
          <w:tcPr>
            <w:tcW w:w="3760" w:type="dxa"/>
            <w:tcBorders>
              <w:top w:val="nil"/>
              <w:bottom w:val="nil"/>
            </w:tcBorders>
            <w:shd w:val="clear" w:color="auto" w:fill="DAEEF3" w:themeFill="accent5" w:themeFillTint="33"/>
            <w:vAlign w:val="center"/>
          </w:tcPr>
          <w:p w14:paraId="6FC1B661"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gaming machine (casino or non-casino)</w:t>
            </w:r>
          </w:p>
        </w:tc>
        <w:tc>
          <w:tcPr>
            <w:tcW w:w="1800" w:type="dxa"/>
            <w:gridSpan w:val="2"/>
            <w:tcBorders>
              <w:top w:val="nil"/>
              <w:bottom w:val="nil"/>
              <w:right w:val="single" w:sz="4" w:space="0" w:color="auto"/>
            </w:tcBorders>
            <w:shd w:val="clear" w:color="auto" w:fill="DAEEF3" w:themeFill="accent5" w:themeFillTint="33"/>
            <w:vAlign w:val="center"/>
          </w:tcPr>
          <w:p w14:paraId="757EAD4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17CAA1B7"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1,851</w:t>
            </w:r>
          </w:p>
        </w:tc>
        <w:tc>
          <w:tcPr>
            <w:tcW w:w="1080" w:type="dxa"/>
            <w:tcBorders>
              <w:top w:val="nil"/>
              <w:left w:val="nil"/>
              <w:bottom w:val="nil"/>
              <w:right w:val="single" w:sz="4" w:space="0" w:color="auto"/>
            </w:tcBorders>
            <w:shd w:val="clear" w:color="auto" w:fill="DAEEF3" w:themeFill="accent5" w:themeFillTint="33"/>
            <w:vAlign w:val="center"/>
          </w:tcPr>
          <w:p w14:paraId="53AA950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16.2</w:t>
            </w:r>
          </w:p>
          <w:p w14:paraId="5223826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(15.0 - 17.4)</w:t>
            </w:r>
          </w:p>
        </w:tc>
        <w:tc>
          <w:tcPr>
            <w:tcW w:w="720" w:type="dxa"/>
            <w:tcBorders>
              <w:top w:val="nil"/>
              <w:left w:val="nil"/>
              <w:bottom w:val="nil"/>
              <w:right w:val="nil"/>
            </w:tcBorders>
            <w:shd w:val="clear" w:color="auto" w:fill="DAEEF3" w:themeFill="accent5" w:themeFillTint="33"/>
            <w:vAlign w:val="center"/>
          </w:tcPr>
          <w:p w14:paraId="374DD1D4"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1,157</w:t>
            </w:r>
          </w:p>
        </w:tc>
        <w:tc>
          <w:tcPr>
            <w:tcW w:w="1080" w:type="dxa"/>
            <w:tcBorders>
              <w:top w:val="nil"/>
              <w:left w:val="nil"/>
              <w:bottom w:val="nil"/>
              <w:right w:val="single" w:sz="4" w:space="0" w:color="auto"/>
            </w:tcBorders>
            <w:shd w:val="clear" w:color="auto" w:fill="DAEEF3" w:themeFill="accent5" w:themeFillTint="33"/>
            <w:vAlign w:val="center"/>
          </w:tcPr>
          <w:p w14:paraId="3F777EE4"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p w14:paraId="664BD89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(8.2 - 10.1)</w:t>
            </w:r>
          </w:p>
        </w:tc>
        <w:tc>
          <w:tcPr>
            <w:tcW w:w="1222" w:type="dxa"/>
            <w:tcBorders>
              <w:top w:val="nil"/>
              <w:left w:val="nil"/>
              <w:bottom w:val="nil"/>
              <w:right w:val="single" w:sz="4" w:space="0" w:color="auto"/>
            </w:tcBorders>
            <w:shd w:val="clear" w:color="auto" w:fill="DAEEF3" w:themeFill="accent5" w:themeFillTint="33"/>
            <w:vAlign w:val="center"/>
          </w:tcPr>
          <w:p w14:paraId="06C17BB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77C24217" w14:textId="77777777" w:rsidTr="00A310A6">
        <w:trPr>
          <w:jc w:val="center"/>
        </w:trPr>
        <w:tc>
          <w:tcPr>
            <w:tcW w:w="3760" w:type="dxa"/>
            <w:tcBorders>
              <w:top w:val="nil"/>
              <w:bottom w:val="dashed" w:sz="4" w:space="0" w:color="auto"/>
            </w:tcBorders>
            <w:shd w:val="clear" w:color="auto" w:fill="DAEEF3" w:themeFill="accent5" w:themeFillTint="33"/>
            <w:vAlign w:val="center"/>
          </w:tcPr>
          <w:p w14:paraId="00610EA9"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Any casino gambling (tables or gaming machines)</w:t>
            </w:r>
          </w:p>
        </w:tc>
        <w:tc>
          <w:tcPr>
            <w:tcW w:w="720" w:type="dxa"/>
            <w:tcBorders>
              <w:top w:val="nil"/>
              <w:bottom w:val="dashed" w:sz="4" w:space="0" w:color="auto"/>
              <w:right w:val="nil"/>
            </w:tcBorders>
            <w:shd w:val="clear" w:color="auto" w:fill="DAEEF3" w:themeFill="accent5" w:themeFillTint="33"/>
            <w:vAlign w:val="center"/>
          </w:tcPr>
          <w:p w14:paraId="267C0BF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859</w:t>
            </w:r>
          </w:p>
        </w:tc>
        <w:tc>
          <w:tcPr>
            <w:tcW w:w="1080" w:type="dxa"/>
            <w:tcBorders>
              <w:top w:val="nil"/>
              <w:left w:val="nil"/>
              <w:bottom w:val="dashed" w:sz="4" w:space="0" w:color="auto"/>
              <w:right w:val="single" w:sz="4" w:space="0" w:color="auto"/>
            </w:tcBorders>
            <w:shd w:val="clear" w:color="auto" w:fill="DAEEF3" w:themeFill="accent5" w:themeFillTint="33"/>
            <w:vAlign w:val="center"/>
          </w:tcPr>
          <w:p w14:paraId="7FE2C5E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8.2</w:t>
            </w:r>
          </w:p>
          <w:p w14:paraId="39CF6E1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(7.3 - 9.1)</w:t>
            </w:r>
          </w:p>
        </w:tc>
        <w:tc>
          <w:tcPr>
            <w:tcW w:w="720" w:type="dxa"/>
            <w:tcBorders>
              <w:top w:val="nil"/>
              <w:left w:val="nil"/>
              <w:bottom w:val="dashed" w:sz="4" w:space="0" w:color="auto"/>
              <w:right w:val="nil"/>
            </w:tcBorders>
            <w:shd w:val="clear" w:color="auto" w:fill="DAEEF3" w:themeFill="accent5" w:themeFillTint="33"/>
            <w:vAlign w:val="center"/>
          </w:tcPr>
          <w:p w14:paraId="65BE1D5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1,020</w:t>
            </w:r>
          </w:p>
        </w:tc>
        <w:tc>
          <w:tcPr>
            <w:tcW w:w="1080" w:type="dxa"/>
            <w:tcBorders>
              <w:top w:val="nil"/>
              <w:left w:val="nil"/>
              <w:bottom w:val="dashed" w:sz="4" w:space="0" w:color="auto"/>
              <w:right w:val="single" w:sz="4" w:space="0" w:color="auto"/>
            </w:tcBorders>
            <w:shd w:val="clear" w:color="auto" w:fill="DAEEF3" w:themeFill="accent5" w:themeFillTint="33"/>
            <w:vAlign w:val="center"/>
          </w:tcPr>
          <w:p w14:paraId="4979C33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p>
          <w:p w14:paraId="5F43F36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(8.1 - 9.9)</w:t>
            </w:r>
          </w:p>
        </w:tc>
        <w:tc>
          <w:tcPr>
            <w:tcW w:w="720" w:type="dxa"/>
            <w:tcBorders>
              <w:top w:val="nil"/>
              <w:left w:val="nil"/>
              <w:bottom w:val="dashed" w:sz="4" w:space="0" w:color="auto"/>
              <w:right w:val="nil"/>
            </w:tcBorders>
            <w:shd w:val="clear" w:color="auto" w:fill="DAEEF3" w:themeFill="accent5" w:themeFillTint="33"/>
            <w:vAlign w:val="center"/>
          </w:tcPr>
          <w:p w14:paraId="4CDE3E2A"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601</w:t>
            </w:r>
          </w:p>
        </w:tc>
        <w:tc>
          <w:tcPr>
            <w:tcW w:w="1080" w:type="dxa"/>
            <w:tcBorders>
              <w:top w:val="nil"/>
              <w:left w:val="nil"/>
              <w:bottom w:val="dashed" w:sz="4" w:space="0" w:color="auto"/>
              <w:right w:val="single" w:sz="4" w:space="0" w:color="auto"/>
            </w:tcBorders>
            <w:shd w:val="clear" w:color="auto" w:fill="DAEEF3" w:themeFill="accent5" w:themeFillTint="33"/>
            <w:vAlign w:val="center"/>
          </w:tcPr>
          <w:p w14:paraId="0503B97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p>
          <w:p w14:paraId="7AEF96EC"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(4.9 - 6.4)</w:t>
            </w:r>
          </w:p>
        </w:tc>
        <w:tc>
          <w:tcPr>
            <w:tcW w:w="1222" w:type="dxa"/>
            <w:tcBorders>
              <w:top w:val="nil"/>
              <w:left w:val="nil"/>
              <w:bottom w:val="dashed" w:sz="4" w:space="0" w:color="auto"/>
              <w:right w:val="single" w:sz="4" w:space="0" w:color="auto"/>
            </w:tcBorders>
            <w:shd w:val="clear" w:color="auto" w:fill="DAEEF3" w:themeFill="accent5" w:themeFillTint="33"/>
            <w:vAlign w:val="center"/>
          </w:tcPr>
          <w:p w14:paraId="547DC38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2494E4A4" w14:textId="77777777" w:rsidTr="00A310A6">
        <w:trPr>
          <w:jc w:val="center"/>
        </w:trPr>
        <w:tc>
          <w:tcPr>
            <w:tcW w:w="3760" w:type="dxa"/>
            <w:tcBorders>
              <w:top w:val="dashed" w:sz="4" w:space="0" w:color="auto"/>
              <w:bottom w:val="nil"/>
            </w:tcBorders>
            <w:shd w:val="clear" w:color="auto" w:fill="DAEEF3" w:themeFill="accent5" w:themeFillTint="33"/>
            <w:vAlign w:val="center"/>
          </w:tcPr>
          <w:p w14:paraId="726E73D3"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 (including ‘Strike’, ‘Powerball’ and ‘Big Wednesday’)</w:t>
            </w:r>
          </w:p>
        </w:tc>
        <w:tc>
          <w:tcPr>
            <w:tcW w:w="720" w:type="dxa"/>
            <w:tcBorders>
              <w:top w:val="dashed" w:sz="4" w:space="0" w:color="auto"/>
              <w:bottom w:val="nil"/>
              <w:right w:val="nil"/>
            </w:tcBorders>
            <w:shd w:val="clear" w:color="auto" w:fill="DAEEF3" w:themeFill="accent5" w:themeFillTint="33"/>
            <w:vAlign w:val="center"/>
          </w:tcPr>
          <w:p w14:paraId="125E4F14"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7,507</w:t>
            </w:r>
          </w:p>
        </w:tc>
        <w:tc>
          <w:tcPr>
            <w:tcW w:w="1080" w:type="dxa"/>
            <w:tcBorders>
              <w:top w:val="dashed" w:sz="4" w:space="0" w:color="auto"/>
              <w:left w:val="nil"/>
              <w:bottom w:val="nil"/>
              <w:right w:val="single" w:sz="4" w:space="0" w:color="auto"/>
            </w:tcBorders>
            <w:shd w:val="clear" w:color="auto" w:fill="DAEEF3" w:themeFill="accent5" w:themeFillTint="33"/>
            <w:vAlign w:val="center"/>
          </w:tcPr>
          <w:p w14:paraId="470C7B9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49.4</w:t>
            </w:r>
          </w:p>
          <w:p w14:paraId="44EF55E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(47.7 - 51.1)</w:t>
            </w:r>
          </w:p>
        </w:tc>
        <w:tc>
          <w:tcPr>
            <w:tcW w:w="720" w:type="dxa"/>
            <w:tcBorders>
              <w:top w:val="dashed" w:sz="4" w:space="0" w:color="auto"/>
              <w:left w:val="nil"/>
              <w:bottom w:val="nil"/>
              <w:right w:val="nil"/>
            </w:tcBorders>
            <w:shd w:val="clear" w:color="auto" w:fill="DAEEF3" w:themeFill="accent5" w:themeFillTint="33"/>
            <w:vAlign w:val="center"/>
          </w:tcPr>
          <w:p w14:paraId="2CC07D2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7,086</w:t>
            </w:r>
          </w:p>
        </w:tc>
        <w:tc>
          <w:tcPr>
            <w:tcW w:w="1080" w:type="dxa"/>
            <w:tcBorders>
              <w:top w:val="dashed" w:sz="4" w:space="0" w:color="auto"/>
              <w:left w:val="nil"/>
              <w:bottom w:val="nil"/>
              <w:right w:val="single" w:sz="4" w:space="0" w:color="auto"/>
            </w:tcBorders>
            <w:shd w:val="clear" w:color="auto" w:fill="DAEEF3" w:themeFill="accent5" w:themeFillTint="33"/>
            <w:vAlign w:val="center"/>
          </w:tcPr>
          <w:p w14:paraId="6F8D2384"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45.6</w:t>
            </w:r>
          </w:p>
          <w:p w14:paraId="1498789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(44.2 - 47.0)</w:t>
            </w:r>
          </w:p>
        </w:tc>
        <w:tc>
          <w:tcPr>
            <w:tcW w:w="720" w:type="dxa"/>
            <w:tcBorders>
              <w:top w:val="dashed" w:sz="4" w:space="0" w:color="auto"/>
              <w:left w:val="nil"/>
              <w:bottom w:val="nil"/>
              <w:right w:val="nil"/>
            </w:tcBorders>
            <w:shd w:val="clear" w:color="auto" w:fill="DAEEF3" w:themeFill="accent5" w:themeFillTint="33"/>
            <w:vAlign w:val="center"/>
          </w:tcPr>
          <w:p w14:paraId="3855FEA9"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5,693</w:t>
            </w:r>
          </w:p>
        </w:tc>
        <w:tc>
          <w:tcPr>
            <w:tcW w:w="1080" w:type="dxa"/>
            <w:tcBorders>
              <w:top w:val="dashed" w:sz="4" w:space="0" w:color="auto"/>
              <w:left w:val="nil"/>
              <w:bottom w:val="nil"/>
              <w:right w:val="single" w:sz="4" w:space="0" w:color="auto"/>
            </w:tcBorders>
            <w:shd w:val="clear" w:color="auto" w:fill="DAEEF3" w:themeFill="accent5" w:themeFillTint="33"/>
            <w:vAlign w:val="center"/>
          </w:tcPr>
          <w:p w14:paraId="561764C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36.4</w:t>
            </w:r>
          </w:p>
          <w:p w14:paraId="5A81CF6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(34.9 - 37.9)</w:t>
            </w:r>
          </w:p>
        </w:tc>
        <w:tc>
          <w:tcPr>
            <w:tcW w:w="1222" w:type="dxa"/>
            <w:tcBorders>
              <w:top w:val="dashed" w:sz="4" w:space="0" w:color="auto"/>
              <w:left w:val="nil"/>
              <w:bottom w:val="nil"/>
              <w:right w:val="single" w:sz="4" w:space="0" w:color="auto"/>
            </w:tcBorders>
            <w:shd w:val="clear" w:color="auto" w:fill="DAEEF3" w:themeFill="accent5" w:themeFillTint="33"/>
            <w:vAlign w:val="center"/>
          </w:tcPr>
          <w:p w14:paraId="40FF7E16"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103E0E63" w14:textId="77777777" w:rsidTr="00A310A6">
        <w:trPr>
          <w:jc w:val="center"/>
        </w:trPr>
        <w:tc>
          <w:tcPr>
            <w:tcW w:w="3760" w:type="dxa"/>
            <w:tcBorders>
              <w:top w:val="nil"/>
              <w:bottom w:val="nil"/>
            </w:tcBorders>
            <w:shd w:val="clear" w:color="auto" w:fill="DAEEF3" w:themeFill="accent5" w:themeFillTint="33"/>
            <w:vAlign w:val="center"/>
          </w:tcPr>
          <w:p w14:paraId="7F142876"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Instant Kiwi or other scratch tickets</w:t>
            </w:r>
          </w:p>
        </w:tc>
        <w:tc>
          <w:tcPr>
            <w:tcW w:w="720" w:type="dxa"/>
            <w:tcBorders>
              <w:top w:val="nil"/>
              <w:bottom w:val="nil"/>
              <w:right w:val="nil"/>
            </w:tcBorders>
            <w:shd w:val="clear" w:color="auto" w:fill="DAEEF3" w:themeFill="accent5" w:themeFillTint="33"/>
            <w:vAlign w:val="center"/>
          </w:tcPr>
          <w:p w14:paraId="4361429C"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3,269</w:t>
            </w:r>
          </w:p>
        </w:tc>
        <w:tc>
          <w:tcPr>
            <w:tcW w:w="1080" w:type="dxa"/>
            <w:tcBorders>
              <w:top w:val="nil"/>
              <w:left w:val="nil"/>
              <w:bottom w:val="nil"/>
              <w:right w:val="single" w:sz="4" w:space="0" w:color="auto"/>
            </w:tcBorders>
            <w:shd w:val="clear" w:color="auto" w:fill="DAEEF3" w:themeFill="accent5" w:themeFillTint="33"/>
            <w:vAlign w:val="center"/>
          </w:tcPr>
          <w:p w14:paraId="05452B6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32.7</w:t>
            </w:r>
          </w:p>
          <w:p w14:paraId="499DA70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(30.8 - 34.7)</w:t>
            </w:r>
          </w:p>
        </w:tc>
        <w:tc>
          <w:tcPr>
            <w:tcW w:w="720" w:type="dxa"/>
            <w:tcBorders>
              <w:top w:val="nil"/>
              <w:left w:val="nil"/>
              <w:bottom w:val="nil"/>
              <w:right w:val="nil"/>
            </w:tcBorders>
            <w:shd w:val="clear" w:color="auto" w:fill="DAEEF3" w:themeFill="accent5" w:themeFillTint="33"/>
            <w:vAlign w:val="center"/>
          </w:tcPr>
          <w:p w14:paraId="401E081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3,180</w:t>
            </w:r>
          </w:p>
        </w:tc>
        <w:tc>
          <w:tcPr>
            <w:tcW w:w="1080" w:type="dxa"/>
            <w:tcBorders>
              <w:top w:val="nil"/>
              <w:left w:val="nil"/>
              <w:bottom w:val="nil"/>
              <w:right w:val="single" w:sz="4" w:space="0" w:color="auto"/>
            </w:tcBorders>
            <w:shd w:val="clear" w:color="auto" w:fill="DAEEF3" w:themeFill="accent5" w:themeFillTint="33"/>
            <w:vAlign w:val="center"/>
          </w:tcPr>
          <w:p w14:paraId="5B28616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28.7</w:t>
            </w:r>
          </w:p>
          <w:p w14:paraId="372E3FA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(27.2 - 30.2)</w:t>
            </w:r>
          </w:p>
        </w:tc>
        <w:tc>
          <w:tcPr>
            <w:tcW w:w="720" w:type="dxa"/>
            <w:tcBorders>
              <w:top w:val="nil"/>
              <w:left w:val="nil"/>
              <w:bottom w:val="nil"/>
              <w:right w:val="nil"/>
            </w:tcBorders>
            <w:shd w:val="clear" w:color="auto" w:fill="DAEEF3" w:themeFill="accent5" w:themeFillTint="33"/>
            <w:vAlign w:val="center"/>
          </w:tcPr>
          <w:p w14:paraId="044BE3B3"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1,677</w:t>
            </w:r>
          </w:p>
        </w:tc>
        <w:tc>
          <w:tcPr>
            <w:tcW w:w="1080" w:type="dxa"/>
            <w:tcBorders>
              <w:top w:val="nil"/>
              <w:left w:val="nil"/>
              <w:bottom w:val="nil"/>
              <w:right w:val="single" w:sz="4" w:space="0" w:color="auto"/>
            </w:tcBorders>
            <w:shd w:val="clear" w:color="auto" w:fill="DAEEF3" w:themeFill="accent5" w:themeFillTint="33"/>
            <w:vAlign w:val="center"/>
          </w:tcPr>
          <w:p w14:paraId="6E6B063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14.9</w:t>
            </w:r>
          </w:p>
          <w:p w14:paraId="1AD9808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(13.6 - 16.1)</w:t>
            </w:r>
          </w:p>
        </w:tc>
        <w:tc>
          <w:tcPr>
            <w:tcW w:w="1222" w:type="dxa"/>
            <w:tcBorders>
              <w:top w:val="nil"/>
              <w:left w:val="nil"/>
              <w:bottom w:val="nil"/>
              <w:right w:val="single" w:sz="4" w:space="0" w:color="auto"/>
            </w:tcBorders>
            <w:shd w:val="clear" w:color="auto" w:fill="DAEEF3" w:themeFill="accent5" w:themeFillTint="33"/>
            <w:vAlign w:val="center"/>
          </w:tcPr>
          <w:p w14:paraId="2524CFA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51C3363F" w14:textId="77777777" w:rsidTr="00A310A6">
        <w:trPr>
          <w:jc w:val="center"/>
        </w:trPr>
        <w:tc>
          <w:tcPr>
            <w:tcW w:w="3760" w:type="dxa"/>
            <w:tcBorders>
              <w:top w:val="nil"/>
              <w:bottom w:val="nil"/>
            </w:tcBorders>
            <w:shd w:val="clear" w:color="auto" w:fill="DAEEF3" w:themeFill="accent5" w:themeFillTint="33"/>
            <w:vAlign w:val="center"/>
          </w:tcPr>
          <w:p w14:paraId="37BA969A"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Non-casino gaming machines</w:t>
            </w:r>
          </w:p>
        </w:tc>
        <w:tc>
          <w:tcPr>
            <w:tcW w:w="720" w:type="dxa"/>
            <w:tcBorders>
              <w:top w:val="nil"/>
              <w:bottom w:val="nil"/>
              <w:right w:val="nil"/>
            </w:tcBorders>
            <w:shd w:val="clear" w:color="auto" w:fill="DAEEF3" w:themeFill="accent5" w:themeFillTint="33"/>
            <w:vAlign w:val="center"/>
          </w:tcPr>
          <w:p w14:paraId="0C3052F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1,576</w:t>
            </w:r>
          </w:p>
        </w:tc>
        <w:tc>
          <w:tcPr>
            <w:tcW w:w="1080" w:type="dxa"/>
            <w:tcBorders>
              <w:top w:val="nil"/>
              <w:left w:val="nil"/>
              <w:bottom w:val="nil"/>
              <w:right w:val="single" w:sz="4" w:space="0" w:color="auto"/>
            </w:tcBorders>
            <w:shd w:val="clear" w:color="auto" w:fill="DAEEF3" w:themeFill="accent5" w:themeFillTint="33"/>
            <w:vAlign w:val="center"/>
          </w:tcPr>
          <w:p w14:paraId="34EC5A8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15.1</w:t>
            </w:r>
          </w:p>
          <w:p w14:paraId="6A58A8E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(13.7 - 16.6)</w:t>
            </w:r>
          </w:p>
        </w:tc>
        <w:tc>
          <w:tcPr>
            <w:tcW w:w="720" w:type="dxa"/>
            <w:tcBorders>
              <w:top w:val="nil"/>
              <w:left w:val="nil"/>
              <w:bottom w:val="nil"/>
              <w:right w:val="nil"/>
            </w:tcBorders>
            <w:shd w:val="clear" w:color="auto" w:fill="DAEEF3" w:themeFill="accent5" w:themeFillTint="33"/>
            <w:vAlign w:val="center"/>
          </w:tcPr>
          <w:p w14:paraId="6653AB6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1,279</w:t>
            </w:r>
          </w:p>
        </w:tc>
        <w:tc>
          <w:tcPr>
            <w:tcW w:w="1080" w:type="dxa"/>
            <w:tcBorders>
              <w:top w:val="nil"/>
              <w:left w:val="nil"/>
              <w:bottom w:val="nil"/>
              <w:right w:val="single" w:sz="4" w:space="0" w:color="auto"/>
            </w:tcBorders>
            <w:shd w:val="clear" w:color="auto" w:fill="DAEEF3" w:themeFill="accent5" w:themeFillTint="33"/>
            <w:vAlign w:val="center"/>
          </w:tcPr>
          <w:p w14:paraId="32E3B5A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11.1</w:t>
            </w:r>
          </w:p>
          <w:p w14:paraId="64BCD80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(10.1 - 12.2)</w:t>
            </w:r>
          </w:p>
        </w:tc>
        <w:tc>
          <w:tcPr>
            <w:tcW w:w="720" w:type="dxa"/>
            <w:tcBorders>
              <w:top w:val="nil"/>
              <w:left w:val="nil"/>
              <w:bottom w:val="nil"/>
              <w:right w:val="nil"/>
            </w:tcBorders>
            <w:shd w:val="clear" w:color="auto" w:fill="DAEEF3" w:themeFill="accent5" w:themeFillTint="33"/>
            <w:vAlign w:val="center"/>
          </w:tcPr>
          <w:p w14:paraId="3BB96BC0"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803</w:t>
            </w:r>
          </w:p>
        </w:tc>
        <w:tc>
          <w:tcPr>
            <w:tcW w:w="1080" w:type="dxa"/>
            <w:tcBorders>
              <w:top w:val="nil"/>
              <w:left w:val="nil"/>
              <w:bottom w:val="nil"/>
              <w:right w:val="single" w:sz="4" w:space="0" w:color="auto"/>
            </w:tcBorders>
            <w:shd w:val="clear" w:color="auto" w:fill="DAEEF3" w:themeFill="accent5" w:themeFillTint="33"/>
            <w:vAlign w:val="center"/>
          </w:tcPr>
          <w:p w14:paraId="5367765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p w14:paraId="433406C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(5.5 - 7.2)</w:t>
            </w:r>
          </w:p>
        </w:tc>
        <w:tc>
          <w:tcPr>
            <w:tcW w:w="1222" w:type="dxa"/>
            <w:tcBorders>
              <w:top w:val="nil"/>
              <w:left w:val="nil"/>
              <w:bottom w:val="nil"/>
              <w:right w:val="single" w:sz="4" w:space="0" w:color="auto"/>
            </w:tcBorders>
            <w:shd w:val="clear" w:color="auto" w:fill="DAEEF3" w:themeFill="accent5" w:themeFillTint="33"/>
            <w:vAlign w:val="center"/>
          </w:tcPr>
          <w:p w14:paraId="3DF3EC76"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006F25D3" w14:textId="77777777" w:rsidTr="00A310A6">
        <w:trPr>
          <w:jc w:val="center"/>
        </w:trPr>
        <w:tc>
          <w:tcPr>
            <w:tcW w:w="3760" w:type="dxa"/>
            <w:tcBorders>
              <w:top w:val="nil"/>
              <w:bottom w:val="nil"/>
            </w:tcBorders>
            <w:shd w:val="clear" w:color="auto" w:fill="DAEEF3" w:themeFill="accent5" w:themeFillTint="33"/>
            <w:vAlign w:val="center"/>
          </w:tcPr>
          <w:p w14:paraId="4904DE63"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Track betting</w:t>
            </w:r>
          </w:p>
        </w:tc>
        <w:tc>
          <w:tcPr>
            <w:tcW w:w="720" w:type="dxa"/>
            <w:tcBorders>
              <w:top w:val="nil"/>
              <w:bottom w:val="nil"/>
              <w:right w:val="nil"/>
            </w:tcBorders>
            <w:shd w:val="clear" w:color="auto" w:fill="DAEEF3" w:themeFill="accent5" w:themeFillTint="33"/>
            <w:vAlign w:val="center"/>
          </w:tcPr>
          <w:p w14:paraId="5AD44B16"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1,257</w:t>
            </w:r>
          </w:p>
        </w:tc>
        <w:tc>
          <w:tcPr>
            <w:tcW w:w="1080" w:type="dxa"/>
            <w:tcBorders>
              <w:top w:val="nil"/>
              <w:left w:val="nil"/>
              <w:bottom w:val="nil"/>
              <w:right w:val="single" w:sz="4" w:space="0" w:color="auto"/>
            </w:tcBorders>
            <w:shd w:val="clear" w:color="auto" w:fill="DAEEF3" w:themeFill="accent5" w:themeFillTint="33"/>
            <w:vAlign w:val="center"/>
          </w:tcPr>
          <w:p w14:paraId="1D51840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10.5</w:t>
            </w:r>
          </w:p>
          <w:p w14:paraId="5B41DB4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(9.4 - 11.6)</w:t>
            </w:r>
          </w:p>
        </w:tc>
        <w:tc>
          <w:tcPr>
            <w:tcW w:w="720" w:type="dxa"/>
            <w:tcBorders>
              <w:top w:val="nil"/>
              <w:left w:val="nil"/>
              <w:bottom w:val="nil"/>
              <w:right w:val="nil"/>
            </w:tcBorders>
            <w:shd w:val="clear" w:color="auto" w:fill="DAEEF3" w:themeFill="accent5" w:themeFillTint="33"/>
            <w:vAlign w:val="center"/>
          </w:tcPr>
          <w:p w14:paraId="08850BA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1,000</w:t>
            </w:r>
          </w:p>
        </w:tc>
        <w:tc>
          <w:tcPr>
            <w:tcW w:w="1080" w:type="dxa"/>
            <w:tcBorders>
              <w:top w:val="nil"/>
              <w:left w:val="nil"/>
              <w:bottom w:val="nil"/>
              <w:right w:val="single" w:sz="4" w:space="0" w:color="auto"/>
            </w:tcBorders>
            <w:shd w:val="clear" w:color="auto" w:fill="DAEEF3" w:themeFill="accent5" w:themeFillTint="33"/>
            <w:vAlign w:val="center"/>
          </w:tcPr>
          <w:p w14:paraId="731BF01C"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7.8</w:t>
            </w:r>
          </w:p>
          <w:p w14:paraId="11D74D1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(6.9 - 8.6)</w:t>
            </w:r>
          </w:p>
        </w:tc>
        <w:tc>
          <w:tcPr>
            <w:tcW w:w="720" w:type="dxa"/>
            <w:tcBorders>
              <w:top w:val="nil"/>
              <w:left w:val="nil"/>
              <w:bottom w:val="nil"/>
              <w:right w:val="nil"/>
            </w:tcBorders>
            <w:shd w:val="clear" w:color="auto" w:fill="DAEEF3" w:themeFill="accent5" w:themeFillTint="33"/>
            <w:vAlign w:val="center"/>
          </w:tcPr>
          <w:p w14:paraId="0BB5735B"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746</w:t>
            </w:r>
          </w:p>
        </w:tc>
        <w:tc>
          <w:tcPr>
            <w:tcW w:w="1080" w:type="dxa"/>
            <w:tcBorders>
              <w:top w:val="nil"/>
              <w:left w:val="nil"/>
              <w:bottom w:val="nil"/>
              <w:right w:val="single" w:sz="4" w:space="0" w:color="auto"/>
            </w:tcBorders>
            <w:shd w:val="clear" w:color="auto" w:fill="DAEEF3" w:themeFill="accent5" w:themeFillTint="33"/>
            <w:vAlign w:val="center"/>
          </w:tcPr>
          <w:p w14:paraId="4B17112C"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w:t>
            </w:r>
          </w:p>
          <w:p w14:paraId="4EFA97C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(4.6 - 5.9)</w:t>
            </w:r>
          </w:p>
        </w:tc>
        <w:tc>
          <w:tcPr>
            <w:tcW w:w="1222" w:type="dxa"/>
            <w:tcBorders>
              <w:top w:val="nil"/>
              <w:left w:val="nil"/>
              <w:bottom w:val="nil"/>
              <w:right w:val="single" w:sz="4" w:space="0" w:color="auto"/>
            </w:tcBorders>
            <w:shd w:val="clear" w:color="auto" w:fill="DAEEF3" w:themeFill="accent5" w:themeFillTint="33"/>
            <w:vAlign w:val="center"/>
          </w:tcPr>
          <w:p w14:paraId="7E9DA27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0E9B17C8" w14:textId="77777777" w:rsidTr="00A310A6">
        <w:trPr>
          <w:jc w:val="center"/>
        </w:trPr>
        <w:tc>
          <w:tcPr>
            <w:tcW w:w="3760" w:type="dxa"/>
            <w:tcBorders>
              <w:top w:val="nil"/>
              <w:bottom w:val="nil"/>
            </w:tcBorders>
            <w:shd w:val="clear" w:color="auto" w:fill="DAEEF3" w:themeFill="accent5" w:themeFillTint="33"/>
            <w:vAlign w:val="center"/>
          </w:tcPr>
          <w:p w14:paraId="430ABABC"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gaming machines</w:t>
            </w:r>
          </w:p>
        </w:tc>
        <w:tc>
          <w:tcPr>
            <w:tcW w:w="1800" w:type="dxa"/>
            <w:gridSpan w:val="2"/>
            <w:tcBorders>
              <w:top w:val="nil"/>
              <w:bottom w:val="nil"/>
              <w:right w:val="single" w:sz="4" w:space="0" w:color="auto"/>
            </w:tcBorders>
            <w:shd w:val="clear" w:color="auto" w:fill="DAEEF3" w:themeFill="accent5" w:themeFillTint="33"/>
            <w:vAlign w:val="center"/>
          </w:tcPr>
          <w:p w14:paraId="0DAAA926"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6727D67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905</w:t>
            </w:r>
          </w:p>
        </w:tc>
        <w:tc>
          <w:tcPr>
            <w:tcW w:w="1080" w:type="dxa"/>
            <w:tcBorders>
              <w:top w:val="nil"/>
              <w:left w:val="nil"/>
              <w:bottom w:val="nil"/>
              <w:right w:val="single" w:sz="4" w:space="0" w:color="auto"/>
            </w:tcBorders>
            <w:shd w:val="clear" w:color="auto" w:fill="DAEEF3" w:themeFill="accent5" w:themeFillTint="33"/>
            <w:vAlign w:val="center"/>
          </w:tcPr>
          <w:p w14:paraId="7E5C88B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7.9</w:t>
            </w:r>
          </w:p>
          <w:p w14:paraId="3EF6F39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(7.0 - 8.7)</w:t>
            </w:r>
          </w:p>
        </w:tc>
        <w:tc>
          <w:tcPr>
            <w:tcW w:w="720" w:type="dxa"/>
            <w:tcBorders>
              <w:top w:val="nil"/>
              <w:left w:val="nil"/>
              <w:bottom w:val="nil"/>
              <w:right w:val="nil"/>
            </w:tcBorders>
            <w:shd w:val="clear" w:color="auto" w:fill="DAEEF3" w:themeFill="accent5" w:themeFillTint="33"/>
            <w:vAlign w:val="center"/>
          </w:tcPr>
          <w:p w14:paraId="22EB800F"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499</w:t>
            </w:r>
          </w:p>
        </w:tc>
        <w:tc>
          <w:tcPr>
            <w:tcW w:w="1080" w:type="dxa"/>
            <w:tcBorders>
              <w:top w:val="nil"/>
              <w:left w:val="nil"/>
              <w:bottom w:val="nil"/>
              <w:right w:val="single" w:sz="4" w:space="0" w:color="auto"/>
            </w:tcBorders>
            <w:shd w:val="clear" w:color="auto" w:fill="DAEEF3" w:themeFill="accent5" w:themeFillTint="33"/>
            <w:vAlign w:val="center"/>
          </w:tcPr>
          <w:p w14:paraId="3F9C8CA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p w14:paraId="73CBB36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(3.5 - 4.7)</w:t>
            </w:r>
          </w:p>
        </w:tc>
        <w:tc>
          <w:tcPr>
            <w:tcW w:w="1222" w:type="dxa"/>
            <w:tcBorders>
              <w:top w:val="nil"/>
              <w:left w:val="nil"/>
              <w:bottom w:val="nil"/>
              <w:right w:val="single" w:sz="4" w:space="0" w:color="auto"/>
            </w:tcBorders>
            <w:shd w:val="clear" w:color="auto" w:fill="DAEEF3" w:themeFill="accent5" w:themeFillTint="33"/>
            <w:vAlign w:val="center"/>
          </w:tcPr>
          <w:p w14:paraId="68AEA27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09833343" w14:textId="77777777" w:rsidTr="00A310A6">
        <w:trPr>
          <w:jc w:val="center"/>
        </w:trPr>
        <w:tc>
          <w:tcPr>
            <w:tcW w:w="3760" w:type="dxa"/>
            <w:tcBorders>
              <w:top w:val="nil"/>
              <w:bottom w:val="nil"/>
            </w:tcBorders>
            <w:shd w:val="clear" w:color="auto" w:fill="DAEEF3" w:themeFill="accent5" w:themeFillTint="33"/>
            <w:vAlign w:val="center"/>
          </w:tcPr>
          <w:p w14:paraId="6EEC0CC0"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Sports betting</w:t>
            </w:r>
          </w:p>
        </w:tc>
        <w:tc>
          <w:tcPr>
            <w:tcW w:w="720" w:type="dxa"/>
            <w:tcBorders>
              <w:top w:val="nil"/>
              <w:bottom w:val="nil"/>
              <w:right w:val="nil"/>
            </w:tcBorders>
            <w:shd w:val="clear" w:color="auto" w:fill="DAEEF3" w:themeFill="accent5" w:themeFillTint="33"/>
            <w:vAlign w:val="center"/>
          </w:tcPr>
          <w:p w14:paraId="70B20B5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354</w:t>
            </w:r>
          </w:p>
        </w:tc>
        <w:tc>
          <w:tcPr>
            <w:tcW w:w="1080" w:type="dxa"/>
            <w:tcBorders>
              <w:top w:val="nil"/>
              <w:left w:val="nil"/>
              <w:bottom w:val="nil"/>
              <w:right w:val="single" w:sz="4" w:space="0" w:color="auto"/>
            </w:tcBorders>
            <w:shd w:val="clear" w:color="auto" w:fill="DAEEF3" w:themeFill="accent5" w:themeFillTint="33"/>
            <w:vAlign w:val="center"/>
          </w:tcPr>
          <w:p w14:paraId="7969467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p>
          <w:p w14:paraId="56C04E6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(4.1 - 5.7)</w:t>
            </w:r>
          </w:p>
        </w:tc>
        <w:tc>
          <w:tcPr>
            <w:tcW w:w="720" w:type="dxa"/>
            <w:tcBorders>
              <w:top w:val="nil"/>
              <w:left w:val="nil"/>
              <w:bottom w:val="nil"/>
              <w:right w:val="nil"/>
            </w:tcBorders>
            <w:shd w:val="clear" w:color="auto" w:fill="DAEEF3" w:themeFill="accent5" w:themeFillTint="33"/>
            <w:vAlign w:val="center"/>
          </w:tcPr>
          <w:p w14:paraId="2A8D31F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581</w:t>
            </w:r>
          </w:p>
        </w:tc>
        <w:tc>
          <w:tcPr>
            <w:tcW w:w="1080" w:type="dxa"/>
            <w:tcBorders>
              <w:top w:val="nil"/>
              <w:left w:val="nil"/>
              <w:bottom w:val="nil"/>
              <w:right w:val="single" w:sz="4" w:space="0" w:color="auto"/>
            </w:tcBorders>
            <w:shd w:val="clear" w:color="auto" w:fill="DAEEF3" w:themeFill="accent5" w:themeFillTint="33"/>
            <w:vAlign w:val="center"/>
          </w:tcPr>
          <w:p w14:paraId="05C2BB6F"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w:t>
            </w:r>
          </w:p>
          <w:p w14:paraId="1A9D379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(4.5 - 5.9)</w:t>
            </w:r>
          </w:p>
        </w:tc>
        <w:tc>
          <w:tcPr>
            <w:tcW w:w="720" w:type="dxa"/>
            <w:tcBorders>
              <w:top w:val="nil"/>
              <w:left w:val="nil"/>
              <w:bottom w:val="nil"/>
              <w:right w:val="nil"/>
            </w:tcBorders>
            <w:shd w:val="clear" w:color="auto" w:fill="DAEEF3" w:themeFill="accent5" w:themeFillTint="33"/>
            <w:vAlign w:val="center"/>
          </w:tcPr>
          <w:p w14:paraId="1C6B54E9"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278</w:t>
            </w:r>
          </w:p>
        </w:tc>
        <w:tc>
          <w:tcPr>
            <w:tcW w:w="1080" w:type="dxa"/>
            <w:tcBorders>
              <w:top w:val="nil"/>
              <w:left w:val="nil"/>
              <w:bottom w:val="nil"/>
              <w:right w:val="single" w:sz="4" w:space="0" w:color="auto"/>
            </w:tcBorders>
            <w:shd w:val="clear" w:color="auto" w:fill="DAEEF3" w:themeFill="accent5" w:themeFillTint="33"/>
            <w:vAlign w:val="center"/>
          </w:tcPr>
          <w:p w14:paraId="5CA51E1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p>
          <w:p w14:paraId="457F97E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 – 3.6)</w:t>
            </w:r>
          </w:p>
        </w:tc>
        <w:tc>
          <w:tcPr>
            <w:tcW w:w="1222" w:type="dxa"/>
            <w:tcBorders>
              <w:top w:val="nil"/>
              <w:left w:val="nil"/>
              <w:bottom w:val="nil"/>
              <w:right w:val="single" w:sz="4" w:space="0" w:color="auto"/>
            </w:tcBorders>
            <w:shd w:val="clear" w:color="auto" w:fill="DAEEF3" w:themeFill="accent5" w:themeFillTint="33"/>
            <w:vAlign w:val="center"/>
          </w:tcPr>
          <w:p w14:paraId="4AF3E41E" w14:textId="77777777" w:rsidR="00BA4C78" w:rsidRPr="00AF3A24" w:rsidRDefault="00BA4C78" w:rsidP="00A310A6">
            <w:pPr>
              <w:spacing w:before="0" w:line="240" w:lineRule="auto"/>
              <w:jc w:val="center"/>
              <w:rPr>
                <w:rFonts w:asciiTheme="minorHAnsi" w:hAnsiTheme="minorHAnsi"/>
                <w:b/>
                <w:bCs/>
                <w:color w:val="000000"/>
                <w:sz w:val="16"/>
                <w:szCs w:val="16"/>
              </w:rPr>
            </w:pPr>
            <w:r w:rsidRPr="00AF3A24">
              <w:rPr>
                <w:rFonts w:asciiTheme="minorHAnsi" w:hAnsiTheme="minorHAnsi"/>
                <w:bCs/>
                <w:color w:val="000000"/>
                <w:sz w:val="16"/>
                <w:szCs w:val="16"/>
              </w:rPr>
              <w:t>&lt;0.0001</w:t>
            </w:r>
          </w:p>
        </w:tc>
      </w:tr>
      <w:tr w:rsidR="00BA4C78" w:rsidRPr="00AF3A24" w14:paraId="2CA8942A" w14:textId="77777777" w:rsidTr="00A310A6">
        <w:trPr>
          <w:jc w:val="center"/>
        </w:trPr>
        <w:tc>
          <w:tcPr>
            <w:tcW w:w="3760" w:type="dxa"/>
            <w:tcBorders>
              <w:top w:val="nil"/>
              <w:bottom w:val="nil"/>
            </w:tcBorders>
            <w:shd w:val="clear" w:color="auto" w:fill="DAEEF3" w:themeFill="accent5" w:themeFillTint="33"/>
            <w:vAlign w:val="center"/>
          </w:tcPr>
          <w:p w14:paraId="09523516"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tables</w:t>
            </w:r>
          </w:p>
        </w:tc>
        <w:tc>
          <w:tcPr>
            <w:tcW w:w="1800" w:type="dxa"/>
            <w:gridSpan w:val="2"/>
            <w:tcBorders>
              <w:top w:val="nil"/>
              <w:bottom w:val="nil"/>
              <w:right w:val="single" w:sz="4" w:space="0" w:color="auto"/>
            </w:tcBorders>
            <w:shd w:val="clear" w:color="auto" w:fill="DAEEF3" w:themeFill="accent5" w:themeFillTint="33"/>
            <w:vAlign w:val="center"/>
          </w:tcPr>
          <w:p w14:paraId="31CB32C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5B6704E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230</w:t>
            </w:r>
          </w:p>
        </w:tc>
        <w:tc>
          <w:tcPr>
            <w:tcW w:w="1080" w:type="dxa"/>
            <w:tcBorders>
              <w:top w:val="nil"/>
              <w:left w:val="nil"/>
              <w:bottom w:val="nil"/>
              <w:right w:val="single" w:sz="4" w:space="0" w:color="auto"/>
            </w:tcBorders>
            <w:shd w:val="clear" w:color="auto" w:fill="DAEEF3" w:themeFill="accent5" w:themeFillTint="33"/>
            <w:vAlign w:val="center"/>
          </w:tcPr>
          <w:p w14:paraId="1A35111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p>
          <w:p w14:paraId="00DDE8D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(2.0 - 3.0)</w:t>
            </w:r>
          </w:p>
        </w:tc>
        <w:tc>
          <w:tcPr>
            <w:tcW w:w="720" w:type="dxa"/>
            <w:tcBorders>
              <w:top w:val="nil"/>
              <w:left w:val="nil"/>
              <w:bottom w:val="nil"/>
              <w:right w:val="nil"/>
            </w:tcBorders>
            <w:shd w:val="clear" w:color="auto" w:fill="DAEEF3" w:themeFill="accent5" w:themeFillTint="33"/>
            <w:vAlign w:val="center"/>
          </w:tcPr>
          <w:p w14:paraId="5C3A4424"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178</w:t>
            </w:r>
          </w:p>
        </w:tc>
        <w:tc>
          <w:tcPr>
            <w:tcW w:w="1080" w:type="dxa"/>
            <w:tcBorders>
              <w:top w:val="nil"/>
              <w:left w:val="nil"/>
              <w:bottom w:val="nil"/>
              <w:right w:val="single" w:sz="4" w:space="0" w:color="auto"/>
            </w:tcBorders>
            <w:shd w:val="clear" w:color="auto" w:fill="DAEEF3" w:themeFill="accent5" w:themeFillTint="33"/>
            <w:vAlign w:val="center"/>
          </w:tcPr>
          <w:p w14:paraId="4254F03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p>
          <w:p w14:paraId="4F908329"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(1.9 - 3.0)</w:t>
            </w:r>
          </w:p>
        </w:tc>
        <w:tc>
          <w:tcPr>
            <w:tcW w:w="1222" w:type="dxa"/>
            <w:tcBorders>
              <w:top w:val="nil"/>
              <w:left w:val="nil"/>
              <w:bottom w:val="nil"/>
              <w:right w:val="single" w:sz="4" w:space="0" w:color="auto"/>
            </w:tcBorders>
            <w:shd w:val="clear" w:color="auto" w:fill="DAEEF3" w:themeFill="accent5" w:themeFillTint="33"/>
            <w:vAlign w:val="center"/>
          </w:tcPr>
          <w:p w14:paraId="7604AE8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0.58</w:t>
            </w:r>
          </w:p>
        </w:tc>
      </w:tr>
      <w:tr w:rsidR="00BA4C78" w:rsidRPr="00AF3A24" w14:paraId="3D2330F5" w14:textId="77777777" w:rsidTr="00A310A6">
        <w:trPr>
          <w:jc w:val="center"/>
        </w:trPr>
        <w:tc>
          <w:tcPr>
            <w:tcW w:w="3760" w:type="dxa"/>
            <w:tcBorders>
              <w:top w:val="nil"/>
              <w:bottom w:val="nil"/>
            </w:tcBorders>
            <w:shd w:val="clear" w:color="auto" w:fill="DAEEF3" w:themeFill="accent5" w:themeFillTint="33"/>
            <w:vAlign w:val="center"/>
          </w:tcPr>
          <w:p w14:paraId="5A48D35E" w14:textId="77777777" w:rsidR="00BA4C78" w:rsidRPr="00AF3A24" w:rsidRDefault="00BA4C78" w:rsidP="00A310A6">
            <w:pPr>
              <w:spacing w:before="0" w:line="240" w:lineRule="auto"/>
              <w:ind w:left="78"/>
              <w:jc w:val="left"/>
              <w:rPr>
                <w:rFonts w:asciiTheme="minorHAnsi" w:hAnsiTheme="minorHAnsi" w:cstheme="minorHAnsi"/>
                <w:sz w:val="16"/>
                <w:szCs w:val="16"/>
                <w:highlight w:val="green"/>
              </w:rPr>
            </w:pPr>
            <w:r w:rsidRPr="00AF3A24">
              <w:rPr>
                <w:rFonts w:asciiTheme="minorHAnsi" w:hAnsiTheme="minorHAnsi" w:cstheme="minorHAnsi"/>
                <w:sz w:val="16"/>
                <w:szCs w:val="16"/>
              </w:rPr>
              <w:t>Other form of gambling (including Internet-based gambling)</w:t>
            </w:r>
          </w:p>
        </w:tc>
        <w:tc>
          <w:tcPr>
            <w:tcW w:w="720" w:type="dxa"/>
            <w:tcBorders>
              <w:top w:val="nil"/>
              <w:bottom w:val="nil"/>
              <w:right w:val="nil"/>
            </w:tcBorders>
            <w:shd w:val="clear" w:color="auto" w:fill="DAEEF3" w:themeFill="accent5" w:themeFillTint="33"/>
            <w:vAlign w:val="center"/>
          </w:tcPr>
          <w:p w14:paraId="36E19B4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p>
        </w:tc>
        <w:tc>
          <w:tcPr>
            <w:tcW w:w="1080" w:type="dxa"/>
            <w:tcBorders>
              <w:top w:val="nil"/>
              <w:left w:val="nil"/>
              <w:bottom w:val="nil"/>
              <w:right w:val="single" w:sz="4" w:space="0" w:color="auto"/>
            </w:tcBorders>
            <w:shd w:val="clear" w:color="auto" w:fill="DAEEF3" w:themeFill="accent5" w:themeFillTint="33"/>
            <w:vAlign w:val="center"/>
          </w:tcPr>
          <w:p w14:paraId="080E1237"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w:t>
            </w:r>
          </w:p>
          <w:p w14:paraId="1EDD764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(1.0 - 1.9)</w:t>
            </w:r>
          </w:p>
        </w:tc>
        <w:tc>
          <w:tcPr>
            <w:tcW w:w="720" w:type="dxa"/>
            <w:tcBorders>
              <w:top w:val="nil"/>
              <w:left w:val="nil"/>
              <w:bottom w:val="nil"/>
              <w:right w:val="nil"/>
            </w:tcBorders>
            <w:shd w:val="clear" w:color="auto" w:fill="DAEEF3" w:themeFill="accent5" w:themeFillTint="33"/>
            <w:vAlign w:val="center"/>
          </w:tcPr>
          <w:p w14:paraId="310FB21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w:t>
            </w:r>
          </w:p>
        </w:tc>
        <w:tc>
          <w:tcPr>
            <w:tcW w:w="1080" w:type="dxa"/>
            <w:tcBorders>
              <w:top w:val="nil"/>
              <w:left w:val="nil"/>
              <w:bottom w:val="nil"/>
              <w:right w:val="single" w:sz="4" w:space="0" w:color="auto"/>
            </w:tcBorders>
            <w:shd w:val="clear" w:color="auto" w:fill="DAEEF3" w:themeFill="accent5" w:themeFillTint="33"/>
            <w:vAlign w:val="center"/>
          </w:tcPr>
          <w:p w14:paraId="4230524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w:t>
            </w:r>
          </w:p>
          <w:p w14:paraId="52D16EE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(0.4 - 0.9)</w:t>
            </w:r>
          </w:p>
        </w:tc>
        <w:tc>
          <w:tcPr>
            <w:tcW w:w="720" w:type="dxa"/>
            <w:tcBorders>
              <w:top w:val="nil"/>
              <w:left w:val="nil"/>
              <w:bottom w:val="nil"/>
              <w:right w:val="nil"/>
            </w:tcBorders>
            <w:shd w:val="clear" w:color="auto" w:fill="DAEEF3" w:themeFill="accent5" w:themeFillTint="33"/>
            <w:vAlign w:val="center"/>
          </w:tcPr>
          <w:p w14:paraId="47981FC2"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161</w:t>
            </w:r>
          </w:p>
        </w:tc>
        <w:tc>
          <w:tcPr>
            <w:tcW w:w="1080" w:type="dxa"/>
            <w:tcBorders>
              <w:top w:val="nil"/>
              <w:left w:val="nil"/>
              <w:bottom w:val="nil"/>
              <w:right w:val="single" w:sz="4" w:space="0" w:color="auto"/>
            </w:tcBorders>
            <w:shd w:val="clear" w:color="auto" w:fill="DAEEF3" w:themeFill="accent5" w:themeFillTint="33"/>
            <w:vAlign w:val="center"/>
          </w:tcPr>
          <w:p w14:paraId="320723C7"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p>
          <w:p w14:paraId="56F45C0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(1.3 - 2.2)</w:t>
            </w:r>
          </w:p>
        </w:tc>
        <w:tc>
          <w:tcPr>
            <w:tcW w:w="1222" w:type="dxa"/>
            <w:tcBorders>
              <w:top w:val="nil"/>
              <w:left w:val="nil"/>
              <w:bottom w:val="nil"/>
              <w:right w:val="single" w:sz="4" w:space="0" w:color="auto"/>
            </w:tcBorders>
            <w:shd w:val="clear" w:color="auto" w:fill="DAEEF3" w:themeFill="accent5" w:themeFillTint="33"/>
            <w:vAlign w:val="center"/>
          </w:tcPr>
          <w:p w14:paraId="777ACD4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5BAA7949" w14:textId="77777777" w:rsidTr="00A310A6">
        <w:trPr>
          <w:jc w:val="center"/>
        </w:trPr>
        <w:tc>
          <w:tcPr>
            <w:tcW w:w="3760" w:type="dxa"/>
            <w:tcBorders>
              <w:top w:val="nil"/>
              <w:bottom w:val="nil"/>
            </w:tcBorders>
            <w:shd w:val="clear" w:color="auto" w:fill="DAEEF3" w:themeFill="accent5" w:themeFillTint="33"/>
            <w:vAlign w:val="center"/>
          </w:tcPr>
          <w:p w14:paraId="0A19F828"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Keno (not in a casino)</w:t>
            </w:r>
          </w:p>
        </w:tc>
        <w:tc>
          <w:tcPr>
            <w:tcW w:w="720" w:type="dxa"/>
            <w:tcBorders>
              <w:top w:val="nil"/>
              <w:bottom w:val="nil"/>
              <w:right w:val="nil"/>
            </w:tcBorders>
            <w:shd w:val="clear" w:color="auto" w:fill="DAEEF3" w:themeFill="accent5" w:themeFillTint="33"/>
            <w:vAlign w:val="center"/>
          </w:tcPr>
          <w:p w14:paraId="2151BF2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493</w:t>
            </w:r>
          </w:p>
        </w:tc>
        <w:tc>
          <w:tcPr>
            <w:tcW w:w="1080" w:type="dxa"/>
            <w:tcBorders>
              <w:top w:val="nil"/>
              <w:left w:val="nil"/>
              <w:bottom w:val="nil"/>
              <w:right w:val="single" w:sz="4" w:space="0" w:color="auto"/>
            </w:tcBorders>
            <w:shd w:val="clear" w:color="auto" w:fill="DAEEF3" w:themeFill="accent5" w:themeFillTint="33"/>
            <w:vAlign w:val="center"/>
          </w:tcPr>
          <w:p w14:paraId="581EB326"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p>
          <w:p w14:paraId="2CCBA84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(1.5 - 2.3)</w:t>
            </w:r>
          </w:p>
        </w:tc>
        <w:tc>
          <w:tcPr>
            <w:tcW w:w="720" w:type="dxa"/>
            <w:tcBorders>
              <w:top w:val="nil"/>
              <w:left w:val="nil"/>
              <w:bottom w:val="nil"/>
              <w:right w:val="nil"/>
            </w:tcBorders>
            <w:shd w:val="clear" w:color="auto" w:fill="DAEEF3" w:themeFill="accent5" w:themeFillTint="33"/>
            <w:vAlign w:val="center"/>
          </w:tcPr>
          <w:p w14:paraId="1C04503E"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279</w:t>
            </w:r>
          </w:p>
        </w:tc>
        <w:tc>
          <w:tcPr>
            <w:tcW w:w="1080" w:type="dxa"/>
            <w:tcBorders>
              <w:top w:val="nil"/>
              <w:left w:val="nil"/>
              <w:bottom w:val="nil"/>
              <w:right w:val="single" w:sz="4" w:space="0" w:color="auto"/>
            </w:tcBorders>
            <w:shd w:val="clear" w:color="auto" w:fill="DAEEF3" w:themeFill="accent5" w:themeFillTint="33"/>
            <w:vAlign w:val="center"/>
          </w:tcPr>
          <w:p w14:paraId="6C870BD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w:t>
            </w:r>
          </w:p>
          <w:p w14:paraId="13DD8B6D"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(1.2 - 1.8)</w:t>
            </w:r>
          </w:p>
        </w:tc>
        <w:tc>
          <w:tcPr>
            <w:tcW w:w="720" w:type="dxa"/>
            <w:tcBorders>
              <w:top w:val="nil"/>
              <w:left w:val="nil"/>
              <w:bottom w:val="nil"/>
              <w:right w:val="nil"/>
            </w:tcBorders>
            <w:shd w:val="clear" w:color="auto" w:fill="DAEEF3" w:themeFill="accent5" w:themeFillTint="33"/>
            <w:vAlign w:val="center"/>
          </w:tcPr>
          <w:p w14:paraId="353A8C1F"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149</w:t>
            </w:r>
          </w:p>
        </w:tc>
        <w:tc>
          <w:tcPr>
            <w:tcW w:w="1080" w:type="dxa"/>
            <w:tcBorders>
              <w:top w:val="nil"/>
              <w:left w:val="nil"/>
              <w:bottom w:val="nil"/>
              <w:right w:val="single" w:sz="4" w:space="0" w:color="auto"/>
            </w:tcBorders>
            <w:shd w:val="clear" w:color="auto" w:fill="DAEEF3" w:themeFill="accent5" w:themeFillTint="33"/>
            <w:vAlign w:val="center"/>
          </w:tcPr>
          <w:p w14:paraId="221E4B9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p>
          <w:p w14:paraId="7F46C0E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(0.6 - 1.3)</w:t>
            </w:r>
          </w:p>
        </w:tc>
        <w:tc>
          <w:tcPr>
            <w:tcW w:w="1222" w:type="dxa"/>
            <w:tcBorders>
              <w:top w:val="nil"/>
              <w:left w:val="nil"/>
              <w:bottom w:val="nil"/>
              <w:right w:val="single" w:sz="4" w:space="0" w:color="auto"/>
            </w:tcBorders>
            <w:shd w:val="clear" w:color="auto" w:fill="DAEEF3" w:themeFill="accent5" w:themeFillTint="33"/>
            <w:vAlign w:val="center"/>
          </w:tcPr>
          <w:p w14:paraId="5862A6EB"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BA4C78" w:rsidRPr="00AF3A24" w14:paraId="1935FE55" w14:textId="77777777" w:rsidTr="00A310A6">
        <w:trPr>
          <w:jc w:val="center"/>
        </w:trPr>
        <w:tc>
          <w:tcPr>
            <w:tcW w:w="3760" w:type="dxa"/>
            <w:tcBorders>
              <w:top w:val="nil"/>
              <w:bottom w:val="single" w:sz="4" w:space="0" w:color="auto"/>
            </w:tcBorders>
            <w:shd w:val="clear" w:color="auto" w:fill="DAEEF3" w:themeFill="accent5" w:themeFillTint="33"/>
            <w:vAlign w:val="center"/>
          </w:tcPr>
          <w:p w14:paraId="35FBBF49" w14:textId="77777777" w:rsidR="00BA4C78" w:rsidRPr="00AF3A24" w:rsidRDefault="00BA4C78" w:rsidP="00A310A6">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Housie</w:t>
            </w:r>
          </w:p>
        </w:tc>
        <w:tc>
          <w:tcPr>
            <w:tcW w:w="720" w:type="dxa"/>
            <w:tcBorders>
              <w:top w:val="nil"/>
              <w:bottom w:val="single" w:sz="4" w:space="0" w:color="auto"/>
              <w:right w:val="nil"/>
            </w:tcBorders>
            <w:shd w:val="clear" w:color="auto" w:fill="DAEEF3" w:themeFill="accent5" w:themeFillTint="33"/>
            <w:vAlign w:val="center"/>
          </w:tcPr>
          <w:p w14:paraId="15E61E3A"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526</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38224E38"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p>
          <w:p w14:paraId="171F8832"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(1.3 - 2.1)</w:t>
            </w:r>
          </w:p>
        </w:tc>
        <w:tc>
          <w:tcPr>
            <w:tcW w:w="720" w:type="dxa"/>
            <w:tcBorders>
              <w:top w:val="nil"/>
              <w:left w:val="nil"/>
              <w:bottom w:val="single" w:sz="4" w:space="0" w:color="auto"/>
              <w:right w:val="nil"/>
            </w:tcBorders>
            <w:shd w:val="clear" w:color="auto" w:fill="DAEEF3" w:themeFill="accent5" w:themeFillTint="33"/>
            <w:vAlign w:val="center"/>
          </w:tcPr>
          <w:p w14:paraId="2FB8B57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274</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5C156A45"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w:t>
            </w:r>
          </w:p>
          <w:p w14:paraId="3C9AB813"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(1.1 - 1.9)</w:t>
            </w:r>
          </w:p>
        </w:tc>
        <w:tc>
          <w:tcPr>
            <w:tcW w:w="720" w:type="dxa"/>
            <w:tcBorders>
              <w:top w:val="nil"/>
              <w:left w:val="nil"/>
              <w:bottom w:val="single" w:sz="4" w:space="0" w:color="auto"/>
              <w:right w:val="nil"/>
            </w:tcBorders>
            <w:shd w:val="clear" w:color="auto" w:fill="DAEEF3" w:themeFill="accent5" w:themeFillTint="33"/>
            <w:vAlign w:val="center"/>
          </w:tcPr>
          <w:p w14:paraId="16949708" w14:textId="77777777" w:rsidR="00BA4C78" w:rsidRPr="00AF3A24" w:rsidRDefault="00BA4C78" w:rsidP="00A310A6">
            <w:pPr>
              <w:spacing w:before="0" w:line="240" w:lineRule="auto"/>
              <w:jc w:val="right"/>
              <w:rPr>
                <w:rFonts w:asciiTheme="minorHAnsi" w:hAnsiTheme="minorHAnsi"/>
                <w:bCs/>
                <w:color w:val="000000"/>
                <w:sz w:val="16"/>
                <w:szCs w:val="16"/>
              </w:rPr>
            </w:pPr>
            <w:r w:rsidRPr="00AF3A24">
              <w:rPr>
                <w:rFonts w:asciiTheme="minorHAnsi" w:hAnsiTheme="minorHAnsi"/>
                <w:bCs/>
                <w:color w:val="000000"/>
                <w:sz w:val="16"/>
                <w:szCs w:val="16"/>
              </w:rPr>
              <w:t>158</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5D72D77C"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w:t>
            </w:r>
          </w:p>
          <w:p w14:paraId="19C19820"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(0.5 - 0.9)</w:t>
            </w:r>
          </w:p>
        </w:tc>
        <w:tc>
          <w:tcPr>
            <w:tcW w:w="1222" w:type="dxa"/>
            <w:tcBorders>
              <w:top w:val="nil"/>
              <w:left w:val="nil"/>
              <w:bottom w:val="single" w:sz="4" w:space="0" w:color="auto"/>
              <w:right w:val="single" w:sz="4" w:space="0" w:color="auto"/>
            </w:tcBorders>
            <w:shd w:val="clear" w:color="auto" w:fill="DAEEF3" w:themeFill="accent5" w:themeFillTint="33"/>
            <w:vAlign w:val="center"/>
          </w:tcPr>
          <w:p w14:paraId="32F5C291" w14:textId="77777777" w:rsidR="00BA4C78" w:rsidRPr="00AF3A24" w:rsidRDefault="00BA4C78"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bl>
    <w:p w14:paraId="476ACB8F" w14:textId="77777777" w:rsidR="00BA4C78" w:rsidRPr="00AF3A24" w:rsidRDefault="00BA4C78" w:rsidP="00BA4C78">
      <w:pPr>
        <w:spacing w:before="0" w:line="240" w:lineRule="auto"/>
        <w:rPr>
          <w:rFonts w:asciiTheme="minorHAnsi" w:hAnsiTheme="minorHAnsi" w:cstheme="minorHAnsi"/>
          <w:sz w:val="16"/>
          <w:szCs w:val="16"/>
        </w:rPr>
      </w:pPr>
      <w:r w:rsidRPr="00AF3A24">
        <w:rPr>
          <w:rFonts w:asciiTheme="minorHAnsi" w:hAnsiTheme="minorHAnsi" w:cstheme="minorHAnsi"/>
          <w:sz w:val="16"/>
          <w:szCs w:val="16"/>
        </w:rPr>
        <w:t>Notes:</w:t>
      </w:r>
    </w:p>
    <w:p w14:paraId="67100E21" w14:textId="28CFE7E0" w:rsidR="00BA4C78" w:rsidRPr="00AF3A24" w:rsidRDefault="00BA4C78" w:rsidP="006A0B0E">
      <w:pPr>
        <w:pStyle w:val="ListParagraph"/>
        <w:numPr>
          <w:ilvl w:val="0"/>
          <w:numId w:val="30"/>
        </w:numPr>
        <w:spacing w:line="240" w:lineRule="auto"/>
        <w:ind w:left="284" w:hanging="284"/>
        <w:rPr>
          <w:rFonts w:asciiTheme="minorHAnsi" w:hAnsiTheme="minorHAnsi" w:cstheme="minorHAnsi"/>
          <w:sz w:val="16"/>
          <w:szCs w:val="16"/>
        </w:rPr>
      </w:pPr>
      <w:r w:rsidRPr="00AF3A24">
        <w:rPr>
          <w:rFonts w:asciiTheme="minorHAnsi" w:hAnsiTheme="minorHAnsi" w:cstheme="minorHAnsi"/>
          <w:sz w:val="16"/>
          <w:szCs w:val="16"/>
        </w:rPr>
        <w:t>Sources: 2002/03, 2006/07 and 2011/12 New Zealand Health Surveys.</w:t>
      </w:r>
      <w:r>
        <w:rPr>
          <w:rFonts w:asciiTheme="minorHAnsi" w:hAnsiTheme="minorHAnsi" w:cstheme="minorHAnsi"/>
          <w:sz w:val="16"/>
          <w:szCs w:val="16"/>
        </w:rPr>
        <w:t xml:space="preserve"> </w:t>
      </w:r>
      <w:r w:rsidRPr="00AF3A24">
        <w:rPr>
          <w:rFonts w:asciiTheme="minorHAnsi" w:hAnsiTheme="minorHAnsi" w:cstheme="minorHAnsi"/>
          <w:sz w:val="16"/>
          <w:szCs w:val="16"/>
        </w:rPr>
        <w:t xml:space="preserve"> </w:t>
      </w:r>
      <w:r>
        <w:rPr>
          <w:rFonts w:asciiTheme="minorHAnsi" w:hAnsiTheme="minorHAnsi" w:cstheme="minorHAnsi"/>
          <w:sz w:val="16"/>
          <w:szCs w:val="16"/>
        </w:rPr>
        <w:t>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Pr>
          <w:rFonts w:asciiTheme="minorHAnsi" w:hAnsiTheme="minorHAnsi" w:cstheme="minorHAnsi"/>
          <w:sz w:val="16"/>
          <w:szCs w:val="16"/>
        </w:rPr>
        <w:t xml:space="preserve">.  </w:t>
      </w:r>
      <w:r w:rsidR="0018360B">
        <w:rPr>
          <w:rFonts w:asciiTheme="minorHAnsi" w:hAnsiTheme="minorHAnsi" w:cstheme="minorHAnsi"/>
          <w:sz w:val="16"/>
          <w:szCs w:val="16"/>
        </w:rPr>
        <w:t xml:space="preserve">As such, the 2011/12 past-year gambling rate presented in this table differs slightly to </w:t>
      </w:r>
      <w:r w:rsidR="00396FDB">
        <w:rPr>
          <w:rFonts w:asciiTheme="minorHAnsi" w:hAnsiTheme="minorHAnsi" w:cstheme="minorHAnsi"/>
          <w:sz w:val="16"/>
          <w:szCs w:val="16"/>
        </w:rPr>
        <w:t>the rate</w:t>
      </w:r>
      <w:r w:rsidR="0018360B">
        <w:rPr>
          <w:rFonts w:asciiTheme="minorHAnsi" w:hAnsiTheme="minorHAnsi" w:cstheme="minorHAnsi"/>
          <w:sz w:val="16"/>
          <w:szCs w:val="16"/>
        </w:rPr>
        <w:t xml:space="preserve"> presented in earlier results. </w:t>
      </w:r>
    </w:p>
    <w:p w14:paraId="6DFAF861" w14:textId="77777777" w:rsidR="00BA4C78" w:rsidRPr="00AF3A24" w:rsidRDefault="00BA4C78" w:rsidP="006A0B0E">
      <w:pPr>
        <w:pStyle w:val="ListParagraph"/>
        <w:numPr>
          <w:ilvl w:val="0"/>
          <w:numId w:val="30"/>
        </w:numPr>
        <w:spacing w:line="240" w:lineRule="auto"/>
        <w:ind w:left="284" w:hanging="284"/>
        <w:rPr>
          <w:rFonts w:asciiTheme="minorHAnsi" w:hAnsiTheme="minorHAnsi" w:cstheme="minorHAnsi"/>
          <w:sz w:val="16"/>
        </w:rPr>
      </w:pPr>
      <w:r w:rsidRPr="00AF3A24">
        <w:rPr>
          <w:rFonts w:asciiTheme="minorHAnsi" w:hAnsiTheme="minorHAnsi" w:cstheme="minorHAnsi"/>
          <w:sz w:val="16"/>
        </w:rPr>
        <w:t>Participants could choose more than one activity / response option.</w:t>
      </w:r>
    </w:p>
    <w:p w14:paraId="50178CC2" w14:textId="77777777" w:rsidR="00BA4C78" w:rsidRPr="00AF3A24" w:rsidRDefault="00BA4C78" w:rsidP="006A0B0E">
      <w:pPr>
        <w:pStyle w:val="ListParagraph"/>
        <w:numPr>
          <w:ilvl w:val="0"/>
          <w:numId w:val="30"/>
        </w:numPr>
        <w:spacing w:after="200" w:line="240" w:lineRule="auto"/>
        <w:ind w:left="284" w:hanging="284"/>
        <w:jc w:val="left"/>
        <w:rPr>
          <w:rFonts w:asciiTheme="minorHAnsi" w:hAnsiTheme="minorHAnsi" w:cstheme="minorHAnsi"/>
          <w:sz w:val="16"/>
        </w:rPr>
      </w:pPr>
      <w:r w:rsidRPr="00AF3A24">
        <w:rPr>
          <w:rFonts w:asciiTheme="minorHAnsi" w:hAnsiTheme="minorHAnsi" w:cstheme="minorHAnsi"/>
          <w:sz w:val="16"/>
        </w:rPr>
        <w:t>Logistic regression analyses have controlled for gender, age, ethnicity, neighbourhood deprivation, and geography (urban/rural).</w:t>
      </w:r>
    </w:p>
    <w:bookmarkEnd w:id="268"/>
    <w:bookmarkEnd w:id="269"/>
    <w:p w14:paraId="327FE17E" w14:textId="77777777" w:rsidR="00043311" w:rsidRDefault="00043311" w:rsidP="00BA4C78">
      <w:pPr>
        <w:spacing w:before="0" w:after="200" w:line="276" w:lineRule="auto"/>
        <w:jc w:val="left"/>
        <w:rPr>
          <w:rFonts w:asciiTheme="minorHAnsi" w:hAnsiTheme="minorHAnsi" w:cstheme="minorHAnsi"/>
          <w:b/>
          <w:u w:val="single"/>
        </w:rPr>
      </w:pPr>
    </w:p>
    <w:p w14:paraId="6EFA71A4" w14:textId="77777777" w:rsidR="00AB5CC7" w:rsidRDefault="00AB5CC7">
      <w:pPr>
        <w:spacing w:before="0" w:after="200" w:line="276" w:lineRule="auto"/>
        <w:jc w:val="left"/>
        <w:rPr>
          <w:rFonts w:asciiTheme="minorHAnsi" w:hAnsiTheme="minorHAnsi" w:cstheme="minorHAnsi"/>
          <w:b/>
          <w:bCs/>
          <w:iCs/>
          <w:color w:val="1F497D"/>
        </w:rPr>
        <w:sectPr w:rsidR="00AB5CC7" w:rsidSect="003A39BC">
          <w:pgSz w:w="12240" w:h="15840"/>
          <w:pgMar w:top="1440" w:right="993" w:bottom="1381" w:left="1276" w:header="720" w:footer="339" w:gutter="0"/>
          <w:cols w:space="720"/>
          <w:docGrid w:linePitch="360"/>
        </w:sectPr>
      </w:pPr>
    </w:p>
    <w:p w14:paraId="18E69CBD" w14:textId="77777777" w:rsidR="00AB5CC7" w:rsidRPr="00FB0B7B" w:rsidRDefault="00AB5CC7" w:rsidP="008F7A58">
      <w:pPr>
        <w:pStyle w:val="FionasAppendixtitles"/>
        <w:ind w:left="1134"/>
      </w:pPr>
      <w:bookmarkStart w:id="281" w:name="_Ref399752263"/>
      <w:bookmarkStart w:id="282" w:name="_Toc403833214"/>
      <w:r w:rsidRPr="00FB0B7B">
        <w:lastRenderedPageBreak/>
        <w:t>Number of gambling activities in last 12 months</w:t>
      </w:r>
      <w:bookmarkEnd w:id="281"/>
      <w:bookmarkEnd w:id="282"/>
    </w:p>
    <w:p w14:paraId="6217B163" w14:textId="77777777" w:rsidR="00AB5CC7" w:rsidRPr="00AF3A24" w:rsidRDefault="00AB5CC7" w:rsidP="004A6BBC">
      <w:pPr>
        <w:pStyle w:val="Caption"/>
        <w:keepNext/>
        <w:spacing w:line="276" w:lineRule="auto"/>
        <w:ind w:left="142" w:hanging="993"/>
        <w:rPr>
          <w:rFonts w:asciiTheme="minorHAnsi" w:hAnsiTheme="minorHAnsi" w:cstheme="minorHAnsi"/>
          <w:i/>
          <w:vertAlign w:val="superscript"/>
        </w:rPr>
      </w:pPr>
      <w:bookmarkStart w:id="283" w:name="_Ref403386571"/>
      <w:bookmarkStart w:id="284" w:name="_Toc425426888"/>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21</w:t>
      </w:r>
      <w:r w:rsidRPr="00AF3A24">
        <w:rPr>
          <w:rFonts w:asciiTheme="minorHAnsi" w:hAnsiTheme="minorHAnsi"/>
          <w:i/>
        </w:rPr>
        <w:fldChar w:fldCharType="end"/>
      </w:r>
      <w:bookmarkEnd w:id="283"/>
      <w:r w:rsidRPr="00AF3A24">
        <w:rPr>
          <w:rFonts w:asciiTheme="minorHAnsi" w:hAnsiTheme="minorHAnsi"/>
          <w:i/>
        </w:rPr>
        <w:t>:</w:t>
      </w:r>
      <w:r w:rsidRPr="00AF3A24">
        <w:rPr>
          <w:rFonts w:asciiTheme="minorHAnsi" w:hAnsiTheme="minorHAnsi" w:cstheme="minorHAnsi"/>
          <w:i/>
        </w:rPr>
        <w:tab/>
        <w:t xml:space="preserve">Number of gambling activities participated in during the last 12 months by demographics, total population aged 15 years and over (unadjusted prevalence; N=12,596) </w:t>
      </w:r>
      <w:r w:rsidRPr="00AF3A24">
        <w:rPr>
          <w:rFonts w:asciiTheme="minorHAnsi" w:hAnsiTheme="minorHAnsi" w:cstheme="minorHAnsi"/>
          <w:i/>
          <w:vertAlign w:val="superscript"/>
        </w:rPr>
        <w:t>1</w:t>
      </w:r>
      <w:bookmarkEnd w:id="284"/>
    </w:p>
    <w:tbl>
      <w:tblPr>
        <w:tblStyle w:val="TableGrid"/>
        <w:tblW w:w="11675" w:type="dxa"/>
        <w:tblInd w:w="-743" w:type="dxa"/>
        <w:tblLayout w:type="fixed"/>
        <w:tblLook w:val="04A0" w:firstRow="1" w:lastRow="0" w:firstColumn="1" w:lastColumn="0" w:noHBand="0" w:noVBand="1"/>
      </w:tblPr>
      <w:tblGrid>
        <w:gridCol w:w="1057"/>
        <w:gridCol w:w="990"/>
        <w:gridCol w:w="714"/>
        <w:gridCol w:w="1058"/>
        <w:gridCol w:w="714"/>
        <w:gridCol w:w="1058"/>
        <w:gridCol w:w="714"/>
        <w:gridCol w:w="1058"/>
        <w:gridCol w:w="708"/>
        <w:gridCol w:w="1058"/>
        <w:gridCol w:w="708"/>
        <w:gridCol w:w="1058"/>
        <w:gridCol w:w="780"/>
      </w:tblGrid>
      <w:tr w:rsidR="00AB5CC7" w:rsidRPr="00AF3A24" w14:paraId="19F06896" w14:textId="77777777" w:rsidTr="00E32510">
        <w:trPr>
          <w:trHeight w:val="300"/>
        </w:trPr>
        <w:tc>
          <w:tcPr>
            <w:tcW w:w="2047" w:type="dxa"/>
            <w:gridSpan w:val="2"/>
            <w:vMerge w:val="restart"/>
            <w:shd w:val="clear" w:color="auto" w:fill="92CDDC" w:themeFill="accent5" w:themeFillTint="99"/>
          </w:tcPr>
          <w:p w14:paraId="41FCFBAE" w14:textId="77777777" w:rsidR="00AB5CC7" w:rsidRPr="00AF3A24" w:rsidRDefault="00AB5CC7" w:rsidP="00E32510">
            <w:pPr>
              <w:spacing w:before="0" w:line="240" w:lineRule="auto"/>
              <w:jc w:val="left"/>
              <w:rPr>
                <w:rFonts w:asciiTheme="minorHAnsi" w:hAnsiTheme="minorHAnsi" w:cstheme="minorHAnsi"/>
                <w:b/>
                <w:sz w:val="18"/>
                <w:szCs w:val="18"/>
              </w:rPr>
            </w:pPr>
          </w:p>
        </w:tc>
        <w:tc>
          <w:tcPr>
            <w:tcW w:w="8848" w:type="dxa"/>
            <w:gridSpan w:val="10"/>
            <w:shd w:val="clear" w:color="auto" w:fill="92CDDC" w:themeFill="accent5" w:themeFillTint="99"/>
            <w:vAlign w:val="center"/>
          </w:tcPr>
          <w:p w14:paraId="21501E73"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NUMBER OF GAMBLING ACTIVITIES IN LAST 12 MONTHS</w:t>
            </w:r>
          </w:p>
        </w:tc>
        <w:tc>
          <w:tcPr>
            <w:tcW w:w="780" w:type="dxa"/>
            <w:vMerge w:val="restart"/>
            <w:shd w:val="clear" w:color="auto" w:fill="92CDDC" w:themeFill="accent5" w:themeFillTint="99"/>
            <w:vAlign w:val="center"/>
          </w:tcPr>
          <w:p w14:paraId="19ACEC42"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p-value</w:t>
            </w:r>
          </w:p>
        </w:tc>
      </w:tr>
      <w:tr w:rsidR="00AB5CC7" w:rsidRPr="00AF3A24" w14:paraId="6D8E9391" w14:textId="77777777" w:rsidTr="00E32510">
        <w:trPr>
          <w:trHeight w:val="386"/>
        </w:trPr>
        <w:tc>
          <w:tcPr>
            <w:tcW w:w="2047" w:type="dxa"/>
            <w:gridSpan w:val="2"/>
            <w:vMerge/>
            <w:tcBorders>
              <w:bottom w:val="single" w:sz="4" w:space="0" w:color="auto"/>
            </w:tcBorders>
            <w:shd w:val="clear" w:color="auto" w:fill="92CDDC" w:themeFill="accent5" w:themeFillTint="99"/>
          </w:tcPr>
          <w:p w14:paraId="36E8F658" w14:textId="77777777" w:rsidR="00AB5CC7" w:rsidRPr="00AF3A24" w:rsidRDefault="00AB5CC7" w:rsidP="00E32510">
            <w:pPr>
              <w:spacing w:before="0" w:line="240" w:lineRule="auto"/>
              <w:jc w:val="left"/>
              <w:rPr>
                <w:rFonts w:asciiTheme="minorHAnsi" w:hAnsiTheme="minorHAnsi" w:cstheme="minorHAnsi"/>
                <w:b/>
                <w:sz w:val="18"/>
                <w:szCs w:val="18"/>
              </w:rPr>
            </w:pPr>
          </w:p>
        </w:tc>
        <w:tc>
          <w:tcPr>
            <w:tcW w:w="1772" w:type="dxa"/>
            <w:gridSpan w:val="2"/>
            <w:tcBorders>
              <w:bottom w:val="single" w:sz="4" w:space="0" w:color="auto"/>
            </w:tcBorders>
            <w:shd w:val="clear" w:color="auto" w:fill="92CDDC" w:themeFill="accent5" w:themeFillTint="99"/>
            <w:vAlign w:val="center"/>
          </w:tcPr>
          <w:p w14:paraId="223F5C1F" w14:textId="77777777" w:rsidR="00AB5CC7" w:rsidRPr="00AF3A24" w:rsidRDefault="00AB5CC7" w:rsidP="00E32510">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None</w:t>
            </w:r>
          </w:p>
        </w:tc>
        <w:tc>
          <w:tcPr>
            <w:tcW w:w="1772" w:type="dxa"/>
            <w:gridSpan w:val="2"/>
            <w:tcBorders>
              <w:bottom w:val="single" w:sz="4" w:space="0" w:color="auto"/>
            </w:tcBorders>
            <w:shd w:val="clear" w:color="auto" w:fill="92CDDC" w:themeFill="accent5" w:themeFillTint="99"/>
            <w:vAlign w:val="center"/>
          </w:tcPr>
          <w:p w14:paraId="73BDD60B" w14:textId="77777777" w:rsidR="00AB5CC7" w:rsidRPr="00AF3A24" w:rsidRDefault="00AB5CC7" w:rsidP="00E32510">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One</w:t>
            </w:r>
          </w:p>
        </w:tc>
        <w:tc>
          <w:tcPr>
            <w:tcW w:w="1772" w:type="dxa"/>
            <w:gridSpan w:val="2"/>
            <w:tcBorders>
              <w:bottom w:val="single" w:sz="4" w:space="0" w:color="auto"/>
            </w:tcBorders>
            <w:shd w:val="clear" w:color="auto" w:fill="92CDDC" w:themeFill="accent5" w:themeFillTint="99"/>
            <w:vAlign w:val="center"/>
          </w:tcPr>
          <w:p w14:paraId="54C95A75" w14:textId="77777777" w:rsidR="00AB5CC7" w:rsidRPr="00AF3A24" w:rsidRDefault="00AB5CC7" w:rsidP="00E32510">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Two</w:t>
            </w:r>
          </w:p>
        </w:tc>
        <w:tc>
          <w:tcPr>
            <w:tcW w:w="1766" w:type="dxa"/>
            <w:gridSpan w:val="2"/>
            <w:tcBorders>
              <w:bottom w:val="single" w:sz="4" w:space="0" w:color="auto"/>
            </w:tcBorders>
            <w:shd w:val="clear" w:color="auto" w:fill="92CDDC" w:themeFill="accent5" w:themeFillTint="99"/>
            <w:vAlign w:val="center"/>
          </w:tcPr>
          <w:p w14:paraId="4BA01B16" w14:textId="77777777" w:rsidR="00AB5CC7" w:rsidRPr="00AF3A24" w:rsidRDefault="00AB5CC7" w:rsidP="00E32510">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Three</w:t>
            </w:r>
          </w:p>
        </w:tc>
        <w:tc>
          <w:tcPr>
            <w:tcW w:w="1766" w:type="dxa"/>
            <w:gridSpan w:val="2"/>
            <w:tcBorders>
              <w:bottom w:val="single" w:sz="4" w:space="0" w:color="auto"/>
            </w:tcBorders>
            <w:shd w:val="clear" w:color="auto" w:fill="92CDDC" w:themeFill="accent5" w:themeFillTint="99"/>
            <w:vAlign w:val="center"/>
          </w:tcPr>
          <w:p w14:paraId="583BFA00" w14:textId="77777777" w:rsidR="00AB5CC7" w:rsidRPr="00AF3A24" w:rsidRDefault="00AB5CC7" w:rsidP="00E32510">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 xml:space="preserve">Four </w:t>
            </w:r>
            <w:r w:rsidRPr="00AF3A24">
              <w:rPr>
                <w:rFonts w:asciiTheme="minorHAnsi" w:hAnsiTheme="minorHAnsi" w:cstheme="minorHAnsi"/>
                <w:b/>
                <w:sz w:val="18"/>
                <w:szCs w:val="18"/>
              </w:rPr>
              <w:t>or more</w:t>
            </w:r>
          </w:p>
        </w:tc>
        <w:tc>
          <w:tcPr>
            <w:tcW w:w="780" w:type="dxa"/>
            <w:vMerge/>
            <w:shd w:val="clear" w:color="auto" w:fill="92CDDC" w:themeFill="accent5" w:themeFillTint="99"/>
          </w:tcPr>
          <w:p w14:paraId="0FF2B821" w14:textId="77777777" w:rsidR="00AB5CC7" w:rsidRPr="00AF3A24" w:rsidRDefault="00AB5CC7" w:rsidP="00E32510">
            <w:pPr>
              <w:spacing w:before="0" w:line="240" w:lineRule="auto"/>
              <w:jc w:val="center"/>
              <w:rPr>
                <w:rFonts w:asciiTheme="minorHAnsi" w:hAnsiTheme="minorHAnsi" w:cstheme="minorHAnsi"/>
                <w:b/>
                <w:sz w:val="18"/>
                <w:szCs w:val="18"/>
              </w:rPr>
            </w:pPr>
          </w:p>
        </w:tc>
      </w:tr>
      <w:tr w:rsidR="00AB5CC7" w:rsidRPr="00AF3A24" w14:paraId="62C95261" w14:textId="77777777" w:rsidTr="00E32510">
        <w:trPr>
          <w:trHeight w:val="386"/>
        </w:trPr>
        <w:tc>
          <w:tcPr>
            <w:tcW w:w="2047" w:type="dxa"/>
            <w:gridSpan w:val="2"/>
            <w:vMerge/>
            <w:tcBorders>
              <w:bottom w:val="single" w:sz="4" w:space="0" w:color="auto"/>
            </w:tcBorders>
            <w:shd w:val="clear" w:color="auto" w:fill="92CDDC" w:themeFill="accent5" w:themeFillTint="99"/>
          </w:tcPr>
          <w:p w14:paraId="11C009C1" w14:textId="77777777" w:rsidR="00AB5CC7" w:rsidRPr="00AF3A24" w:rsidRDefault="00AB5CC7" w:rsidP="00E32510">
            <w:pPr>
              <w:spacing w:before="0" w:line="240" w:lineRule="auto"/>
              <w:jc w:val="left"/>
              <w:rPr>
                <w:rFonts w:asciiTheme="minorHAnsi" w:hAnsiTheme="minorHAnsi" w:cstheme="minorHAnsi"/>
                <w:b/>
                <w:sz w:val="18"/>
                <w:szCs w:val="18"/>
              </w:rPr>
            </w:pPr>
          </w:p>
        </w:tc>
        <w:tc>
          <w:tcPr>
            <w:tcW w:w="714" w:type="dxa"/>
            <w:tcBorders>
              <w:bottom w:val="single" w:sz="4" w:space="0" w:color="auto"/>
            </w:tcBorders>
            <w:shd w:val="clear" w:color="auto" w:fill="92CDDC" w:themeFill="accent5" w:themeFillTint="99"/>
            <w:vAlign w:val="center"/>
          </w:tcPr>
          <w:p w14:paraId="0F42F022"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1602F29D"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A223599"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14" w:type="dxa"/>
            <w:tcBorders>
              <w:bottom w:val="single" w:sz="4" w:space="0" w:color="auto"/>
            </w:tcBorders>
            <w:shd w:val="clear" w:color="auto" w:fill="92CDDC" w:themeFill="accent5" w:themeFillTint="99"/>
            <w:vAlign w:val="center"/>
          </w:tcPr>
          <w:p w14:paraId="5D6EE9C6"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030B3DCE"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14EB863"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14" w:type="dxa"/>
            <w:tcBorders>
              <w:bottom w:val="single" w:sz="4" w:space="0" w:color="auto"/>
            </w:tcBorders>
            <w:shd w:val="clear" w:color="auto" w:fill="92CDDC" w:themeFill="accent5" w:themeFillTint="99"/>
            <w:vAlign w:val="center"/>
          </w:tcPr>
          <w:p w14:paraId="2404A2C8"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60E5A3F4"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4CFA48D"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0CE8980E"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521E1AF7"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7FD5350"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08" w:type="dxa"/>
            <w:tcBorders>
              <w:bottom w:val="single" w:sz="4" w:space="0" w:color="auto"/>
            </w:tcBorders>
            <w:shd w:val="clear" w:color="auto" w:fill="92CDDC" w:themeFill="accent5" w:themeFillTint="99"/>
            <w:vAlign w:val="center"/>
          </w:tcPr>
          <w:p w14:paraId="7C721F3E"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58" w:type="dxa"/>
            <w:tcBorders>
              <w:bottom w:val="single" w:sz="4" w:space="0" w:color="auto"/>
            </w:tcBorders>
            <w:shd w:val="clear" w:color="auto" w:fill="92CDDC" w:themeFill="accent5" w:themeFillTint="99"/>
            <w:vAlign w:val="center"/>
          </w:tcPr>
          <w:p w14:paraId="41257F0A"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68783AA" w14:textId="77777777" w:rsidR="00AB5CC7" w:rsidRPr="00AF3A24" w:rsidRDefault="00AB5CC7"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80" w:type="dxa"/>
            <w:vMerge/>
            <w:tcBorders>
              <w:bottom w:val="single" w:sz="4" w:space="0" w:color="auto"/>
            </w:tcBorders>
            <w:shd w:val="clear" w:color="auto" w:fill="92CDDC" w:themeFill="accent5" w:themeFillTint="99"/>
          </w:tcPr>
          <w:p w14:paraId="27D2F337" w14:textId="77777777" w:rsidR="00AB5CC7" w:rsidRPr="00AF3A24" w:rsidRDefault="00AB5CC7" w:rsidP="00E32510">
            <w:pPr>
              <w:spacing w:before="0" w:line="240" w:lineRule="auto"/>
              <w:jc w:val="center"/>
              <w:rPr>
                <w:rFonts w:asciiTheme="minorHAnsi" w:hAnsiTheme="minorHAnsi" w:cstheme="minorHAnsi"/>
                <w:b/>
                <w:sz w:val="18"/>
                <w:szCs w:val="18"/>
              </w:rPr>
            </w:pPr>
          </w:p>
        </w:tc>
      </w:tr>
      <w:tr w:rsidR="00AB5CC7" w:rsidRPr="00AF3A24" w14:paraId="7DB7B8C8" w14:textId="77777777" w:rsidTr="00E32510">
        <w:tc>
          <w:tcPr>
            <w:tcW w:w="2047" w:type="dxa"/>
            <w:gridSpan w:val="2"/>
            <w:tcBorders>
              <w:top w:val="nil"/>
              <w:bottom w:val="nil"/>
            </w:tcBorders>
            <w:shd w:val="clear" w:color="auto" w:fill="DAEEF3" w:themeFill="accent5" w:themeFillTint="33"/>
            <w:vAlign w:val="center"/>
          </w:tcPr>
          <w:p w14:paraId="606A456D" w14:textId="77777777" w:rsidR="00AB5CC7" w:rsidRPr="00AF3A24" w:rsidRDefault="00AB5CC7" w:rsidP="00E32510">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14" w:type="dxa"/>
            <w:tcBorders>
              <w:top w:val="nil"/>
              <w:bottom w:val="nil"/>
              <w:right w:val="nil"/>
            </w:tcBorders>
            <w:shd w:val="clear" w:color="auto" w:fill="DAEEF3" w:themeFill="accent5" w:themeFillTint="33"/>
            <w:vAlign w:val="center"/>
          </w:tcPr>
          <w:p w14:paraId="67F65FE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6,047</w:t>
            </w:r>
          </w:p>
        </w:tc>
        <w:tc>
          <w:tcPr>
            <w:tcW w:w="1058" w:type="dxa"/>
            <w:tcBorders>
              <w:top w:val="nil"/>
              <w:left w:val="nil"/>
              <w:bottom w:val="nil"/>
              <w:right w:val="single" w:sz="4" w:space="0" w:color="auto"/>
            </w:tcBorders>
            <w:shd w:val="clear" w:color="auto" w:fill="DAEEF3" w:themeFill="accent5" w:themeFillTint="33"/>
            <w:vAlign w:val="center"/>
          </w:tcPr>
          <w:p w14:paraId="71CA240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w:t>
            </w:r>
            <w:r w:rsidRPr="00AF3A24">
              <w:rPr>
                <w:rFonts w:asciiTheme="minorHAnsi" w:hAnsiTheme="minorHAnsi"/>
                <w:bCs/>
                <w:color w:val="000000"/>
                <w:sz w:val="16"/>
                <w:szCs w:val="16"/>
              </w:rPr>
              <w:br/>
              <w:t>(46.3 - 49.1)</w:t>
            </w:r>
          </w:p>
        </w:tc>
        <w:tc>
          <w:tcPr>
            <w:tcW w:w="714" w:type="dxa"/>
            <w:tcBorders>
              <w:top w:val="nil"/>
              <w:left w:val="nil"/>
              <w:bottom w:val="nil"/>
              <w:right w:val="nil"/>
            </w:tcBorders>
            <w:shd w:val="clear" w:color="auto" w:fill="DAEEF3" w:themeFill="accent5" w:themeFillTint="33"/>
            <w:vAlign w:val="center"/>
          </w:tcPr>
          <w:p w14:paraId="72D58EE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4,137</w:t>
            </w:r>
          </w:p>
        </w:tc>
        <w:tc>
          <w:tcPr>
            <w:tcW w:w="1058" w:type="dxa"/>
            <w:tcBorders>
              <w:top w:val="nil"/>
              <w:left w:val="nil"/>
              <w:bottom w:val="nil"/>
              <w:right w:val="single" w:sz="4" w:space="0" w:color="auto"/>
            </w:tcBorders>
            <w:shd w:val="clear" w:color="auto" w:fill="DAEEF3" w:themeFill="accent5" w:themeFillTint="33"/>
            <w:vAlign w:val="center"/>
          </w:tcPr>
          <w:p w14:paraId="05D7930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32.8</w:t>
            </w:r>
            <w:r w:rsidRPr="00AF3A24">
              <w:rPr>
                <w:rFonts w:asciiTheme="minorHAnsi" w:hAnsiTheme="minorHAnsi"/>
                <w:bCs/>
                <w:color w:val="000000"/>
                <w:sz w:val="16"/>
                <w:szCs w:val="16"/>
              </w:rPr>
              <w:br/>
              <w:t>(31.6 - 34.0)</w:t>
            </w:r>
          </w:p>
        </w:tc>
        <w:tc>
          <w:tcPr>
            <w:tcW w:w="714" w:type="dxa"/>
            <w:tcBorders>
              <w:top w:val="nil"/>
              <w:left w:val="nil"/>
              <w:bottom w:val="nil"/>
              <w:right w:val="nil"/>
            </w:tcBorders>
            <w:shd w:val="clear" w:color="auto" w:fill="DAEEF3" w:themeFill="accent5" w:themeFillTint="33"/>
            <w:vAlign w:val="center"/>
          </w:tcPr>
          <w:p w14:paraId="3A30310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1,534</w:t>
            </w:r>
          </w:p>
        </w:tc>
        <w:tc>
          <w:tcPr>
            <w:tcW w:w="1058" w:type="dxa"/>
            <w:tcBorders>
              <w:top w:val="nil"/>
              <w:left w:val="nil"/>
              <w:bottom w:val="nil"/>
              <w:right w:val="single" w:sz="4" w:space="0" w:color="auto"/>
            </w:tcBorders>
            <w:shd w:val="clear" w:color="auto" w:fill="DAEEF3" w:themeFill="accent5" w:themeFillTint="33"/>
            <w:vAlign w:val="center"/>
          </w:tcPr>
          <w:p w14:paraId="65D6EB2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12.3</w:t>
            </w:r>
            <w:r w:rsidRPr="00AF3A24">
              <w:rPr>
                <w:rFonts w:asciiTheme="minorHAnsi" w:hAnsiTheme="minorHAnsi"/>
                <w:bCs/>
                <w:color w:val="000000"/>
                <w:sz w:val="16"/>
                <w:szCs w:val="16"/>
              </w:rPr>
              <w:br/>
              <w:t>(11.5 - 13.1)</w:t>
            </w:r>
          </w:p>
        </w:tc>
        <w:tc>
          <w:tcPr>
            <w:tcW w:w="708" w:type="dxa"/>
            <w:tcBorders>
              <w:top w:val="nil"/>
              <w:left w:val="nil"/>
              <w:bottom w:val="nil"/>
              <w:right w:val="nil"/>
            </w:tcBorders>
            <w:shd w:val="clear" w:color="auto" w:fill="DAEEF3" w:themeFill="accent5" w:themeFillTint="33"/>
            <w:vAlign w:val="center"/>
          </w:tcPr>
          <w:p w14:paraId="01084E2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556</w:t>
            </w:r>
          </w:p>
        </w:tc>
        <w:tc>
          <w:tcPr>
            <w:tcW w:w="1058" w:type="dxa"/>
            <w:tcBorders>
              <w:top w:val="nil"/>
              <w:left w:val="nil"/>
              <w:bottom w:val="nil"/>
              <w:right w:val="single" w:sz="4" w:space="0" w:color="auto"/>
            </w:tcBorders>
            <w:shd w:val="clear" w:color="auto" w:fill="DAEEF3" w:themeFill="accent5" w:themeFillTint="33"/>
            <w:vAlign w:val="center"/>
          </w:tcPr>
          <w:p w14:paraId="36AAE1D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r w:rsidRPr="00AF3A24">
              <w:rPr>
                <w:rFonts w:asciiTheme="minorHAnsi" w:hAnsiTheme="minorHAnsi"/>
                <w:bCs/>
                <w:color w:val="000000"/>
                <w:sz w:val="16"/>
                <w:szCs w:val="16"/>
              </w:rPr>
              <w:br/>
              <w:t>(3.9 - 4.9)</w:t>
            </w:r>
          </w:p>
        </w:tc>
        <w:tc>
          <w:tcPr>
            <w:tcW w:w="708" w:type="dxa"/>
            <w:tcBorders>
              <w:top w:val="nil"/>
              <w:left w:val="nil"/>
              <w:bottom w:val="nil"/>
              <w:right w:val="nil"/>
            </w:tcBorders>
            <w:shd w:val="clear" w:color="auto" w:fill="DAEEF3" w:themeFill="accent5" w:themeFillTint="33"/>
            <w:vAlign w:val="center"/>
          </w:tcPr>
          <w:p w14:paraId="54A7E83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322</w:t>
            </w:r>
          </w:p>
        </w:tc>
        <w:tc>
          <w:tcPr>
            <w:tcW w:w="1058" w:type="dxa"/>
            <w:tcBorders>
              <w:top w:val="nil"/>
              <w:left w:val="nil"/>
              <w:bottom w:val="nil"/>
              <w:right w:val="single" w:sz="4" w:space="0" w:color="auto"/>
            </w:tcBorders>
            <w:shd w:val="clear" w:color="auto" w:fill="DAEEF3" w:themeFill="accent5" w:themeFillTint="33"/>
            <w:vAlign w:val="center"/>
          </w:tcPr>
          <w:p w14:paraId="4884D18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w:t>
            </w:r>
            <w:r w:rsidRPr="00AF3A24">
              <w:rPr>
                <w:rFonts w:asciiTheme="minorHAnsi" w:hAnsiTheme="minorHAnsi"/>
                <w:bCs/>
                <w:color w:val="000000"/>
                <w:sz w:val="16"/>
                <w:szCs w:val="16"/>
              </w:rPr>
              <w:br/>
              <w:t>(2.4 - 3.2)</w:t>
            </w:r>
          </w:p>
        </w:tc>
        <w:tc>
          <w:tcPr>
            <w:tcW w:w="780" w:type="dxa"/>
            <w:tcBorders>
              <w:top w:val="nil"/>
              <w:left w:val="nil"/>
              <w:bottom w:val="nil"/>
              <w:right w:val="single" w:sz="4" w:space="0" w:color="auto"/>
            </w:tcBorders>
            <w:shd w:val="clear" w:color="auto" w:fill="DAEEF3" w:themeFill="accent5" w:themeFillTint="33"/>
            <w:vAlign w:val="center"/>
          </w:tcPr>
          <w:p w14:paraId="2A6848A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w:t>
            </w:r>
          </w:p>
        </w:tc>
      </w:tr>
      <w:tr w:rsidR="00AB5CC7" w:rsidRPr="00AF3A24" w14:paraId="127F39DA" w14:textId="77777777" w:rsidTr="00E32510">
        <w:tc>
          <w:tcPr>
            <w:tcW w:w="1057" w:type="dxa"/>
            <w:vMerge w:val="restart"/>
            <w:tcBorders>
              <w:top w:val="single" w:sz="4" w:space="0" w:color="auto"/>
            </w:tcBorders>
            <w:shd w:val="clear" w:color="auto" w:fill="DAEEF3" w:themeFill="accent5" w:themeFillTint="33"/>
            <w:vAlign w:val="center"/>
          </w:tcPr>
          <w:p w14:paraId="0C38BE81" w14:textId="77777777" w:rsidR="00AB5CC7" w:rsidRPr="00AF3A24" w:rsidRDefault="00AB5CC7" w:rsidP="00E32510">
            <w:pPr>
              <w:spacing w:before="0" w:line="240" w:lineRule="auto"/>
              <w:ind w:left="-41"/>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990" w:type="dxa"/>
            <w:tcBorders>
              <w:top w:val="single" w:sz="4" w:space="0" w:color="auto"/>
              <w:bottom w:val="nil"/>
            </w:tcBorders>
            <w:shd w:val="clear" w:color="auto" w:fill="DAEEF3" w:themeFill="accent5" w:themeFillTint="33"/>
            <w:vAlign w:val="center"/>
          </w:tcPr>
          <w:p w14:paraId="77F1196D"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14" w:type="dxa"/>
            <w:tcBorders>
              <w:bottom w:val="nil"/>
              <w:right w:val="nil"/>
            </w:tcBorders>
            <w:shd w:val="clear" w:color="auto" w:fill="DAEEF3" w:themeFill="accent5" w:themeFillTint="33"/>
            <w:vAlign w:val="center"/>
          </w:tcPr>
          <w:p w14:paraId="77695E2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2,346</w:t>
            </w:r>
          </w:p>
        </w:tc>
        <w:tc>
          <w:tcPr>
            <w:tcW w:w="1058" w:type="dxa"/>
            <w:tcBorders>
              <w:left w:val="nil"/>
              <w:bottom w:val="nil"/>
              <w:right w:val="single" w:sz="4" w:space="0" w:color="auto"/>
            </w:tcBorders>
            <w:shd w:val="clear" w:color="auto" w:fill="DAEEF3" w:themeFill="accent5" w:themeFillTint="33"/>
            <w:vAlign w:val="center"/>
          </w:tcPr>
          <w:p w14:paraId="204D422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46.1</w:t>
            </w:r>
            <w:r w:rsidRPr="00AF3A24">
              <w:rPr>
                <w:rFonts w:asciiTheme="minorHAnsi" w:hAnsiTheme="minorHAnsi"/>
                <w:bCs/>
                <w:color w:val="000000"/>
                <w:sz w:val="16"/>
                <w:szCs w:val="16"/>
              </w:rPr>
              <w:br/>
              <w:t>(44.2 - 47.9)</w:t>
            </w:r>
          </w:p>
        </w:tc>
        <w:tc>
          <w:tcPr>
            <w:tcW w:w="714" w:type="dxa"/>
            <w:tcBorders>
              <w:left w:val="nil"/>
              <w:bottom w:val="nil"/>
              <w:right w:val="nil"/>
            </w:tcBorders>
            <w:shd w:val="clear" w:color="auto" w:fill="DAEEF3" w:themeFill="accent5" w:themeFillTint="33"/>
            <w:vAlign w:val="center"/>
          </w:tcPr>
          <w:p w14:paraId="4EEF992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1,743</w:t>
            </w:r>
          </w:p>
        </w:tc>
        <w:tc>
          <w:tcPr>
            <w:tcW w:w="1058" w:type="dxa"/>
            <w:tcBorders>
              <w:left w:val="nil"/>
              <w:bottom w:val="nil"/>
              <w:right w:val="single" w:sz="4" w:space="0" w:color="auto"/>
            </w:tcBorders>
            <w:shd w:val="clear" w:color="auto" w:fill="DAEEF3" w:themeFill="accent5" w:themeFillTint="33"/>
            <w:vAlign w:val="center"/>
          </w:tcPr>
          <w:p w14:paraId="58D23AF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33.3</w:t>
            </w:r>
            <w:r w:rsidRPr="00AF3A24">
              <w:rPr>
                <w:rFonts w:asciiTheme="minorHAnsi" w:hAnsiTheme="minorHAnsi"/>
                <w:bCs/>
                <w:color w:val="000000"/>
                <w:sz w:val="16"/>
                <w:szCs w:val="16"/>
              </w:rPr>
              <w:br/>
              <w:t>(31.6 - 35.0)</w:t>
            </w:r>
          </w:p>
        </w:tc>
        <w:tc>
          <w:tcPr>
            <w:tcW w:w="714" w:type="dxa"/>
            <w:tcBorders>
              <w:left w:val="nil"/>
              <w:bottom w:val="nil"/>
              <w:right w:val="nil"/>
            </w:tcBorders>
            <w:shd w:val="clear" w:color="auto" w:fill="DAEEF3" w:themeFill="accent5" w:themeFillTint="33"/>
            <w:vAlign w:val="center"/>
          </w:tcPr>
          <w:p w14:paraId="142DD80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617</w:t>
            </w:r>
          </w:p>
        </w:tc>
        <w:tc>
          <w:tcPr>
            <w:tcW w:w="1058" w:type="dxa"/>
            <w:tcBorders>
              <w:left w:val="nil"/>
              <w:bottom w:val="nil"/>
              <w:right w:val="single" w:sz="4" w:space="0" w:color="auto"/>
            </w:tcBorders>
            <w:shd w:val="clear" w:color="auto" w:fill="DAEEF3" w:themeFill="accent5" w:themeFillTint="33"/>
            <w:vAlign w:val="center"/>
          </w:tcPr>
          <w:p w14:paraId="3DC4348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12.4</w:t>
            </w:r>
            <w:r w:rsidRPr="00AF3A24">
              <w:rPr>
                <w:rFonts w:asciiTheme="minorHAnsi" w:hAnsiTheme="minorHAnsi"/>
                <w:bCs/>
                <w:color w:val="000000"/>
                <w:sz w:val="16"/>
                <w:szCs w:val="16"/>
              </w:rPr>
              <w:br/>
              <w:t>(11.2 - 13.6)</w:t>
            </w:r>
          </w:p>
        </w:tc>
        <w:tc>
          <w:tcPr>
            <w:tcW w:w="708" w:type="dxa"/>
            <w:tcBorders>
              <w:left w:val="nil"/>
              <w:bottom w:val="nil"/>
              <w:right w:val="nil"/>
            </w:tcBorders>
            <w:shd w:val="clear" w:color="auto" w:fill="DAEEF3" w:themeFill="accent5" w:themeFillTint="33"/>
            <w:vAlign w:val="center"/>
          </w:tcPr>
          <w:p w14:paraId="2B20895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233</w:t>
            </w:r>
          </w:p>
        </w:tc>
        <w:tc>
          <w:tcPr>
            <w:tcW w:w="1058" w:type="dxa"/>
            <w:tcBorders>
              <w:left w:val="nil"/>
              <w:bottom w:val="nil"/>
              <w:right w:val="single" w:sz="4" w:space="0" w:color="auto"/>
            </w:tcBorders>
            <w:shd w:val="clear" w:color="auto" w:fill="DAEEF3" w:themeFill="accent5" w:themeFillTint="33"/>
            <w:vAlign w:val="center"/>
          </w:tcPr>
          <w:p w14:paraId="1A41CE7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(3.8 - 5.2)</w:t>
            </w:r>
          </w:p>
        </w:tc>
        <w:tc>
          <w:tcPr>
            <w:tcW w:w="708" w:type="dxa"/>
            <w:tcBorders>
              <w:left w:val="nil"/>
              <w:bottom w:val="nil"/>
              <w:right w:val="nil"/>
            </w:tcBorders>
            <w:shd w:val="clear" w:color="auto" w:fill="DAEEF3" w:themeFill="accent5" w:themeFillTint="33"/>
            <w:vAlign w:val="center"/>
          </w:tcPr>
          <w:p w14:paraId="69994D8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169</w:t>
            </w:r>
          </w:p>
        </w:tc>
        <w:tc>
          <w:tcPr>
            <w:tcW w:w="1058" w:type="dxa"/>
            <w:tcBorders>
              <w:left w:val="nil"/>
              <w:bottom w:val="nil"/>
              <w:right w:val="single" w:sz="4" w:space="0" w:color="auto"/>
            </w:tcBorders>
            <w:shd w:val="clear" w:color="auto" w:fill="DAEEF3" w:themeFill="accent5" w:themeFillTint="33"/>
            <w:vAlign w:val="center"/>
          </w:tcPr>
          <w:p w14:paraId="393FAEF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r w:rsidRPr="00AF3A24">
              <w:rPr>
                <w:rFonts w:asciiTheme="minorHAnsi" w:hAnsiTheme="minorHAnsi"/>
                <w:bCs/>
                <w:color w:val="000000"/>
                <w:sz w:val="16"/>
                <w:szCs w:val="16"/>
              </w:rPr>
              <w:br/>
              <w:t>(3.0 - 4.5)</w:t>
            </w:r>
          </w:p>
        </w:tc>
        <w:tc>
          <w:tcPr>
            <w:tcW w:w="780" w:type="dxa"/>
            <w:vMerge w:val="restart"/>
            <w:tcBorders>
              <w:left w:val="nil"/>
              <w:right w:val="single" w:sz="4" w:space="0" w:color="auto"/>
            </w:tcBorders>
            <w:shd w:val="clear" w:color="auto" w:fill="DAEEF3" w:themeFill="accent5" w:themeFillTint="33"/>
            <w:vAlign w:val="center"/>
          </w:tcPr>
          <w:p w14:paraId="5B276CA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&lt;.0001</w:t>
            </w:r>
          </w:p>
        </w:tc>
      </w:tr>
      <w:tr w:rsidR="00AB5CC7" w:rsidRPr="00AF3A24" w14:paraId="15531738" w14:textId="77777777" w:rsidTr="00E32510">
        <w:tc>
          <w:tcPr>
            <w:tcW w:w="1057" w:type="dxa"/>
            <w:vMerge/>
            <w:tcBorders>
              <w:bottom w:val="nil"/>
            </w:tcBorders>
            <w:shd w:val="clear" w:color="auto" w:fill="DAEEF3" w:themeFill="accent5" w:themeFillTint="33"/>
            <w:vAlign w:val="center"/>
          </w:tcPr>
          <w:p w14:paraId="35DB201C"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326BA9B0"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14" w:type="dxa"/>
            <w:tcBorders>
              <w:top w:val="nil"/>
              <w:bottom w:val="nil"/>
              <w:right w:val="nil"/>
            </w:tcBorders>
            <w:shd w:val="clear" w:color="auto" w:fill="DAEEF3" w:themeFill="accent5" w:themeFillTint="33"/>
            <w:vAlign w:val="center"/>
          </w:tcPr>
          <w:p w14:paraId="6759A4C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3,701</w:t>
            </w:r>
          </w:p>
        </w:tc>
        <w:tc>
          <w:tcPr>
            <w:tcW w:w="1058" w:type="dxa"/>
            <w:tcBorders>
              <w:top w:val="nil"/>
              <w:left w:val="nil"/>
              <w:bottom w:val="nil"/>
              <w:right w:val="single" w:sz="4" w:space="0" w:color="auto"/>
            </w:tcBorders>
            <w:shd w:val="clear" w:color="auto" w:fill="DAEEF3" w:themeFill="accent5" w:themeFillTint="33"/>
            <w:vAlign w:val="center"/>
          </w:tcPr>
          <w:p w14:paraId="7512FF9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49.3</w:t>
            </w:r>
            <w:r w:rsidRPr="00AF3A24">
              <w:rPr>
                <w:rFonts w:asciiTheme="minorHAnsi" w:hAnsiTheme="minorHAnsi"/>
                <w:bCs/>
                <w:color w:val="000000"/>
                <w:sz w:val="16"/>
                <w:szCs w:val="16"/>
              </w:rPr>
              <w:br/>
              <w:t>(47.6 - 51.0)</w:t>
            </w:r>
          </w:p>
        </w:tc>
        <w:tc>
          <w:tcPr>
            <w:tcW w:w="714" w:type="dxa"/>
            <w:tcBorders>
              <w:top w:val="nil"/>
              <w:left w:val="nil"/>
              <w:bottom w:val="nil"/>
              <w:right w:val="nil"/>
            </w:tcBorders>
            <w:shd w:val="clear" w:color="auto" w:fill="DAEEF3" w:themeFill="accent5" w:themeFillTint="33"/>
            <w:vAlign w:val="center"/>
          </w:tcPr>
          <w:p w14:paraId="74E5395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2,394</w:t>
            </w:r>
          </w:p>
        </w:tc>
        <w:tc>
          <w:tcPr>
            <w:tcW w:w="1058" w:type="dxa"/>
            <w:tcBorders>
              <w:top w:val="nil"/>
              <w:left w:val="nil"/>
              <w:bottom w:val="nil"/>
              <w:right w:val="single" w:sz="4" w:space="0" w:color="auto"/>
            </w:tcBorders>
            <w:shd w:val="clear" w:color="auto" w:fill="DAEEF3" w:themeFill="accent5" w:themeFillTint="33"/>
            <w:vAlign w:val="center"/>
          </w:tcPr>
          <w:p w14:paraId="18D6DDC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32.4</w:t>
            </w:r>
            <w:r w:rsidRPr="00AF3A24">
              <w:rPr>
                <w:rFonts w:asciiTheme="minorHAnsi" w:hAnsiTheme="minorHAnsi"/>
                <w:bCs/>
                <w:color w:val="000000"/>
                <w:sz w:val="16"/>
                <w:szCs w:val="16"/>
              </w:rPr>
              <w:br/>
              <w:t>(30.9 - 33.9)</w:t>
            </w:r>
          </w:p>
        </w:tc>
        <w:tc>
          <w:tcPr>
            <w:tcW w:w="714" w:type="dxa"/>
            <w:tcBorders>
              <w:top w:val="nil"/>
              <w:left w:val="nil"/>
              <w:bottom w:val="nil"/>
              <w:right w:val="nil"/>
            </w:tcBorders>
            <w:shd w:val="clear" w:color="auto" w:fill="DAEEF3" w:themeFill="accent5" w:themeFillTint="33"/>
            <w:vAlign w:val="center"/>
          </w:tcPr>
          <w:p w14:paraId="06072DA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917</w:t>
            </w:r>
          </w:p>
        </w:tc>
        <w:tc>
          <w:tcPr>
            <w:tcW w:w="1058" w:type="dxa"/>
            <w:tcBorders>
              <w:top w:val="nil"/>
              <w:left w:val="nil"/>
              <w:bottom w:val="nil"/>
              <w:right w:val="single" w:sz="4" w:space="0" w:color="auto"/>
            </w:tcBorders>
            <w:shd w:val="clear" w:color="auto" w:fill="DAEEF3" w:themeFill="accent5" w:themeFillTint="33"/>
            <w:vAlign w:val="center"/>
          </w:tcPr>
          <w:p w14:paraId="5C6E498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12.2</w:t>
            </w:r>
            <w:r w:rsidRPr="00AF3A24">
              <w:rPr>
                <w:rFonts w:asciiTheme="minorHAnsi" w:hAnsiTheme="minorHAnsi"/>
                <w:bCs/>
                <w:color w:val="000000"/>
                <w:sz w:val="16"/>
                <w:szCs w:val="16"/>
              </w:rPr>
              <w:br/>
              <w:t>(11.2 - 13.2)</w:t>
            </w:r>
          </w:p>
        </w:tc>
        <w:tc>
          <w:tcPr>
            <w:tcW w:w="708" w:type="dxa"/>
            <w:tcBorders>
              <w:top w:val="nil"/>
              <w:left w:val="nil"/>
              <w:bottom w:val="nil"/>
              <w:right w:val="nil"/>
            </w:tcBorders>
            <w:shd w:val="clear" w:color="auto" w:fill="DAEEF3" w:themeFill="accent5" w:themeFillTint="33"/>
            <w:vAlign w:val="center"/>
          </w:tcPr>
          <w:p w14:paraId="0E07002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323</w:t>
            </w:r>
          </w:p>
        </w:tc>
        <w:tc>
          <w:tcPr>
            <w:tcW w:w="1058" w:type="dxa"/>
            <w:tcBorders>
              <w:top w:val="nil"/>
              <w:left w:val="nil"/>
              <w:bottom w:val="nil"/>
              <w:right w:val="single" w:sz="4" w:space="0" w:color="auto"/>
            </w:tcBorders>
            <w:shd w:val="clear" w:color="auto" w:fill="DAEEF3" w:themeFill="accent5" w:themeFillTint="33"/>
            <w:vAlign w:val="center"/>
          </w:tcPr>
          <w:p w14:paraId="3D9CCE2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(3.7 - 4.9)</w:t>
            </w:r>
          </w:p>
        </w:tc>
        <w:tc>
          <w:tcPr>
            <w:tcW w:w="708" w:type="dxa"/>
            <w:tcBorders>
              <w:top w:val="nil"/>
              <w:left w:val="nil"/>
              <w:bottom w:val="nil"/>
              <w:right w:val="nil"/>
            </w:tcBorders>
            <w:shd w:val="clear" w:color="auto" w:fill="DAEEF3" w:themeFill="accent5" w:themeFillTint="33"/>
            <w:vAlign w:val="center"/>
          </w:tcPr>
          <w:p w14:paraId="439D71A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153</w:t>
            </w:r>
          </w:p>
        </w:tc>
        <w:tc>
          <w:tcPr>
            <w:tcW w:w="1058" w:type="dxa"/>
            <w:tcBorders>
              <w:top w:val="nil"/>
              <w:left w:val="nil"/>
              <w:bottom w:val="nil"/>
              <w:right w:val="single" w:sz="4" w:space="0" w:color="auto"/>
            </w:tcBorders>
            <w:shd w:val="clear" w:color="auto" w:fill="DAEEF3" w:themeFill="accent5" w:themeFillTint="33"/>
            <w:vAlign w:val="center"/>
          </w:tcPr>
          <w:p w14:paraId="0A1EECF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r w:rsidRPr="00AF3A24">
              <w:rPr>
                <w:rFonts w:asciiTheme="minorHAnsi" w:hAnsiTheme="minorHAnsi"/>
                <w:bCs/>
                <w:color w:val="000000"/>
                <w:sz w:val="16"/>
                <w:szCs w:val="16"/>
              </w:rPr>
              <w:br/>
              <w:t>(1.5 - 2.3)</w:t>
            </w:r>
          </w:p>
        </w:tc>
        <w:tc>
          <w:tcPr>
            <w:tcW w:w="780" w:type="dxa"/>
            <w:vMerge/>
            <w:tcBorders>
              <w:left w:val="nil"/>
              <w:bottom w:val="nil"/>
              <w:right w:val="single" w:sz="4" w:space="0" w:color="auto"/>
            </w:tcBorders>
            <w:shd w:val="clear" w:color="auto" w:fill="DAEEF3" w:themeFill="accent5" w:themeFillTint="33"/>
            <w:vAlign w:val="center"/>
          </w:tcPr>
          <w:p w14:paraId="5F748D06"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E1507C" w:rsidRPr="00AF3A24" w14:paraId="5B3B2400" w14:textId="77777777" w:rsidTr="00E32510">
        <w:tc>
          <w:tcPr>
            <w:tcW w:w="1057" w:type="dxa"/>
            <w:vMerge w:val="restart"/>
            <w:tcBorders>
              <w:top w:val="single" w:sz="4" w:space="0" w:color="auto"/>
            </w:tcBorders>
            <w:shd w:val="clear" w:color="auto" w:fill="DAEEF3" w:themeFill="accent5" w:themeFillTint="33"/>
            <w:vAlign w:val="center"/>
          </w:tcPr>
          <w:p w14:paraId="2FAE725F" w14:textId="77777777" w:rsidR="00E1507C" w:rsidRPr="00AF3A24" w:rsidRDefault="00E1507C" w:rsidP="00E32510">
            <w:pPr>
              <w:spacing w:before="0" w:line="240" w:lineRule="auto"/>
              <w:ind w:left="-41"/>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990" w:type="dxa"/>
            <w:tcBorders>
              <w:top w:val="single" w:sz="4" w:space="0" w:color="auto"/>
              <w:bottom w:val="nil"/>
            </w:tcBorders>
            <w:shd w:val="clear" w:color="auto" w:fill="DAEEF3" w:themeFill="accent5" w:themeFillTint="33"/>
            <w:vAlign w:val="center"/>
          </w:tcPr>
          <w:p w14:paraId="526674BC"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15 - 17</w:t>
            </w:r>
          </w:p>
        </w:tc>
        <w:tc>
          <w:tcPr>
            <w:tcW w:w="714" w:type="dxa"/>
            <w:tcBorders>
              <w:bottom w:val="nil"/>
              <w:right w:val="nil"/>
            </w:tcBorders>
            <w:shd w:val="clear" w:color="auto" w:fill="DAEEF3" w:themeFill="accent5" w:themeFillTint="33"/>
            <w:vAlign w:val="center"/>
          </w:tcPr>
          <w:p w14:paraId="3F99426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362</w:t>
            </w:r>
          </w:p>
        </w:tc>
        <w:tc>
          <w:tcPr>
            <w:tcW w:w="1058" w:type="dxa"/>
            <w:tcBorders>
              <w:left w:val="nil"/>
              <w:bottom w:val="nil"/>
              <w:right w:val="single" w:sz="4" w:space="0" w:color="auto"/>
            </w:tcBorders>
            <w:shd w:val="clear" w:color="auto" w:fill="DAEEF3" w:themeFill="accent5" w:themeFillTint="33"/>
            <w:vAlign w:val="center"/>
          </w:tcPr>
          <w:p w14:paraId="7595A87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94.9</w:t>
            </w:r>
            <w:r w:rsidRPr="00AF3A24">
              <w:rPr>
                <w:rFonts w:asciiTheme="minorHAnsi" w:hAnsiTheme="minorHAnsi"/>
                <w:bCs/>
                <w:color w:val="000000"/>
                <w:sz w:val="16"/>
                <w:szCs w:val="16"/>
              </w:rPr>
              <w:br/>
              <w:t>(92.4 - 97.3)</w:t>
            </w:r>
          </w:p>
        </w:tc>
        <w:tc>
          <w:tcPr>
            <w:tcW w:w="714" w:type="dxa"/>
            <w:tcBorders>
              <w:left w:val="nil"/>
              <w:bottom w:val="nil"/>
              <w:right w:val="nil"/>
            </w:tcBorders>
            <w:shd w:val="clear" w:color="auto" w:fill="DAEEF3" w:themeFill="accent5" w:themeFillTint="33"/>
            <w:vAlign w:val="center"/>
          </w:tcPr>
          <w:p w14:paraId="096D7DE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left w:val="nil"/>
              <w:bottom w:val="nil"/>
              <w:right w:val="single" w:sz="4" w:space="0" w:color="auto"/>
            </w:tcBorders>
            <w:shd w:val="clear" w:color="auto" w:fill="DAEEF3" w:themeFill="accent5" w:themeFillTint="33"/>
            <w:vAlign w:val="center"/>
          </w:tcPr>
          <w:p w14:paraId="4884E80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14" w:type="dxa"/>
            <w:tcBorders>
              <w:left w:val="nil"/>
              <w:bottom w:val="nil"/>
              <w:right w:val="nil"/>
            </w:tcBorders>
            <w:shd w:val="clear" w:color="auto" w:fill="DAEEF3" w:themeFill="accent5" w:themeFillTint="33"/>
            <w:vAlign w:val="center"/>
          </w:tcPr>
          <w:p w14:paraId="2DC73DB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left w:val="nil"/>
              <w:bottom w:val="nil"/>
              <w:right w:val="single" w:sz="4" w:space="0" w:color="auto"/>
            </w:tcBorders>
            <w:shd w:val="clear" w:color="auto" w:fill="DAEEF3" w:themeFill="accent5" w:themeFillTint="33"/>
            <w:vAlign w:val="center"/>
          </w:tcPr>
          <w:p w14:paraId="4F96C2F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8" w:type="dxa"/>
            <w:tcBorders>
              <w:left w:val="nil"/>
              <w:bottom w:val="nil"/>
              <w:right w:val="nil"/>
            </w:tcBorders>
            <w:shd w:val="clear" w:color="auto" w:fill="DAEEF3" w:themeFill="accent5" w:themeFillTint="33"/>
            <w:vAlign w:val="center"/>
          </w:tcPr>
          <w:p w14:paraId="65C317E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left w:val="nil"/>
              <w:bottom w:val="nil"/>
              <w:right w:val="single" w:sz="4" w:space="0" w:color="auto"/>
            </w:tcBorders>
            <w:shd w:val="clear" w:color="auto" w:fill="DAEEF3" w:themeFill="accent5" w:themeFillTint="33"/>
            <w:vAlign w:val="center"/>
          </w:tcPr>
          <w:p w14:paraId="087921B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8" w:type="dxa"/>
            <w:tcBorders>
              <w:left w:val="nil"/>
              <w:bottom w:val="nil"/>
              <w:right w:val="nil"/>
            </w:tcBorders>
            <w:shd w:val="clear" w:color="auto" w:fill="DAEEF3" w:themeFill="accent5" w:themeFillTint="33"/>
            <w:vAlign w:val="center"/>
          </w:tcPr>
          <w:p w14:paraId="2A0FE5D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left w:val="nil"/>
              <w:bottom w:val="nil"/>
              <w:right w:val="single" w:sz="4" w:space="0" w:color="auto"/>
            </w:tcBorders>
            <w:shd w:val="clear" w:color="auto" w:fill="DAEEF3" w:themeFill="accent5" w:themeFillTint="33"/>
            <w:vAlign w:val="center"/>
          </w:tcPr>
          <w:p w14:paraId="3EF139F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80" w:type="dxa"/>
            <w:vMerge w:val="restart"/>
            <w:tcBorders>
              <w:left w:val="nil"/>
              <w:right w:val="single" w:sz="4" w:space="0" w:color="auto"/>
            </w:tcBorders>
            <w:shd w:val="clear" w:color="auto" w:fill="DAEEF3" w:themeFill="accent5" w:themeFillTint="33"/>
            <w:vAlign w:val="center"/>
          </w:tcPr>
          <w:p w14:paraId="47491F1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&lt;.0001</w:t>
            </w:r>
          </w:p>
        </w:tc>
      </w:tr>
      <w:tr w:rsidR="00AB5CC7" w:rsidRPr="00AF3A24" w14:paraId="77879F2A" w14:textId="77777777" w:rsidTr="00E32510">
        <w:tc>
          <w:tcPr>
            <w:tcW w:w="1057" w:type="dxa"/>
            <w:vMerge/>
            <w:shd w:val="clear" w:color="auto" w:fill="DAEEF3" w:themeFill="accent5" w:themeFillTint="33"/>
            <w:vAlign w:val="center"/>
          </w:tcPr>
          <w:p w14:paraId="06E10200"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01165FFE"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18 - 24</w:t>
            </w:r>
          </w:p>
        </w:tc>
        <w:tc>
          <w:tcPr>
            <w:tcW w:w="714" w:type="dxa"/>
            <w:tcBorders>
              <w:top w:val="nil"/>
              <w:bottom w:val="nil"/>
              <w:right w:val="nil"/>
            </w:tcBorders>
            <w:shd w:val="clear" w:color="auto" w:fill="DAEEF3" w:themeFill="accent5" w:themeFillTint="33"/>
            <w:vAlign w:val="center"/>
          </w:tcPr>
          <w:p w14:paraId="526D4A4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653</w:t>
            </w:r>
          </w:p>
        </w:tc>
        <w:tc>
          <w:tcPr>
            <w:tcW w:w="1058" w:type="dxa"/>
            <w:tcBorders>
              <w:top w:val="nil"/>
              <w:left w:val="nil"/>
              <w:bottom w:val="nil"/>
              <w:right w:val="single" w:sz="4" w:space="0" w:color="auto"/>
            </w:tcBorders>
            <w:shd w:val="clear" w:color="auto" w:fill="DAEEF3" w:themeFill="accent5" w:themeFillTint="33"/>
            <w:vAlign w:val="center"/>
          </w:tcPr>
          <w:p w14:paraId="45C71F5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55.4</w:t>
            </w:r>
            <w:r w:rsidRPr="00AF3A24">
              <w:rPr>
                <w:rFonts w:asciiTheme="minorHAnsi" w:hAnsiTheme="minorHAnsi"/>
                <w:bCs/>
                <w:color w:val="000000"/>
                <w:sz w:val="16"/>
                <w:szCs w:val="16"/>
              </w:rPr>
              <w:br/>
              <w:t>(51.5 - 59.2)</w:t>
            </w:r>
          </w:p>
        </w:tc>
        <w:tc>
          <w:tcPr>
            <w:tcW w:w="714" w:type="dxa"/>
            <w:tcBorders>
              <w:top w:val="nil"/>
              <w:left w:val="nil"/>
              <w:bottom w:val="nil"/>
              <w:right w:val="nil"/>
            </w:tcBorders>
            <w:shd w:val="clear" w:color="auto" w:fill="DAEEF3" w:themeFill="accent5" w:themeFillTint="33"/>
            <w:vAlign w:val="center"/>
          </w:tcPr>
          <w:p w14:paraId="030A55F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251</w:t>
            </w:r>
          </w:p>
        </w:tc>
        <w:tc>
          <w:tcPr>
            <w:tcW w:w="1058" w:type="dxa"/>
            <w:tcBorders>
              <w:top w:val="nil"/>
              <w:left w:val="nil"/>
              <w:bottom w:val="nil"/>
              <w:right w:val="single" w:sz="4" w:space="0" w:color="auto"/>
            </w:tcBorders>
            <w:shd w:val="clear" w:color="auto" w:fill="DAEEF3" w:themeFill="accent5" w:themeFillTint="33"/>
            <w:vAlign w:val="center"/>
          </w:tcPr>
          <w:p w14:paraId="3E90231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25.2</w:t>
            </w:r>
            <w:r w:rsidRPr="00AF3A24">
              <w:rPr>
                <w:rFonts w:asciiTheme="minorHAnsi" w:hAnsiTheme="minorHAnsi"/>
                <w:bCs/>
                <w:color w:val="000000"/>
                <w:sz w:val="16"/>
                <w:szCs w:val="16"/>
              </w:rPr>
              <w:br/>
              <w:t>(21.9 - 28.4)</w:t>
            </w:r>
          </w:p>
        </w:tc>
        <w:tc>
          <w:tcPr>
            <w:tcW w:w="714" w:type="dxa"/>
            <w:tcBorders>
              <w:top w:val="nil"/>
              <w:left w:val="nil"/>
              <w:bottom w:val="nil"/>
              <w:right w:val="nil"/>
            </w:tcBorders>
            <w:shd w:val="clear" w:color="auto" w:fill="DAEEF3" w:themeFill="accent5" w:themeFillTint="33"/>
            <w:vAlign w:val="center"/>
          </w:tcPr>
          <w:p w14:paraId="3A9F251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119</w:t>
            </w:r>
          </w:p>
        </w:tc>
        <w:tc>
          <w:tcPr>
            <w:tcW w:w="1058" w:type="dxa"/>
            <w:tcBorders>
              <w:top w:val="nil"/>
              <w:left w:val="nil"/>
              <w:bottom w:val="nil"/>
              <w:right w:val="single" w:sz="4" w:space="0" w:color="auto"/>
            </w:tcBorders>
            <w:shd w:val="clear" w:color="auto" w:fill="DAEEF3" w:themeFill="accent5" w:themeFillTint="33"/>
            <w:vAlign w:val="center"/>
          </w:tcPr>
          <w:p w14:paraId="065DC36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10.9</w:t>
            </w:r>
            <w:r w:rsidRPr="00AF3A24">
              <w:rPr>
                <w:rFonts w:asciiTheme="minorHAnsi" w:hAnsiTheme="minorHAnsi"/>
                <w:bCs/>
                <w:color w:val="000000"/>
                <w:sz w:val="16"/>
                <w:szCs w:val="16"/>
              </w:rPr>
              <w:br/>
              <w:t>(8.4 - 13.4)</w:t>
            </w:r>
          </w:p>
        </w:tc>
        <w:tc>
          <w:tcPr>
            <w:tcW w:w="708" w:type="dxa"/>
            <w:tcBorders>
              <w:top w:val="nil"/>
              <w:left w:val="nil"/>
              <w:bottom w:val="nil"/>
              <w:right w:val="nil"/>
            </w:tcBorders>
            <w:shd w:val="clear" w:color="auto" w:fill="DAEEF3" w:themeFill="accent5" w:themeFillTint="33"/>
            <w:vAlign w:val="center"/>
          </w:tcPr>
          <w:p w14:paraId="561D680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058" w:type="dxa"/>
            <w:tcBorders>
              <w:top w:val="nil"/>
              <w:left w:val="nil"/>
              <w:bottom w:val="nil"/>
              <w:right w:val="single" w:sz="4" w:space="0" w:color="auto"/>
            </w:tcBorders>
            <w:shd w:val="clear" w:color="auto" w:fill="DAEEF3" w:themeFill="accent5" w:themeFillTint="33"/>
            <w:vAlign w:val="center"/>
          </w:tcPr>
          <w:p w14:paraId="412BF3A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(2.6 - 5.9)</w:t>
            </w:r>
          </w:p>
        </w:tc>
        <w:tc>
          <w:tcPr>
            <w:tcW w:w="708" w:type="dxa"/>
            <w:tcBorders>
              <w:top w:val="nil"/>
              <w:left w:val="nil"/>
              <w:bottom w:val="nil"/>
              <w:right w:val="nil"/>
            </w:tcBorders>
            <w:shd w:val="clear" w:color="auto" w:fill="DAEEF3" w:themeFill="accent5" w:themeFillTint="33"/>
            <w:vAlign w:val="center"/>
          </w:tcPr>
          <w:p w14:paraId="4E2F798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058" w:type="dxa"/>
            <w:tcBorders>
              <w:top w:val="nil"/>
              <w:left w:val="nil"/>
              <w:bottom w:val="nil"/>
              <w:right w:val="single" w:sz="4" w:space="0" w:color="auto"/>
            </w:tcBorders>
            <w:shd w:val="clear" w:color="auto" w:fill="DAEEF3" w:themeFill="accent5" w:themeFillTint="33"/>
            <w:vAlign w:val="center"/>
          </w:tcPr>
          <w:p w14:paraId="0E570A4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(2.8 - 5.8)</w:t>
            </w:r>
          </w:p>
        </w:tc>
        <w:tc>
          <w:tcPr>
            <w:tcW w:w="780" w:type="dxa"/>
            <w:vMerge/>
            <w:tcBorders>
              <w:left w:val="nil"/>
              <w:right w:val="single" w:sz="4" w:space="0" w:color="auto"/>
            </w:tcBorders>
            <w:shd w:val="clear" w:color="auto" w:fill="DAEEF3" w:themeFill="accent5" w:themeFillTint="33"/>
            <w:vAlign w:val="center"/>
          </w:tcPr>
          <w:p w14:paraId="3C327A39"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39326178" w14:textId="77777777" w:rsidTr="00E32510">
        <w:tc>
          <w:tcPr>
            <w:tcW w:w="1057" w:type="dxa"/>
            <w:vMerge/>
            <w:shd w:val="clear" w:color="auto" w:fill="DAEEF3" w:themeFill="accent5" w:themeFillTint="33"/>
            <w:vAlign w:val="center"/>
          </w:tcPr>
          <w:p w14:paraId="28F212E2"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69CB2F0E"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14" w:type="dxa"/>
            <w:tcBorders>
              <w:top w:val="nil"/>
              <w:bottom w:val="nil"/>
              <w:right w:val="nil"/>
            </w:tcBorders>
            <w:shd w:val="clear" w:color="auto" w:fill="DAEEF3" w:themeFill="accent5" w:themeFillTint="33"/>
            <w:vAlign w:val="center"/>
          </w:tcPr>
          <w:p w14:paraId="32D92CD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974</w:t>
            </w:r>
          </w:p>
        </w:tc>
        <w:tc>
          <w:tcPr>
            <w:tcW w:w="1058" w:type="dxa"/>
            <w:tcBorders>
              <w:top w:val="nil"/>
              <w:left w:val="nil"/>
              <w:bottom w:val="nil"/>
              <w:right w:val="single" w:sz="4" w:space="0" w:color="auto"/>
            </w:tcBorders>
            <w:shd w:val="clear" w:color="auto" w:fill="DAEEF3" w:themeFill="accent5" w:themeFillTint="33"/>
            <w:vAlign w:val="center"/>
          </w:tcPr>
          <w:p w14:paraId="509903A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46.0</w:t>
            </w:r>
            <w:r w:rsidRPr="00AF3A24">
              <w:rPr>
                <w:rFonts w:asciiTheme="minorHAnsi" w:hAnsiTheme="minorHAnsi"/>
                <w:bCs/>
                <w:color w:val="000000"/>
                <w:sz w:val="16"/>
                <w:szCs w:val="16"/>
              </w:rPr>
              <w:br/>
              <w:t>(42.9 - 49.2)</w:t>
            </w:r>
          </w:p>
        </w:tc>
        <w:tc>
          <w:tcPr>
            <w:tcW w:w="714" w:type="dxa"/>
            <w:tcBorders>
              <w:top w:val="nil"/>
              <w:left w:val="nil"/>
              <w:bottom w:val="nil"/>
              <w:right w:val="nil"/>
            </w:tcBorders>
            <w:shd w:val="clear" w:color="auto" w:fill="DAEEF3" w:themeFill="accent5" w:themeFillTint="33"/>
            <w:vAlign w:val="center"/>
          </w:tcPr>
          <w:p w14:paraId="192DDA3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540</w:t>
            </w:r>
          </w:p>
        </w:tc>
        <w:tc>
          <w:tcPr>
            <w:tcW w:w="1058" w:type="dxa"/>
            <w:tcBorders>
              <w:top w:val="nil"/>
              <w:left w:val="nil"/>
              <w:bottom w:val="nil"/>
              <w:right w:val="single" w:sz="4" w:space="0" w:color="auto"/>
            </w:tcBorders>
            <w:shd w:val="clear" w:color="auto" w:fill="DAEEF3" w:themeFill="accent5" w:themeFillTint="33"/>
            <w:vAlign w:val="center"/>
          </w:tcPr>
          <w:p w14:paraId="0F191A7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29.3</w:t>
            </w:r>
            <w:r w:rsidRPr="00AF3A24">
              <w:rPr>
                <w:rFonts w:asciiTheme="minorHAnsi" w:hAnsiTheme="minorHAnsi"/>
                <w:bCs/>
                <w:color w:val="000000"/>
                <w:sz w:val="16"/>
                <w:szCs w:val="16"/>
              </w:rPr>
              <w:br/>
              <w:t>(26.5 - 32.1)</w:t>
            </w:r>
          </w:p>
        </w:tc>
        <w:tc>
          <w:tcPr>
            <w:tcW w:w="714" w:type="dxa"/>
            <w:tcBorders>
              <w:top w:val="nil"/>
              <w:left w:val="nil"/>
              <w:bottom w:val="nil"/>
              <w:right w:val="nil"/>
            </w:tcBorders>
            <w:shd w:val="clear" w:color="auto" w:fill="DAEEF3" w:themeFill="accent5" w:themeFillTint="33"/>
            <w:vAlign w:val="center"/>
          </w:tcPr>
          <w:p w14:paraId="511920B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252</w:t>
            </w:r>
          </w:p>
        </w:tc>
        <w:tc>
          <w:tcPr>
            <w:tcW w:w="1058" w:type="dxa"/>
            <w:tcBorders>
              <w:top w:val="nil"/>
              <w:left w:val="nil"/>
              <w:bottom w:val="nil"/>
              <w:right w:val="single" w:sz="4" w:space="0" w:color="auto"/>
            </w:tcBorders>
            <w:shd w:val="clear" w:color="auto" w:fill="DAEEF3" w:themeFill="accent5" w:themeFillTint="33"/>
            <w:vAlign w:val="center"/>
          </w:tcPr>
          <w:p w14:paraId="4C0821D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13.9</w:t>
            </w:r>
            <w:r w:rsidRPr="00AF3A24">
              <w:rPr>
                <w:rFonts w:asciiTheme="minorHAnsi" w:hAnsiTheme="minorHAnsi"/>
                <w:bCs/>
                <w:color w:val="000000"/>
                <w:sz w:val="16"/>
                <w:szCs w:val="16"/>
              </w:rPr>
              <w:br/>
              <w:t>(11.9 - 15.9)</w:t>
            </w:r>
          </w:p>
        </w:tc>
        <w:tc>
          <w:tcPr>
            <w:tcW w:w="708" w:type="dxa"/>
            <w:tcBorders>
              <w:top w:val="nil"/>
              <w:left w:val="nil"/>
              <w:bottom w:val="nil"/>
              <w:right w:val="nil"/>
            </w:tcBorders>
            <w:shd w:val="clear" w:color="auto" w:fill="DAEEF3" w:themeFill="accent5" w:themeFillTint="33"/>
            <w:vAlign w:val="center"/>
          </w:tcPr>
          <w:p w14:paraId="6F07BC8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121</w:t>
            </w:r>
          </w:p>
        </w:tc>
        <w:tc>
          <w:tcPr>
            <w:tcW w:w="1058" w:type="dxa"/>
            <w:tcBorders>
              <w:top w:val="nil"/>
              <w:left w:val="nil"/>
              <w:bottom w:val="nil"/>
              <w:right w:val="single" w:sz="4" w:space="0" w:color="auto"/>
            </w:tcBorders>
            <w:shd w:val="clear" w:color="auto" w:fill="DAEEF3" w:themeFill="accent5" w:themeFillTint="33"/>
            <w:vAlign w:val="center"/>
          </w:tcPr>
          <w:p w14:paraId="16D95FF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r w:rsidRPr="00AF3A24">
              <w:rPr>
                <w:rFonts w:asciiTheme="minorHAnsi" w:hAnsiTheme="minorHAnsi"/>
                <w:bCs/>
                <w:color w:val="000000"/>
                <w:sz w:val="16"/>
                <w:szCs w:val="16"/>
              </w:rPr>
              <w:br/>
              <w:t>(5.0 - 7.8)</w:t>
            </w:r>
          </w:p>
        </w:tc>
        <w:tc>
          <w:tcPr>
            <w:tcW w:w="708" w:type="dxa"/>
            <w:tcBorders>
              <w:top w:val="nil"/>
              <w:left w:val="nil"/>
              <w:bottom w:val="nil"/>
              <w:right w:val="nil"/>
            </w:tcBorders>
            <w:shd w:val="clear" w:color="auto" w:fill="DAEEF3" w:themeFill="accent5" w:themeFillTint="33"/>
            <w:vAlign w:val="center"/>
          </w:tcPr>
          <w:p w14:paraId="2C4257A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p>
        </w:tc>
        <w:tc>
          <w:tcPr>
            <w:tcW w:w="1058" w:type="dxa"/>
            <w:tcBorders>
              <w:top w:val="nil"/>
              <w:left w:val="nil"/>
              <w:bottom w:val="nil"/>
              <w:right w:val="single" w:sz="4" w:space="0" w:color="auto"/>
            </w:tcBorders>
            <w:shd w:val="clear" w:color="auto" w:fill="DAEEF3" w:themeFill="accent5" w:themeFillTint="33"/>
            <w:vAlign w:val="center"/>
          </w:tcPr>
          <w:p w14:paraId="08285C0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r w:rsidRPr="00AF3A24">
              <w:rPr>
                <w:rFonts w:asciiTheme="minorHAnsi" w:hAnsiTheme="minorHAnsi"/>
                <w:bCs/>
                <w:color w:val="000000"/>
                <w:sz w:val="16"/>
                <w:szCs w:val="16"/>
              </w:rPr>
              <w:br/>
              <w:t>(3.2 - 5.5)</w:t>
            </w:r>
          </w:p>
        </w:tc>
        <w:tc>
          <w:tcPr>
            <w:tcW w:w="780" w:type="dxa"/>
            <w:vMerge/>
            <w:tcBorders>
              <w:left w:val="nil"/>
              <w:right w:val="single" w:sz="4" w:space="0" w:color="auto"/>
            </w:tcBorders>
            <w:shd w:val="clear" w:color="auto" w:fill="DAEEF3" w:themeFill="accent5" w:themeFillTint="33"/>
            <w:vAlign w:val="center"/>
          </w:tcPr>
          <w:p w14:paraId="0F5E8C20"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654A72AF" w14:textId="77777777" w:rsidTr="00E32510">
        <w:tc>
          <w:tcPr>
            <w:tcW w:w="1057" w:type="dxa"/>
            <w:vMerge/>
            <w:shd w:val="clear" w:color="auto" w:fill="DAEEF3" w:themeFill="accent5" w:themeFillTint="33"/>
            <w:vAlign w:val="center"/>
          </w:tcPr>
          <w:p w14:paraId="5CD21B1F"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03676F00"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14" w:type="dxa"/>
            <w:tcBorders>
              <w:top w:val="nil"/>
              <w:bottom w:val="nil"/>
              <w:right w:val="nil"/>
            </w:tcBorders>
            <w:shd w:val="clear" w:color="auto" w:fill="DAEEF3" w:themeFill="accent5" w:themeFillTint="33"/>
            <w:vAlign w:val="center"/>
          </w:tcPr>
          <w:p w14:paraId="3219F45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1,080</w:t>
            </w:r>
          </w:p>
        </w:tc>
        <w:tc>
          <w:tcPr>
            <w:tcW w:w="1058" w:type="dxa"/>
            <w:tcBorders>
              <w:top w:val="nil"/>
              <w:left w:val="nil"/>
              <w:bottom w:val="nil"/>
              <w:right w:val="single" w:sz="4" w:space="0" w:color="auto"/>
            </w:tcBorders>
            <w:shd w:val="clear" w:color="auto" w:fill="DAEEF3" w:themeFill="accent5" w:themeFillTint="33"/>
            <w:vAlign w:val="center"/>
          </w:tcPr>
          <w:p w14:paraId="28BFA74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43.3</w:t>
            </w:r>
            <w:r w:rsidRPr="00AF3A24">
              <w:rPr>
                <w:rFonts w:asciiTheme="minorHAnsi" w:hAnsiTheme="minorHAnsi"/>
                <w:bCs/>
                <w:color w:val="000000"/>
                <w:sz w:val="16"/>
                <w:szCs w:val="16"/>
              </w:rPr>
              <w:br/>
              <w:t>(40.5 - 46.0)</w:t>
            </w:r>
          </w:p>
        </w:tc>
        <w:tc>
          <w:tcPr>
            <w:tcW w:w="714" w:type="dxa"/>
            <w:tcBorders>
              <w:top w:val="nil"/>
              <w:left w:val="nil"/>
              <w:bottom w:val="nil"/>
              <w:right w:val="nil"/>
            </w:tcBorders>
            <w:shd w:val="clear" w:color="auto" w:fill="DAEEF3" w:themeFill="accent5" w:themeFillTint="33"/>
            <w:vAlign w:val="center"/>
          </w:tcPr>
          <w:p w14:paraId="5B819B1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813</w:t>
            </w:r>
          </w:p>
        </w:tc>
        <w:tc>
          <w:tcPr>
            <w:tcW w:w="1058" w:type="dxa"/>
            <w:tcBorders>
              <w:top w:val="nil"/>
              <w:left w:val="nil"/>
              <w:bottom w:val="nil"/>
              <w:right w:val="single" w:sz="4" w:space="0" w:color="auto"/>
            </w:tcBorders>
            <w:shd w:val="clear" w:color="auto" w:fill="DAEEF3" w:themeFill="accent5" w:themeFillTint="33"/>
            <w:vAlign w:val="center"/>
          </w:tcPr>
          <w:p w14:paraId="1628DAE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35.6</w:t>
            </w:r>
            <w:r w:rsidRPr="00AF3A24">
              <w:rPr>
                <w:rFonts w:asciiTheme="minorHAnsi" w:hAnsiTheme="minorHAnsi"/>
                <w:bCs/>
                <w:color w:val="000000"/>
                <w:sz w:val="16"/>
                <w:szCs w:val="16"/>
              </w:rPr>
              <w:br/>
              <w:t>(33.1 - 38.1)</w:t>
            </w:r>
          </w:p>
        </w:tc>
        <w:tc>
          <w:tcPr>
            <w:tcW w:w="714" w:type="dxa"/>
            <w:tcBorders>
              <w:top w:val="nil"/>
              <w:left w:val="nil"/>
              <w:bottom w:val="nil"/>
              <w:right w:val="nil"/>
            </w:tcBorders>
            <w:shd w:val="clear" w:color="auto" w:fill="DAEEF3" w:themeFill="accent5" w:themeFillTint="33"/>
            <w:vAlign w:val="center"/>
          </w:tcPr>
          <w:p w14:paraId="3863170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316</w:t>
            </w:r>
          </w:p>
        </w:tc>
        <w:tc>
          <w:tcPr>
            <w:tcW w:w="1058" w:type="dxa"/>
            <w:tcBorders>
              <w:top w:val="nil"/>
              <w:left w:val="nil"/>
              <w:bottom w:val="nil"/>
              <w:right w:val="single" w:sz="4" w:space="0" w:color="auto"/>
            </w:tcBorders>
            <w:shd w:val="clear" w:color="auto" w:fill="DAEEF3" w:themeFill="accent5" w:themeFillTint="33"/>
            <w:vAlign w:val="center"/>
          </w:tcPr>
          <w:p w14:paraId="4C764C9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13.7</w:t>
            </w:r>
            <w:r w:rsidRPr="00AF3A24">
              <w:rPr>
                <w:rFonts w:asciiTheme="minorHAnsi" w:hAnsiTheme="minorHAnsi"/>
                <w:bCs/>
                <w:color w:val="000000"/>
                <w:sz w:val="16"/>
                <w:szCs w:val="16"/>
              </w:rPr>
              <w:br/>
              <w:t>(11.7 - 15.6)</w:t>
            </w:r>
          </w:p>
        </w:tc>
        <w:tc>
          <w:tcPr>
            <w:tcW w:w="708" w:type="dxa"/>
            <w:tcBorders>
              <w:top w:val="nil"/>
              <w:left w:val="nil"/>
              <w:bottom w:val="nil"/>
              <w:right w:val="nil"/>
            </w:tcBorders>
            <w:shd w:val="clear" w:color="auto" w:fill="DAEEF3" w:themeFill="accent5" w:themeFillTint="33"/>
            <w:vAlign w:val="center"/>
          </w:tcPr>
          <w:p w14:paraId="716524C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113</w:t>
            </w:r>
          </w:p>
        </w:tc>
        <w:tc>
          <w:tcPr>
            <w:tcW w:w="1058" w:type="dxa"/>
            <w:tcBorders>
              <w:top w:val="nil"/>
              <w:left w:val="nil"/>
              <w:bottom w:val="nil"/>
              <w:right w:val="single" w:sz="4" w:space="0" w:color="auto"/>
            </w:tcBorders>
            <w:shd w:val="clear" w:color="auto" w:fill="DAEEF3" w:themeFill="accent5" w:themeFillTint="33"/>
            <w:vAlign w:val="center"/>
          </w:tcPr>
          <w:p w14:paraId="5040E40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w:t>
            </w:r>
            <w:r w:rsidRPr="00AF3A24">
              <w:rPr>
                <w:rFonts w:asciiTheme="minorHAnsi" w:hAnsiTheme="minorHAnsi"/>
                <w:bCs/>
                <w:color w:val="000000"/>
                <w:sz w:val="16"/>
                <w:szCs w:val="16"/>
              </w:rPr>
              <w:br/>
              <w:t>(4.2 - 6.6)</w:t>
            </w:r>
          </w:p>
        </w:tc>
        <w:tc>
          <w:tcPr>
            <w:tcW w:w="708" w:type="dxa"/>
            <w:tcBorders>
              <w:top w:val="nil"/>
              <w:left w:val="nil"/>
              <w:bottom w:val="nil"/>
              <w:right w:val="nil"/>
            </w:tcBorders>
            <w:shd w:val="clear" w:color="auto" w:fill="DAEEF3" w:themeFill="accent5" w:themeFillTint="33"/>
            <w:vAlign w:val="center"/>
          </w:tcPr>
          <w:p w14:paraId="64788C3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p>
        </w:tc>
        <w:tc>
          <w:tcPr>
            <w:tcW w:w="1058" w:type="dxa"/>
            <w:tcBorders>
              <w:top w:val="nil"/>
              <w:left w:val="nil"/>
              <w:bottom w:val="nil"/>
              <w:right w:val="single" w:sz="4" w:space="0" w:color="auto"/>
            </w:tcBorders>
            <w:shd w:val="clear" w:color="auto" w:fill="DAEEF3" w:themeFill="accent5" w:themeFillTint="33"/>
            <w:vAlign w:val="center"/>
          </w:tcPr>
          <w:p w14:paraId="7FA862E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r w:rsidRPr="00AF3A24">
              <w:rPr>
                <w:rFonts w:asciiTheme="minorHAnsi" w:hAnsiTheme="minorHAnsi"/>
                <w:bCs/>
                <w:color w:val="000000"/>
                <w:sz w:val="16"/>
                <w:szCs w:val="16"/>
              </w:rPr>
              <w:br/>
              <w:t>(1.4 - 2.9)</w:t>
            </w:r>
          </w:p>
        </w:tc>
        <w:tc>
          <w:tcPr>
            <w:tcW w:w="780" w:type="dxa"/>
            <w:vMerge/>
            <w:tcBorders>
              <w:left w:val="nil"/>
              <w:right w:val="single" w:sz="4" w:space="0" w:color="auto"/>
            </w:tcBorders>
            <w:shd w:val="clear" w:color="auto" w:fill="DAEEF3" w:themeFill="accent5" w:themeFillTint="33"/>
            <w:vAlign w:val="center"/>
          </w:tcPr>
          <w:p w14:paraId="79E8712B"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5F5D4BD7" w14:textId="77777777" w:rsidTr="00E32510">
        <w:tc>
          <w:tcPr>
            <w:tcW w:w="1057" w:type="dxa"/>
            <w:vMerge/>
            <w:shd w:val="clear" w:color="auto" w:fill="DAEEF3" w:themeFill="accent5" w:themeFillTint="33"/>
            <w:vAlign w:val="center"/>
          </w:tcPr>
          <w:p w14:paraId="741E8B59"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52D4C520"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14" w:type="dxa"/>
            <w:tcBorders>
              <w:top w:val="nil"/>
              <w:bottom w:val="nil"/>
              <w:right w:val="nil"/>
            </w:tcBorders>
            <w:shd w:val="clear" w:color="auto" w:fill="DAEEF3" w:themeFill="accent5" w:themeFillTint="33"/>
            <w:vAlign w:val="center"/>
          </w:tcPr>
          <w:p w14:paraId="479B36C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870</w:t>
            </w:r>
          </w:p>
        </w:tc>
        <w:tc>
          <w:tcPr>
            <w:tcW w:w="1058" w:type="dxa"/>
            <w:tcBorders>
              <w:top w:val="nil"/>
              <w:left w:val="nil"/>
              <w:bottom w:val="nil"/>
              <w:right w:val="single" w:sz="4" w:space="0" w:color="auto"/>
            </w:tcBorders>
            <w:shd w:val="clear" w:color="auto" w:fill="DAEEF3" w:themeFill="accent5" w:themeFillTint="33"/>
            <w:vAlign w:val="center"/>
          </w:tcPr>
          <w:p w14:paraId="2890C46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38.9</w:t>
            </w:r>
            <w:r w:rsidRPr="00AF3A24">
              <w:rPr>
                <w:rFonts w:asciiTheme="minorHAnsi" w:hAnsiTheme="minorHAnsi"/>
                <w:bCs/>
                <w:color w:val="000000"/>
                <w:sz w:val="16"/>
                <w:szCs w:val="16"/>
              </w:rPr>
              <w:br/>
              <w:t>(36.1 - 41.8)</w:t>
            </w:r>
          </w:p>
        </w:tc>
        <w:tc>
          <w:tcPr>
            <w:tcW w:w="714" w:type="dxa"/>
            <w:tcBorders>
              <w:top w:val="nil"/>
              <w:left w:val="nil"/>
              <w:bottom w:val="nil"/>
              <w:right w:val="nil"/>
            </w:tcBorders>
            <w:shd w:val="clear" w:color="auto" w:fill="DAEEF3" w:themeFill="accent5" w:themeFillTint="33"/>
            <w:vAlign w:val="center"/>
          </w:tcPr>
          <w:p w14:paraId="54CAD2D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808</w:t>
            </w:r>
          </w:p>
        </w:tc>
        <w:tc>
          <w:tcPr>
            <w:tcW w:w="1058" w:type="dxa"/>
            <w:tcBorders>
              <w:top w:val="nil"/>
              <w:left w:val="nil"/>
              <w:bottom w:val="nil"/>
              <w:right w:val="single" w:sz="4" w:space="0" w:color="auto"/>
            </w:tcBorders>
            <w:shd w:val="clear" w:color="auto" w:fill="DAEEF3" w:themeFill="accent5" w:themeFillTint="33"/>
            <w:vAlign w:val="center"/>
          </w:tcPr>
          <w:p w14:paraId="040884B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39.7</w:t>
            </w:r>
            <w:r w:rsidRPr="00AF3A24">
              <w:rPr>
                <w:rFonts w:asciiTheme="minorHAnsi" w:hAnsiTheme="minorHAnsi"/>
                <w:bCs/>
                <w:color w:val="000000"/>
                <w:sz w:val="16"/>
                <w:szCs w:val="16"/>
              </w:rPr>
              <w:br/>
              <w:t>(37.0 - 42.5)</w:t>
            </w:r>
          </w:p>
        </w:tc>
        <w:tc>
          <w:tcPr>
            <w:tcW w:w="714" w:type="dxa"/>
            <w:tcBorders>
              <w:top w:val="nil"/>
              <w:left w:val="nil"/>
              <w:bottom w:val="nil"/>
              <w:right w:val="nil"/>
            </w:tcBorders>
            <w:shd w:val="clear" w:color="auto" w:fill="DAEEF3" w:themeFill="accent5" w:themeFillTint="33"/>
            <w:vAlign w:val="center"/>
          </w:tcPr>
          <w:p w14:paraId="55D9045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285</w:t>
            </w:r>
          </w:p>
        </w:tc>
        <w:tc>
          <w:tcPr>
            <w:tcW w:w="1058" w:type="dxa"/>
            <w:tcBorders>
              <w:top w:val="nil"/>
              <w:left w:val="nil"/>
              <w:bottom w:val="nil"/>
              <w:right w:val="single" w:sz="4" w:space="0" w:color="auto"/>
            </w:tcBorders>
            <w:shd w:val="clear" w:color="auto" w:fill="DAEEF3" w:themeFill="accent5" w:themeFillTint="33"/>
            <w:vAlign w:val="center"/>
          </w:tcPr>
          <w:p w14:paraId="0187D0C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13.9</w:t>
            </w:r>
            <w:r w:rsidRPr="00AF3A24">
              <w:rPr>
                <w:rFonts w:asciiTheme="minorHAnsi" w:hAnsiTheme="minorHAnsi"/>
                <w:bCs/>
                <w:color w:val="000000"/>
                <w:sz w:val="16"/>
                <w:szCs w:val="16"/>
              </w:rPr>
              <w:br/>
              <w:t>(11.8 - 16.0)</w:t>
            </w:r>
          </w:p>
        </w:tc>
        <w:tc>
          <w:tcPr>
            <w:tcW w:w="708" w:type="dxa"/>
            <w:tcBorders>
              <w:top w:val="nil"/>
              <w:left w:val="nil"/>
              <w:bottom w:val="nil"/>
              <w:right w:val="nil"/>
            </w:tcBorders>
            <w:shd w:val="clear" w:color="auto" w:fill="DAEEF3" w:themeFill="accent5" w:themeFillTint="33"/>
            <w:vAlign w:val="center"/>
          </w:tcPr>
          <w:p w14:paraId="52620A7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102</w:t>
            </w:r>
          </w:p>
        </w:tc>
        <w:tc>
          <w:tcPr>
            <w:tcW w:w="1058" w:type="dxa"/>
            <w:tcBorders>
              <w:top w:val="nil"/>
              <w:left w:val="nil"/>
              <w:bottom w:val="nil"/>
              <w:right w:val="single" w:sz="4" w:space="0" w:color="auto"/>
            </w:tcBorders>
            <w:shd w:val="clear" w:color="auto" w:fill="DAEEF3" w:themeFill="accent5" w:themeFillTint="33"/>
            <w:vAlign w:val="center"/>
          </w:tcPr>
          <w:p w14:paraId="163911D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r w:rsidRPr="00AF3A24">
              <w:rPr>
                <w:rFonts w:asciiTheme="minorHAnsi" w:hAnsiTheme="minorHAnsi"/>
                <w:bCs/>
                <w:color w:val="000000"/>
                <w:sz w:val="16"/>
                <w:szCs w:val="16"/>
              </w:rPr>
              <w:br/>
              <w:t>(3.4 - 5.5)</w:t>
            </w:r>
          </w:p>
        </w:tc>
        <w:tc>
          <w:tcPr>
            <w:tcW w:w="708" w:type="dxa"/>
            <w:tcBorders>
              <w:top w:val="nil"/>
              <w:left w:val="nil"/>
              <w:bottom w:val="nil"/>
              <w:right w:val="nil"/>
            </w:tcBorders>
            <w:shd w:val="clear" w:color="auto" w:fill="DAEEF3" w:themeFill="accent5" w:themeFillTint="33"/>
            <w:vAlign w:val="center"/>
          </w:tcPr>
          <w:p w14:paraId="266F0FE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p>
        </w:tc>
        <w:tc>
          <w:tcPr>
            <w:tcW w:w="1058" w:type="dxa"/>
            <w:tcBorders>
              <w:top w:val="nil"/>
              <w:left w:val="nil"/>
              <w:bottom w:val="nil"/>
              <w:right w:val="single" w:sz="4" w:space="0" w:color="auto"/>
            </w:tcBorders>
            <w:shd w:val="clear" w:color="auto" w:fill="DAEEF3" w:themeFill="accent5" w:themeFillTint="33"/>
            <w:vAlign w:val="center"/>
          </w:tcPr>
          <w:p w14:paraId="0DC292E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(2.0 - 4.0)</w:t>
            </w:r>
          </w:p>
        </w:tc>
        <w:tc>
          <w:tcPr>
            <w:tcW w:w="780" w:type="dxa"/>
            <w:vMerge/>
            <w:tcBorders>
              <w:left w:val="nil"/>
              <w:right w:val="single" w:sz="4" w:space="0" w:color="auto"/>
            </w:tcBorders>
            <w:shd w:val="clear" w:color="auto" w:fill="DAEEF3" w:themeFill="accent5" w:themeFillTint="33"/>
            <w:vAlign w:val="center"/>
          </w:tcPr>
          <w:p w14:paraId="7C8A43F0"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593B7CF1" w14:textId="77777777" w:rsidTr="00E32510">
        <w:tc>
          <w:tcPr>
            <w:tcW w:w="1057" w:type="dxa"/>
            <w:vMerge/>
            <w:shd w:val="clear" w:color="auto" w:fill="DAEEF3" w:themeFill="accent5" w:themeFillTint="33"/>
            <w:vAlign w:val="center"/>
          </w:tcPr>
          <w:p w14:paraId="1933687A"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643BBCFA"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14" w:type="dxa"/>
            <w:tcBorders>
              <w:top w:val="nil"/>
              <w:bottom w:val="nil"/>
              <w:right w:val="nil"/>
            </w:tcBorders>
            <w:shd w:val="clear" w:color="auto" w:fill="DAEEF3" w:themeFill="accent5" w:themeFillTint="33"/>
            <w:vAlign w:val="center"/>
          </w:tcPr>
          <w:p w14:paraId="62CDA68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784</w:t>
            </w:r>
          </w:p>
        </w:tc>
        <w:tc>
          <w:tcPr>
            <w:tcW w:w="1058" w:type="dxa"/>
            <w:tcBorders>
              <w:top w:val="nil"/>
              <w:left w:val="nil"/>
              <w:bottom w:val="nil"/>
              <w:right w:val="single" w:sz="4" w:space="0" w:color="auto"/>
            </w:tcBorders>
            <w:shd w:val="clear" w:color="auto" w:fill="DAEEF3" w:themeFill="accent5" w:themeFillTint="33"/>
            <w:vAlign w:val="center"/>
          </w:tcPr>
          <w:p w14:paraId="067B400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40.8</w:t>
            </w:r>
            <w:r w:rsidRPr="00AF3A24">
              <w:rPr>
                <w:rFonts w:asciiTheme="minorHAnsi" w:hAnsiTheme="minorHAnsi"/>
                <w:bCs/>
                <w:color w:val="000000"/>
                <w:sz w:val="16"/>
                <w:szCs w:val="16"/>
              </w:rPr>
              <w:br/>
              <w:t>(37.9 - 43.7)</w:t>
            </w:r>
          </w:p>
        </w:tc>
        <w:tc>
          <w:tcPr>
            <w:tcW w:w="714" w:type="dxa"/>
            <w:tcBorders>
              <w:top w:val="nil"/>
              <w:left w:val="nil"/>
              <w:bottom w:val="nil"/>
              <w:right w:val="nil"/>
            </w:tcBorders>
            <w:shd w:val="clear" w:color="auto" w:fill="DAEEF3" w:themeFill="accent5" w:themeFillTint="33"/>
            <w:vAlign w:val="center"/>
          </w:tcPr>
          <w:p w14:paraId="4152EC2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757</w:t>
            </w:r>
          </w:p>
        </w:tc>
        <w:tc>
          <w:tcPr>
            <w:tcW w:w="1058" w:type="dxa"/>
            <w:tcBorders>
              <w:top w:val="nil"/>
              <w:left w:val="nil"/>
              <w:bottom w:val="nil"/>
              <w:right w:val="single" w:sz="4" w:space="0" w:color="auto"/>
            </w:tcBorders>
            <w:shd w:val="clear" w:color="auto" w:fill="DAEEF3" w:themeFill="accent5" w:themeFillTint="33"/>
            <w:vAlign w:val="center"/>
          </w:tcPr>
          <w:p w14:paraId="2539ADA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38.6</w:t>
            </w:r>
            <w:r w:rsidRPr="00AF3A24">
              <w:rPr>
                <w:rFonts w:asciiTheme="minorHAnsi" w:hAnsiTheme="minorHAnsi"/>
                <w:bCs/>
                <w:color w:val="000000"/>
                <w:sz w:val="16"/>
                <w:szCs w:val="16"/>
              </w:rPr>
              <w:br/>
              <w:t>(35.8 - 41.4)</w:t>
            </w:r>
          </w:p>
        </w:tc>
        <w:tc>
          <w:tcPr>
            <w:tcW w:w="714" w:type="dxa"/>
            <w:tcBorders>
              <w:top w:val="nil"/>
              <w:left w:val="nil"/>
              <w:bottom w:val="nil"/>
              <w:right w:val="nil"/>
            </w:tcBorders>
            <w:shd w:val="clear" w:color="auto" w:fill="DAEEF3" w:themeFill="accent5" w:themeFillTint="33"/>
            <w:vAlign w:val="center"/>
          </w:tcPr>
          <w:p w14:paraId="30C8406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257</w:t>
            </w:r>
          </w:p>
        </w:tc>
        <w:tc>
          <w:tcPr>
            <w:tcW w:w="1058" w:type="dxa"/>
            <w:tcBorders>
              <w:top w:val="nil"/>
              <w:left w:val="nil"/>
              <w:bottom w:val="nil"/>
              <w:right w:val="single" w:sz="4" w:space="0" w:color="auto"/>
            </w:tcBorders>
            <w:shd w:val="clear" w:color="auto" w:fill="DAEEF3" w:themeFill="accent5" w:themeFillTint="33"/>
            <w:vAlign w:val="center"/>
          </w:tcPr>
          <w:p w14:paraId="0D5A991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w:t>
            </w:r>
            <w:r w:rsidRPr="00AF3A24">
              <w:rPr>
                <w:rFonts w:asciiTheme="minorHAnsi" w:hAnsiTheme="minorHAnsi"/>
                <w:bCs/>
                <w:color w:val="000000"/>
                <w:sz w:val="16"/>
                <w:szCs w:val="16"/>
              </w:rPr>
              <w:br/>
              <w:t>(11.1 - 14.7)</w:t>
            </w:r>
          </w:p>
        </w:tc>
        <w:tc>
          <w:tcPr>
            <w:tcW w:w="708" w:type="dxa"/>
            <w:tcBorders>
              <w:top w:val="nil"/>
              <w:left w:val="nil"/>
              <w:bottom w:val="nil"/>
              <w:right w:val="nil"/>
            </w:tcBorders>
            <w:shd w:val="clear" w:color="auto" w:fill="DAEEF3" w:themeFill="accent5" w:themeFillTint="33"/>
            <w:vAlign w:val="center"/>
          </w:tcPr>
          <w:p w14:paraId="67B0B92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w:t>
            </w:r>
          </w:p>
        </w:tc>
        <w:tc>
          <w:tcPr>
            <w:tcW w:w="1058" w:type="dxa"/>
            <w:tcBorders>
              <w:top w:val="nil"/>
              <w:left w:val="nil"/>
              <w:bottom w:val="nil"/>
              <w:right w:val="single" w:sz="4" w:space="0" w:color="auto"/>
            </w:tcBorders>
            <w:shd w:val="clear" w:color="auto" w:fill="DAEEF3" w:themeFill="accent5" w:themeFillTint="33"/>
            <w:vAlign w:val="center"/>
          </w:tcPr>
          <w:p w14:paraId="01BB581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r w:rsidRPr="00AF3A24">
              <w:rPr>
                <w:rFonts w:asciiTheme="minorHAnsi" w:hAnsiTheme="minorHAnsi"/>
                <w:bCs/>
                <w:color w:val="000000"/>
                <w:sz w:val="16"/>
                <w:szCs w:val="16"/>
              </w:rPr>
              <w:br/>
              <w:t>(3.6 - 5.9)</w:t>
            </w:r>
          </w:p>
        </w:tc>
        <w:tc>
          <w:tcPr>
            <w:tcW w:w="708" w:type="dxa"/>
            <w:tcBorders>
              <w:top w:val="nil"/>
              <w:left w:val="nil"/>
              <w:bottom w:val="nil"/>
              <w:right w:val="nil"/>
            </w:tcBorders>
            <w:shd w:val="clear" w:color="auto" w:fill="DAEEF3" w:themeFill="accent5" w:themeFillTint="33"/>
            <w:vAlign w:val="center"/>
          </w:tcPr>
          <w:p w14:paraId="0B30600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w:t>
            </w:r>
          </w:p>
        </w:tc>
        <w:tc>
          <w:tcPr>
            <w:tcW w:w="1058" w:type="dxa"/>
            <w:tcBorders>
              <w:top w:val="nil"/>
              <w:left w:val="nil"/>
              <w:bottom w:val="nil"/>
              <w:right w:val="single" w:sz="4" w:space="0" w:color="auto"/>
            </w:tcBorders>
            <w:shd w:val="clear" w:color="auto" w:fill="DAEEF3" w:themeFill="accent5" w:themeFillTint="33"/>
            <w:vAlign w:val="center"/>
          </w:tcPr>
          <w:p w14:paraId="59E099F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(2.1 - 4.0)</w:t>
            </w:r>
          </w:p>
        </w:tc>
        <w:tc>
          <w:tcPr>
            <w:tcW w:w="780" w:type="dxa"/>
            <w:vMerge/>
            <w:tcBorders>
              <w:left w:val="nil"/>
              <w:right w:val="single" w:sz="4" w:space="0" w:color="auto"/>
            </w:tcBorders>
            <w:shd w:val="clear" w:color="auto" w:fill="DAEEF3" w:themeFill="accent5" w:themeFillTint="33"/>
            <w:vAlign w:val="center"/>
          </w:tcPr>
          <w:p w14:paraId="187EF2F6"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3C495BC7" w14:textId="77777777" w:rsidTr="00E32510">
        <w:tc>
          <w:tcPr>
            <w:tcW w:w="1057" w:type="dxa"/>
            <w:vMerge/>
            <w:tcBorders>
              <w:bottom w:val="nil"/>
            </w:tcBorders>
            <w:shd w:val="clear" w:color="auto" w:fill="DAEEF3" w:themeFill="accent5" w:themeFillTint="33"/>
            <w:vAlign w:val="center"/>
          </w:tcPr>
          <w:p w14:paraId="5A34FE85"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3E150D68"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14" w:type="dxa"/>
            <w:tcBorders>
              <w:top w:val="nil"/>
              <w:bottom w:val="nil"/>
              <w:right w:val="nil"/>
            </w:tcBorders>
            <w:shd w:val="clear" w:color="auto" w:fill="DAEEF3" w:themeFill="accent5" w:themeFillTint="33"/>
            <w:vAlign w:val="center"/>
          </w:tcPr>
          <w:p w14:paraId="48B0277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1,324</w:t>
            </w:r>
          </w:p>
        </w:tc>
        <w:tc>
          <w:tcPr>
            <w:tcW w:w="1058" w:type="dxa"/>
            <w:tcBorders>
              <w:top w:val="nil"/>
              <w:left w:val="nil"/>
              <w:bottom w:val="nil"/>
              <w:right w:val="single" w:sz="4" w:space="0" w:color="auto"/>
            </w:tcBorders>
            <w:shd w:val="clear" w:color="auto" w:fill="DAEEF3" w:themeFill="accent5" w:themeFillTint="33"/>
            <w:vAlign w:val="center"/>
          </w:tcPr>
          <w:p w14:paraId="28E80F6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w:t>
            </w:r>
            <w:r w:rsidRPr="00AF3A24">
              <w:rPr>
                <w:rFonts w:asciiTheme="minorHAnsi" w:hAnsiTheme="minorHAnsi"/>
                <w:bCs/>
                <w:color w:val="000000"/>
                <w:sz w:val="16"/>
                <w:szCs w:val="16"/>
              </w:rPr>
              <w:br/>
              <w:t>(45.1 - 50.3)</w:t>
            </w:r>
          </w:p>
        </w:tc>
        <w:tc>
          <w:tcPr>
            <w:tcW w:w="714" w:type="dxa"/>
            <w:tcBorders>
              <w:top w:val="nil"/>
              <w:left w:val="nil"/>
              <w:bottom w:val="nil"/>
              <w:right w:val="nil"/>
            </w:tcBorders>
            <w:shd w:val="clear" w:color="auto" w:fill="DAEEF3" w:themeFill="accent5" w:themeFillTint="33"/>
            <w:vAlign w:val="center"/>
          </w:tcPr>
          <w:p w14:paraId="69A2A05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950</w:t>
            </w:r>
          </w:p>
        </w:tc>
        <w:tc>
          <w:tcPr>
            <w:tcW w:w="1058" w:type="dxa"/>
            <w:tcBorders>
              <w:top w:val="nil"/>
              <w:left w:val="nil"/>
              <w:bottom w:val="nil"/>
              <w:right w:val="single" w:sz="4" w:space="0" w:color="auto"/>
            </w:tcBorders>
            <w:shd w:val="clear" w:color="auto" w:fill="DAEEF3" w:themeFill="accent5" w:themeFillTint="33"/>
            <w:vAlign w:val="center"/>
          </w:tcPr>
          <w:p w14:paraId="1EEE8BA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36.3</w:t>
            </w:r>
            <w:r w:rsidRPr="00AF3A24">
              <w:rPr>
                <w:rFonts w:asciiTheme="minorHAnsi" w:hAnsiTheme="minorHAnsi"/>
                <w:bCs/>
                <w:color w:val="000000"/>
                <w:sz w:val="16"/>
                <w:szCs w:val="16"/>
              </w:rPr>
              <w:br/>
              <w:t>(34.0 - 38.6)</w:t>
            </w:r>
          </w:p>
        </w:tc>
        <w:tc>
          <w:tcPr>
            <w:tcW w:w="714" w:type="dxa"/>
            <w:tcBorders>
              <w:top w:val="nil"/>
              <w:left w:val="nil"/>
              <w:bottom w:val="nil"/>
              <w:right w:val="nil"/>
            </w:tcBorders>
            <w:shd w:val="clear" w:color="auto" w:fill="DAEEF3" w:themeFill="accent5" w:themeFillTint="33"/>
            <w:vAlign w:val="center"/>
          </w:tcPr>
          <w:p w14:paraId="4070D2F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302</w:t>
            </w:r>
          </w:p>
        </w:tc>
        <w:tc>
          <w:tcPr>
            <w:tcW w:w="1058" w:type="dxa"/>
            <w:tcBorders>
              <w:top w:val="nil"/>
              <w:left w:val="nil"/>
              <w:bottom w:val="nil"/>
              <w:right w:val="single" w:sz="4" w:space="0" w:color="auto"/>
            </w:tcBorders>
            <w:shd w:val="clear" w:color="auto" w:fill="DAEEF3" w:themeFill="accent5" w:themeFillTint="33"/>
            <w:vAlign w:val="center"/>
          </w:tcPr>
          <w:p w14:paraId="435A689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r w:rsidRPr="00AF3A24">
              <w:rPr>
                <w:rFonts w:asciiTheme="minorHAnsi" w:hAnsiTheme="minorHAnsi"/>
                <w:bCs/>
                <w:color w:val="000000"/>
                <w:sz w:val="16"/>
                <w:szCs w:val="16"/>
              </w:rPr>
              <w:br/>
              <w:t>(10.4 - 13.7)</w:t>
            </w:r>
          </w:p>
        </w:tc>
        <w:tc>
          <w:tcPr>
            <w:tcW w:w="708" w:type="dxa"/>
            <w:tcBorders>
              <w:top w:val="nil"/>
              <w:left w:val="nil"/>
              <w:bottom w:val="nil"/>
              <w:right w:val="nil"/>
            </w:tcBorders>
            <w:shd w:val="clear" w:color="auto" w:fill="DAEEF3" w:themeFill="accent5" w:themeFillTint="33"/>
            <w:vAlign w:val="center"/>
          </w:tcPr>
          <w:p w14:paraId="7E6BED7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79</w:t>
            </w:r>
          </w:p>
        </w:tc>
        <w:tc>
          <w:tcPr>
            <w:tcW w:w="1058" w:type="dxa"/>
            <w:tcBorders>
              <w:top w:val="nil"/>
              <w:left w:val="nil"/>
              <w:bottom w:val="nil"/>
              <w:right w:val="single" w:sz="4" w:space="0" w:color="auto"/>
            </w:tcBorders>
            <w:shd w:val="clear" w:color="auto" w:fill="DAEEF3" w:themeFill="accent5" w:themeFillTint="33"/>
            <w:vAlign w:val="center"/>
          </w:tcPr>
          <w:p w14:paraId="0D81719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(2.0 - 3.5)</w:t>
            </w:r>
          </w:p>
        </w:tc>
        <w:tc>
          <w:tcPr>
            <w:tcW w:w="708" w:type="dxa"/>
            <w:tcBorders>
              <w:top w:val="nil"/>
              <w:left w:val="nil"/>
              <w:bottom w:val="nil"/>
              <w:right w:val="nil"/>
            </w:tcBorders>
            <w:shd w:val="clear" w:color="auto" w:fill="DAEEF3" w:themeFill="accent5" w:themeFillTint="33"/>
            <w:vAlign w:val="center"/>
          </w:tcPr>
          <w:p w14:paraId="39F0018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058" w:type="dxa"/>
            <w:tcBorders>
              <w:top w:val="nil"/>
              <w:left w:val="nil"/>
              <w:bottom w:val="nil"/>
              <w:right w:val="single" w:sz="4" w:space="0" w:color="auto"/>
            </w:tcBorders>
            <w:shd w:val="clear" w:color="auto" w:fill="DAEEF3" w:themeFill="accent5" w:themeFillTint="33"/>
            <w:vAlign w:val="center"/>
          </w:tcPr>
          <w:p w14:paraId="4777770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(0.8 - 1.8)</w:t>
            </w:r>
          </w:p>
        </w:tc>
        <w:tc>
          <w:tcPr>
            <w:tcW w:w="780" w:type="dxa"/>
            <w:vMerge/>
            <w:tcBorders>
              <w:left w:val="nil"/>
              <w:bottom w:val="nil"/>
              <w:right w:val="single" w:sz="4" w:space="0" w:color="auto"/>
            </w:tcBorders>
            <w:shd w:val="clear" w:color="auto" w:fill="DAEEF3" w:themeFill="accent5" w:themeFillTint="33"/>
            <w:vAlign w:val="center"/>
          </w:tcPr>
          <w:p w14:paraId="4D1F13D9"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6E4D4244" w14:textId="77777777" w:rsidTr="00E32510">
        <w:tc>
          <w:tcPr>
            <w:tcW w:w="1057" w:type="dxa"/>
            <w:vMerge w:val="restart"/>
            <w:tcBorders>
              <w:top w:val="single" w:sz="4" w:space="0" w:color="auto"/>
            </w:tcBorders>
            <w:shd w:val="clear" w:color="auto" w:fill="DAEEF3" w:themeFill="accent5" w:themeFillTint="33"/>
            <w:vAlign w:val="center"/>
          </w:tcPr>
          <w:p w14:paraId="6552A301" w14:textId="77777777" w:rsidR="00AB5CC7" w:rsidRPr="00AF3A24" w:rsidRDefault="00AB5CC7" w:rsidP="00E32510">
            <w:pPr>
              <w:spacing w:before="0" w:line="240" w:lineRule="auto"/>
              <w:ind w:left="-41"/>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r w:rsidRPr="00AF3A24">
              <w:rPr>
                <w:rFonts w:asciiTheme="minorHAnsi" w:hAnsiTheme="minorHAnsi" w:cstheme="minorHAnsi"/>
                <w:sz w:val="16"/>
                <w:szCs w:val="16"/>
                <w:vertAlign w:val="superscript"/>
              </w:rPr>
              <w:t>2</w:t>
            </w:r>
          </w:p>
        </w:tc>
        <w:tc>
          <w:tcPr>
            <w:tcW w:w="990" w:type="dxa"/>
            <w:tcBorders>
              <w:top w:val="single" w:sz="4" w:space="0" w:color="auto"/>
              <w:bottom w:val="nil"/>
            </w:tcBorders>
            <w:shd w:val="clear" w:color="auto" w:fill="DAEEF3" w:themeFill="accent5" w:themeFillTint="33"/>
            <w:vAlign w:val="center"/>
          </w:tcPr>
          <w:p w14:paraId="2E4442AB"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14" w:type="dxa"/>
            <w:tcBorders>
              <w:bottom w:val="nil"/>
              <w:right w:val="nil"/>
            </w:tcBorders>
            <w:shd w:val="clear" w:color="auto" w:fill="DAEEF3" w:themeFill="accent5" w:themeFillTint="33"/>
            <w:vAlign w:val="center"/>
          </w:tcPr>
          <w:p w14:paraId="0BBE63C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1,178</w:t>
            </w:r>
          </w:p>
        </w:tc>
        <w:tc>
          <w:tcPr>
            <w:tcW w:w="1058" w:type="dxa"/>
            <w:tcBorders>
              <w:left w:val="nil"/>
              <w:bottom w:val="nil"/>
              <w:right w:val="single" w:sz="4" w:space="0" w:color="auto"/>
            </w:tcBorders>
            <w:shd w:val="clear" w:color="auto" w:fill="DAEEF3" w:themeFill="accent5" w:themeFillTint="33"/>
            <w:vAlign w:val="center"/>
          </w:tcPr>
          <w:p w14:paraId="220691F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45.9</w:t>
            </w:r>
          </w:p>
          <w:p w14:paraId="711ADEA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(43.2 - 48.6)</w:t>
            </w:r>
          </w:p>
        </w:tc>
        <w:tc>
          <w:tcPr>
            <w:tcW w:w="714" w:type="dxa"/>
            <w:tcBorders>
              <w:left w:val="nil"/>
              <w:bottom w:val="nil"/>
              <w:right w:val="nil"/>
            </w:tcBorders>
            <w:shd w:val="clear" w:color="auto" w:fill="DAEEF3" w:themeFill="accent5" w:themeFillTint="33"/>
            <w:vAlign w:val="center"/>
          </w:tcPr>
          <w:p w14:paraId="2EDC039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831</w:t>
            </w:r>
          </w:p>
        </w:tc>
        <w:tc>
          <w:tcPr>
            <w:tcW w:w="1058" w:type="dxa"/>
            <w:tcBorders>
              <w:left w:val="nil"/>
              <w:bottom w:val="nil"/>
              <w:right w:val="single" w:sz="4" w:space="0" w:color="auto"/>
            </w:tcBorders>
            <w:shd w:val="clear" w:color="auto" w:fill="DAEEF3" w:themeFill="accent5" w:themeFillTint="33"/>
            <w:vAlign w:val="center"/>
          </w:tcPr>
          <w:p w14:paraId="49833CD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30.4</w:t>
            </w:r>
          </w:p>
          <w:p w14:paraId="4AC183F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(28.1 - 32.7)</w:t>
            </w:r>
          </w:p>
        </w:tc>
        <w:tc>
          <w:tcPr>
            <w:tcW w:w="714" w:type="dxa"/>
            <w:tcBorders>
              <w:left w:val="nil"/>
              <w:bottom w:val="nil"/>
              <w:right w:val="nil"/>
            </w:tcBorders>
            <w:shd w:val="clear" w:color="auto" w:fill="DAEEF3" w:themeFill="accent5" w:themeFillTint="33"/>
            <w:vAlign w:val="center"/>
          </w:tcPr>
          <w:p w14:paraId="7CF019E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346</w:t>
            </w:r>
          </w:p>
        </w:tc>
        <w:tc>
          <w:tcPr>
            <w:tcW w:w="1058" w:type="dxa"/>
            <w:tcBorders>
              <w:left w:val="nil"/>
              <w:bottom w:val="nil"/>
              <w:right w:val="single" w:sz="4" w:space="0" w:color="auto"/>
            </w:tcBorders>
            <w:shd w:val="clear" w:color="auto" w:fill="DAEEF3" w:themeFill="accent5" w:themeFillTint="33"/>
            <w:vAlign w:val="center"/>
          </w:tcPr>
          <w:p w14:paraId="221EB33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p>
          <w:p w14:paraId="0ECD5DC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(11.8 - 15.4)</w:t>
            </w:r>
          </w:p>
        </w:tc>
        <w:tc>
          <w:tcPr>
            <w:tcW w:w="708" w:type="dxa"/>
            <w:tcBorders>
              <w:left w:val="nil"/>
              <w:bottom w:val="nil"/>
              <w:right w:val="nil"/>
            </w:tcBorders>
            <w:shd w:val="clear" w:color="auto" w:fill="DAEEF3" w:themeFill="accent5" w:themeFillTint="33"/>
            <w:vAlign w:val="center"/>
          </w:tcPr>
          <w:p w14:paraId="77947D1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p>
        </w:tc>
        <w:tc>
          <w:tcPr>
            <w:tcW w:w="1058" w:type="dxa"/>
            <w:tcBorders>
              <w:left w:val="nil"/>
              <w:bottom w:val="nil"/>
              <w:right w:val="single" w:sz="4" w:space="0" w:color="auto"/>
            </w:tcBorders>
            <w:shd w:val="clear" w:color="auto" w:fill="DAEEF3" w:themeFill="accent5" w:themeFillTint="33"/>
            <w:vAlign w:val="center"/>
          </w:tcPr>
          <w:p w14:paraId="1690436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w:t>
            </w:r>
          </w:p>
          <w:p w14:paraId="3776DB7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(4.6 - 7.1)</w:t>
            </w:r>
          </w:p>
        </w:tc>
        <w:tc>
          <w:tcPr>
            <w:tcW w:w="708" w:type="dxa"/>
            <w:tcBorders>
              <w:left w:val="nil"/>
              <w:bottom w:val="nil"/>
              <w:right w:val="nil"/>
            </w:tcBorders>
            <w:shd w:val="clear" w:color="auto" w:fill="DAEEF3" w:themeFill="accent5" w:themeFillTint="33"/>
            <w:vAlign w:val="center"/>
          </w:tcPr>
          <w:p w14:paraId="65CDAF7B"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95</w:t>
            </w:r>
          </w:p>
        </w:tc>
        <w:tc>
          <w:tcPr>
            <w:tcW w:w="1058" w:type="dxa"/>
            <w:tcBorders>
              <w:left w:val="nil"/>
              <w:bottom w:val="nil"/>
              <w:right w:val="single" w:sz="4" w:space="0" w:color="auto"/>
            </w:tcBorders>
            <w:shd w:val="clear" w:color="auto" w:fill="DAEEF3" w:themeFill="accent5" w:themeFillTint="33"/>
            <w:vAlign w:val="center"/>
          </w:tcPr>
          <w:p w14:paraId="1ED1E05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p>
          <w:p w14:paraId="74976D1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(3.1 - 5.3)</w:t>
            </w:r>
          </w:p>
        </w:tc>
        <w:tc>
          <w:tcPr>
            <w:tcW w:w="780" w:type="dxa"/>
            <w:vMerge w:val="restart"/>
            <w:tcBorders>
              <w:left w:val="nil"/>
              <w:right w:val="single" w:sz="4" w:space="0" w:color="auto"/>
            </w:tcBorders>
            <w:shd w:val="clear" w:color="auto" w:fill="DAEEF3" w:themeFill="accent5" w:themeFillTint="33"/>
            <w:vAlign w:val="center"/>
          </w:tcPr>
          <w:p w14:paraId="7040501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&lt;.0001</w:t>
            </w:r>
          </w:p>
        </w:tc>
      </w:tr>
      <w:tr w:rsidR="00E1507C" w:rsidRPr="00AF3A24" w14:paraId="0B367485" w14:textId="77777777" w:rsidTr="00E32510">
        <w:tc>
          <w:tcPr>
            <w:tcW w:w="1057" w:type="dxa"/>
            <w:vMerge/>
            <w:shd w:val="clear" w:color="auto" w:fill="DAEEF3" w:themeFill="accent5" w:themeFillTint="33"/>
            <w:vAlign w:val="center"/>
          </w:tcPr>
          <w:p w14:paraId="24F428A9" w14:textId="77777777" w:rsidR="00E1507C" w:rsidRPr="00AF3A24" w:rsidRDefault="00E1507C"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45C89BE8"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14" w:type="dxa"/>
            <w:tcBorders>
              <w:top w:val="nil"/>
              <w:bottom w:val="nil"/>
              <w:right w:val="nil"/>
            </w:tcBorders>
            <w:shd w:val="clear" w:color="auto" w:fill="DAEEF3" w:themeFill="accent5" w:themeFillTint="33"/>
            <w:vAlign w:val="center"/>
          </w:tcPr>
          <w:p w14:paraId="3C11FC2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541</w:t>
            </w:r>
          </w:p>
        </w:tc>
        <w:tc>
          <w:tcPr>
            <w:tcW w:w="1058" w:type="dxa"/>
            <w:tcBorders>
              <w:top w:val="nil"/>
              <w:left w:val="nil"/>
              <w:bottom w:val="nil"/>
              <w:right w:val="single" w:sz="4" w:space="0" w:color="auto"/>
            </w:tcBorders>
            <w:shd w:val="clear" w:color="auto" w:fill="DAEEF3" w:themeFill="accent5" w:themeFillTint="33"/>
            <w:vAlign w:val="center"/>
          </w:tcPr>
          <w:p w14:paraId="190455F1"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51.9</w:t>
            </w:r>
          </w:p>
          <w:p w14:paraId="5661C13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(47.7 - 56.2)</w:t>
            </w:r>
          </w:p>
        </w:tc>
        <w:tc>
          <w:tcPr>
            <w:tcW w:w="714" w:type="dxa"/>
            <w:tcBorders>
              <w:top w:val="nil"/>
              <w:left w:val="nil"/>
              <w:bottom w:val="nil"/>
              <w:right w:val="nil"/>
            </w:tcBorders>
            <w:shd w:val="clear" w:color="auto" w:fill="DAEEF3" w:themeFill="accent5" w:themeFillTint="33"/>
            <w:vAlign w:val="center"/>
          </w:tcPr>
          <w:p w14:paraId="7F3F0DF5"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270</w:t>
            </w:r>
          </w:p>
        </w:tc>
        <w:tc>
          <w:tcPr>
            <w:tcW w:w="1058" w:type="dxa"/>
            <w:tcBorders>
              <w:top w:val="nil"/>
              <w:left w:val="nil"/>
              <w:bottom w:val="nil"/>
              <w:right w:val="single" w:sz="4" w:space="0" w:color="auto"/>
            </w:tcBorders>
            <w:shd w:val="clear" w:color="auto" w:fill="DAEEF3" w:themeFill="accent5" w:themeFillTint="33"/>
            <w:vAlign w:val="center"/>
          </w:tcPr>
          <w:p w14:paraId="3107772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30.5</w:t>
            </w:r>
          </w:p>
          <w:p w14:paraId="0673C6E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(27.1 - 33.9)</w:t>
            </w:r>
          </w:p>
        </w:tc>
        <w:tc>
          <w:tcPr>
            <w:tcW w:w="714" w:type="dxa"/>
            <w:tcBorders>
              <w:top w:val="nil"/>
              <w:left w:val="nil"/>
              <w:bottom w:val="nil"/>
              <w:right w:val="nil"/>
            </w:tcBorders>
            <w:shd w:val="clear" w:color="auto" w:fill="DAEEF3" w:themeFill="accent5" w:themeFillTint="33"/>
            <w:vAlign w:val="center"/>
          </w:tcPr>
          <w:p w14:paraId="22A23F52"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77</w:t>
            </w:r>
          </w:p>
        </w:tc>
        <w:tc>
          <w:tcPr>
            <w:tcW w:w="1058" w:type="dxa"/>
            <w:tcBorders>
              <w:top w:val="nil"/>
              <w:left w:val="nil"/>
              <w:bottom w:val="nil"/>
              <w:right w:val="single" w:sz="4" w:space="0" w:color="auto"/>
            </w:tcBorders>
            <w:shd w:val="clear" w:color="auto" w:fill="DAEEF3" w:themeFill="accent5" w:themeFillTint="33"/>
            <w:vAlign w:val="center"/>
          </w:tcPr>
          <w:p w14:paraId="4563F77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9.2</w:t>
            </w:r>
          </w:p>
          <w:p w14:paraId="271A7A49"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(6.5 - 12.0)</w:t>
            </w:r>
          </w:p>
        </w:tc>
        <w:tc>
          <w:tcPr>
            <w:tcW w:w="708" w:type="dxa"/>
            <w:tcBorders>
              <w:top w:val="nil"/>
              <w:left w:val="nil"/>
              <w:bottom w:val="nil"/>
              <w:right w:val="nil"/>
            </w:tcBorders>
            <w:shd w:val="clear" w:color="auto" w:fill="DAEEF3" w:themeFill="accent5" w:themeFillTint="33"/>
            <w:vAlign w:val="center"/>
          </w:tcPr>
          <w:p w14:paraId="3DD2105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w:t>
            </w:r>
          </w:p>
        </w:tc>
        <w:tc>
          <w:tcPr>
            <w:tcW w:w="1058" w:type="dxa"/>
            <w:tcBorders>
              <w:top w:val="nil"/>
              <w:left w:val="nil"/>
              <w:bottom w:val="nil"/>
              <w:right w:val="single" w:sz="4" w:space="0" w:color="auto"/>
            </w:tcBorders>
            <w:shd w:val="clear" w:color="auto" w:fill="DAEEF3" w:themeFill="accent5" w:themeFillTint="33"/>
            <w:vAlign w:val="center"/>
          </w:tcPr>
          <w:p w14:paraId="3ECADBC9"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p>
          <w:p w14:paraId="075E8E9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(2.7 - 5.9)</w:t>
            </w:r>
          </w:p>
        </w:tc>
        <w:tc>
          <w:tcPr>
            <w:tcW w:w="708" w:type="dxa"/>
            <w:tcBorders>
              <w:top w:val="nil"/>
              <w:left w:val="nil"/>
              <w:bottom w:val="nil"/>
              <w:right w:val="nil"/>
            </w:tcBorders>
            <w:shd w:val="clear" w:color="auto" w:fill="DAEEF3" w:themeFill="accent5" w:themeFillTint="33"/>
            <w:vAlign w:val="center"/>
          </w:tcPr>
          <w:p w14:paraId="519188F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573FDEC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80" w:type="dxa"/>
            <w:vMerge/>
            <w:tcBorders>
              <w:left w:val="nil"/>
              <w:right w:val="single" w:sz="4" w:space="0" w:color="auto"/>
            </w:tcBorders>
            <w:shd w:val="clear" w:color="auto" w:fill="DAEEF3" w:themeFill="accent5" w:themeFillTint="33"/>
            <w:vAlign w:val="center"/>
          </w:tcPr>
          <w:p w14:paraId="4851F525" w14:textId="77777777" w:rsidR="00E1507C" w:rsidRPr="00AF3A24" w:rsidRDefault="00E1507C" w:rsidP="00E32510">
            <w:pPr>
              <w:spacing w:before="0" w:line="240" w:lineRule="auto"/>
              <w:jc w:val="center"/>
              <w:rPr>
                <w:rFonts w:asciiTheme="minorHAnsi" w:hAnsiTheme="minorHAnsi"/>
                <w:bCs/>
                <w:color w:val="000000"/>
                <w:sz w:val="16"/>
                <w:szCs w:val="16"/>
              </w:rPr>
            </w:pPr>
          </w:p>
        </w:tc>
      </w:tr>
      <w:tr w:rsidR="00E1507C" w:rsidRPr="00AF3A24" w14:paraId="0A0DF24B" w14:textId="77777777" w:rsidTr="00E32510">
        <w:tc>
          <w:tcPr>
            <w:tcW w:w="1057" w:type="dxa"/>
            <w:vMerge/>
            <w:shd w:val="clear" w:color="auto" w:fill="DAEEF3" w:themeFill="accent5" w:themeFillTint="33"/>
            <w:vAlign w:val="center"/>
          </w:tcPr>
          <w:p w14:paraId="4320D142" w14:textId="77777777" w:rsidR="00E1507C" w:rsidRPr="00AF3A24" w:rsidRDefault="00E1507C"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5D089AA1"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14" w:type="dxa"/>
            <w:tcBorders>
              <w:top w:val="nil"/>
              <w:bottom w:val="nil"/>
              <w:right w:val="nil"/>
            </w:tcBorders>
            <w:shd w:val="clear" w:color="auto" w:fill="DAEEF3" w:themeFill="accent5" w:themeFillTint="33"/>
            <w:vAlign w:val="center"/>
          </w:tcPr>
          <w:p w14:paraId="2E210189"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589</w:t>
            </w:r>
          </w:p>
        </w:tc>
        <w:tc>
          <w:tcPr>
            <w:tcW w:w="1058" w:type="dxa"/>
            <w:tcBorders>
              <w:top w:val="nil"/>
              <w:left w:val="nil"/>
              <w:bottom w:val="nil"/>
              <w:right w:val="single" w:sz="4" w:space="0" w:color="auto"/>
            </w:tcBorders>
            <w:shd w:val="clear" w:color="auto" w:fill="DAEEF3" w:themeFill="accent5" w:themeFillTint="33"/>
            <w:vAlign w:val="center"/>
          </w:tcPr>
          <w:p w14:paraId="43449F9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62.9</w:t>
            </w:r>
          </w:p>
          <w:p w14:paraId="3AAB2DE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(59.0 - 66.9)</w:t>
            </w:r>
          </w:p>
        </w:tc>
        <w:tc>
          <w:tcPr>
            <w:tcW w:w="714" w:type="dxa"/>
            <w:tcBorders>
              <w:top w:val="nil"/>
              <w:left w:val="nil"/>
              <w:bottom w:val="nil"/>
              <w:right w:val="nil"/>
            </w:tcBorders>
            <w:shd w:val="clear" w:color="auto" w:fill="DAEEF3" w:themeFill="accent5" w:themeFillTint="33"/>
            <w:vAlign w:val="center"/>
          </w:tcPr>
          <w:p w14:paraId="540C229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238</w:t>
            </w:r>
          </w:p>
        </w:tc>
        <w:tc>
          <w:tcPr>
            <w:tcW w:w="1058" w:type="dxa"/>
            <w:tcBorders>
              <w:top w:val="nil"/>
              <w:left w:val="nil"/>
              <w:bottom w:val="nil"/>
              <w:right w:val="single" w:sz="4" w:space="0" w:color="auto"/>
            </w:tcBorders>
            <w:shd w:val="clear" w:color="auto" w:fill="DAEEF3" w:themeFill="accent5" w:themeFillTint="33"/>
            <w:vAlign w:val="center"/>
          </w:tcPr>
          <w:p w14:paraId="709920B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26.6</w:t>
            </w:r>
          </w:p>
          <w:p w14:paraId="3D88654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(22.7 - 30.5)</w:t>
            </w:r>
          </w:p>
        </w:tc>
        <w:tc>
          <w:tcPr>
            <w:tcW w:w="714" w:type="dxa"/>
            <w:tcBorders>
              <w:top w:val="nil"/>
              <w:left w:val="nil"/>
              <w:bottom w:val="nil"/>
              <w:right w:val="nil"/>
            </w:tcBorders>
            <w:shd w:val="clear" w:color="auto" w:fill="DAEEF3" w:themeFill="accent5" w:themeFillTint="33"/>
            <w:vAlign w:val="center"/>
          </w:tcPr>
          <w:p w14:paraId="34A2C83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75</w:t>
            </w:r>
          </w:p>
        </w:tc>
        <w:tc>
          <w:tcPr>
            <w:tcW w:w="1058" w:type="dxa"/>
            <w:tcBorders>
              <w:top w:val="nil"/>
              <w:left w:val="nil"/>
              <w:bottom w:val="nil"/>
              <w:right w:val="single" w:sz="4" w:space="0" w:color="auto"/>
            </w:tcBorders>
            <w:shd w:val="clear" w:color="auto" w:fill="DAEEF3" w:themeFill="accent5" w:themeFillTint="33"/>
            <w:vAlign w:val="center"/>
          </w:tcPr>
          <w:p w14:paraId="63E8856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7.6</w:t>
            </w:r>
          </w:p>
          <w:p w14:paraId="6A52B7E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(5.6 - 9.6)</w:t>
            </w:r>
          </w:p>
        </w:tc>
        <w:tc>
          <w:tcPr>
            <w:tcW w:w="708" w:type="dxa"/>
            <w:tcBorders>
              <w:top w:val="nil"/>
              <w:left w:val="nil"/>
              <w:bottom w:val="nil"/>
              <w:right w:val="nil"/>
            </w:tcBorders>
            <w:shd w:val="clear" w:color="auto" w:fill="DAEEF3" w:themeFill="accent5" w:themeFillTint="33"/>
            <w:vAlign w:val="center"/>
          </w:tcPr>
          <w:p w14:paraId="0266F47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42BC316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8" w:type="dxa"/>
            <w:tcBorders>
              <w:top w:val="nil"/>
              <w:left w:val="nil"/>
              <w:bottom w:val="nil"/>
              <w:right w:val="nil"/>
            </w:tcBorders>
            <w:shd w:val="clear" w:color="auto" w:fill="DAEEF3" w:themeFill="accent5" w:themeFillTint="33"/>
            <w:vAlign w:val="center"/>
          </w:tcPr>
          <w:p w14:paraId="48BFDF3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top w:val="nil"/>
              <w:left w:val="nil"/>
              <w:bottom w:val="nil"/>
              <w:right w:val="single" w:sz="4" w:space="0" w:color="auto"/>
            </w:tcBorders>
            <w:shd w:val="clear" w:color="auto" w:fill="DAEEF3" w:themeFill="accent5" w:themeFillTint="33"/>
            <w:vAlign w:val="center"/>
          </w:tcPr>
          <w:p w14:paraId="03E209B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80" w:type="dxa"/>
            <w:vMerge/>
            <w:tcBorders>
              <w:left w:val="nil"/>
              <w:right w:val="single" w:sz="4" w:space="0" w:color="auto"/>
            </w:tcBorders>
            <w:shd w:val="clear" w:color="auto" w:fill="DAEEF3" w:themeFill="accent5" w:themeFillTint="33"/>
            <w:vAlign w:val="center"/>
          </w:tcPr>
          <w:p w14:paraId="119B335B" w14:textId="77777777" w:rsidR="00E1507C" w:rsidRPr="00AF3A24" w:rsidRDefault="00E1507C" w:rsidP="00E32510">
            <w:pPr>
              <w:spacing w:before="0" w:line="240" w:lineRule="auto"/>
              <w:jc w:val="center"/>
              <w:rPr>
                <w:rFonts w:asciiTheme="minorHAnsi" w:hAnsiTheme="minorHAnsi"/>
                <w:bCs/>
                <w:color w:val="000000"/>
                <w:sz w:val="16"/>
                <w:szCs w:val="16"/>
              </w:rPr>
            </w:pPr>
          </w:p>
        </w:tc>
      </w:tr>
      <w:tr w:rsidR="00AB5CC7" w:rsidRPr="00AF3A24" w14:paraId="435DBFCB" w14:textId="77777777" w:rsidTr="00E32510">
        <w:tc>
          <w:tcPr>
            <w:tcW w:w="1057" w:type="dxa"/>
            <w:vMerge/>
            <w:tcBorders>
              <w:bottom w:val="nil"/>
            </w:tcBorders>
            <w:shd w:val="clear" w:color="auto" w:fill="DAEEF3" w:themeFill="accent5" w:themeFillTint="33"/>
            <w:vAlign w:val="center"/>
          </w:tcPr>
          <w:p w14:paraId="5414DE9E"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3FAD3627"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European/Other</w:t>
            </w:r>
          </w:p>
        </w:tc>
        <w:tc>
          <w:tcPr>
            <w:tcW w:w="714" w:type="dxa"/>
            <w:tcBorders>
              <w:top w:val="nil"/>
              <w:bottom w:val="nil"/>
              <w:right w:val="nil"/>
            </w:tcBorders>
            <w:shd w:val="clear" w:color="auto" w:fill="DAEEF3" w:themeFill="accent5" w:themeFillTint="33"/>
            <w:vAlign w:val="center"/>
          </w:tcPr>
          <w:p w14:paraId="73035F7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4,624</w:t>
            </w:r>
          </w:p>
        </w:tc>
        <w:tc>
          <w:tcPr>
            <w:tcW w:w="1058" w:type="dxa"/>
            <w:tcBorders>
              <w:top w:val="nil"/>
              <w:left w:val="nil"/>
              <w:bottom w:val="nil"/>
              <w:right w:val="single" w:sz="4" w:space="0" w:color="auto"/>
            </w:tcBorders>
            <w:shd w:val="clear" w:color="auto" w:fill="DAEEF3" w:themeFill="accent5" w:themeFillTint="33"/>
            <w:vAlign w:val="center"/>
          </w:tcPr>
          <w:p w14:paraId="637153C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47.3</w:t>
            </w:r>
          </w:p>
          <w:p w14:paraId="0DA70DE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(45.7 - 48.9)</w:t>
            </w:r>
          </w:p>
        </w:tc>
        <w:tc>
          <w:tcPr>
            <w:tcW w:w="714" w:type="dxa"/>
            <w:tcBorders>
              <w:top w:val="nil"/>
              <w:left w:val="nil"/>
              <w:bottom w:val="nil"/>
              <w:right w:val="nil"/>
            </w:tcBorders>
            <w:shd w:val="clear" w:color="auto" w:fill="DAEEF3" w:themeFill="accent5" w:themeFillTint="33"/>
            <w:vAlign w:val="center"/>
          </w:tcPr>
          <w:p w14:paraId="5CCDE56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3,345</w:t>
            </w:r>
          </w:p>
        </w:tc>
        <w:tc>
          <w:tcPr>
            <w:tcW w:w="1058" w:type="dxa"/>
            <w:tcBorders>
              <w:top w:val="nil"/>
              <w:left w:val="nil"/>
              <w:bottom w:val="nil"/>
              <w:right w:val="single" w:sz="4" w:space="0" w:color="auto"/>
            </w:tcBorders>
            <w:shd w:val="clear" w:color="auto" w:fill="DAEEF3" w:themeFill="accent5" w:themeFillTint="33"/>
            <w:vAlign w:val="center"/>
          </w:tcPr>
          <w:p w14:paraId="61E6BC5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32.2</w:t>
            </w:r>
          </w:p>
          <w:p w14:paraId="6BD4559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(30.8 - 33.5)</w:t>
            </w:r>
          </w:p>
        </w:tc>
        <w:tc>
          <w:tcPr>
            <w:tcW w:w="714" w:type="dxa"/>
            <w:tcBorders>
              <w:top w:val="nil"/>
              <w:left w:val="nil"/>
              <w:bottom w:val="nil"/>
              <w:right w:val="nil"/>
            </w:tcBorders>
            <w:shd w:val="clear" w:color="auto" w:fill="DAEEF3" w:themeFill="accent5" w:themeFillTint="33"/>
            <w:vAlign w:val="center"/>
          </w:tcPr>
          <w:p w14:paraId="4BE4184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1,241</w:t>
            </w:r>
          </w:p>
        </w:tc>
        <w:tc>
          <w:tcPr>
            <w:tcW w:w="1058" w:type="dxa"/>
            <w:tcBorders>
              <w:top w:val="nil"/>
              <w:left w:val="nil"/>
              <w:bottom w:val="nil"/>
              <w:right w:val="single" w:sz="4" w:space="0" w:color="auto"/>
            </w:tcBorders>
            <w:shd w:val="clear" w:color="auto" w:fill="DAEEF3" w:themeFill="accent5" w:themeFillTint="33"/>
            <w:vAlign w:val="center"/>
          </w:tcPr>
          <w:p w14:paraId="088381C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12.6</w:t>
            </w:r>
          </w:p>
          <w:p w14:paraId="38178FE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(11.7 - 13.6)</w:t>
            </w:r>
          </w:p>
        </w:tc>
        <w:tc>
          <w:tcPr>
            <w:tcW w:w="708" w:type="dxa"/>
            <w:tcBorders>
              <w:top w:val="nil"/>
              <w:left w:val="nil"/>
              <w:bottom w:val="nil"/>
              <w:right w:val="nil"/>
            </w:tcBorders>
            <w:shd w:val="clear" w:color="auto" w:fill="DAEEF3" w:themeFill="accent5" w:themeFillTint="33"/>
            <w:vAlign w:val="center"/>
          </w:tcPr>
          <w:p w14:paraId="7AF8897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454</w:t>
            </w:r>
          </w:p>
        </w:tc>
        <w:tc>
          <w:tcPr>
            <w:tcW w:w="1058" w:type="dxa"/>
            <w:tcBorders>
              <w:top w:val="nil"/>
              <w:left w:val="nil"/>
              <w:bottom w:val="nil"/>
              <w:right w:val="single" w:sz="4" w:space="0" w:color="auto"/>
            </w:tcBorders>
            <w:shd w:val="clear" w:color="auto" w:fill="DAEEF3" w:themeFill="accent5" w:themeFillTint="33"/>
            <w:vAlign w:val="center"/>
          </w:tcPr>
          <w:p w14:paraId="2BBEF12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w:t>
            </w:r>
          </w:p>
          <w:p w14:paraId="5735305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(4.2 - 5.4)</w:t>
            </w:r>
          </w:p>
        </w:tc>
        <w:tc>
          <w:tcPr>
            <w:tcW w:w="708" w:type="dxa"/>
            <w:tcBorders>
              <w:top w:val="nil"/>
              <w:left w:val="nil"/>
              <w:bottom w:val="nil"/>
              <w:right w:val="nil"/>
            </w:tcBorders>
            <w:shd w:val="clear" w:color="auto" w:fill="DAEEF3" w:themeFill="accent5" w:themeFillTint="33"/>
            <w:vAlign w:val="center"/>
          </w:tcPr>
          <w:p w14:paraId="2E8D548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256</w:t>
            </w:r>
          </w:p>
        </w:tc>
        <w:tc>
          <w:tcPr>
            <w:tcW w:w="1058" w:type="dxa"/>
            <w:tcBorders>
              <w:top w:val="nil"/>
              <w:left w:val="nil"/>
              <w:bottom w:val="nil"/>
              <w:right w:val="single" w:sz="4" w:space="0" w:color="auto"/>
            </w:tcBorders>
            <w:shd w:val="clear" w:color="auto" w:fill="DAEEF3" w:themeFill="accent5" w:themeFillTint="33"/>
            <w:vAlign w:val="center"/>
          </w:tcPr>
          <w:p w14:paraId="7EF0725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w:t>
            </w:r>
          </w:p>
          <w:p w14:paraId="69606A3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(2.6 - 3.7)</w:t>
            </w:r>
          </w:p>
        </w:tc>
        <w:tc>
          <w:tcPr>
            <w:tcW w:w="780" w:type="dxa"/>
            <w:vMerge/>
            <w:tcBorders>
              <w:left w:val="nil"/>
              <w:bottom w:val="nil"/>
              <w:right w:val="single" w:sz="4" w:space="0" w:color="auto"/>
            </w:tcBorders>
            <w:shd w:val="clear" w:color="auto" w:fill="DAEEF3" w:themeFill="accent5" w:themeFillTint="33"/>
            <w:vAlign w:val="center"/>
          </w:tcPr>
          <w:p w14:paraId="32D8D485"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56582DCB" w14:textId="77777777" w:rsidTr="00E32510">
        <w:tc>
          <w:tcPr>
            <w:tcW w:w="1057" w:type="dxa"/>
            <w:vMerge w:val="restart"/>
            <w:tcBorders>
              <w:top w:val="single" w:sz="4" w:space="0" w:color="auto"/>
            </w:tcBorders>
            <w:shd w:val="clear" w:color="auto" w:fill="DAEEF3" w:themeFill="accent5" w:themeFillTint="33"/>
            <w:vAlign w:val="center"/>
          </w:tcPr>
          <w:p w14:paraId="7E93A18A" w14:textId="77777777" w:rsidR="00AB5CC7" w:rsidRPr="00AF3A24" w:rsidRDefault="00AB5CC7" w:rsidP="00E32510">
            <w:pPr>
              <w:spacing w:before="0" w:line="240" w:lineRule="auto"/>
              <w:ind w:left="-41"/>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990" w:type="dxa"/>
            <w:tcBorders>
              <w:top w:val="single" w:sz="4" w:space="0" w:color="auto"/>
              <w:bottom w:val="nil"/>
            </w:tcBorders>
            <w:shd w:val="clear" w:color="auto" w:fill="DAEEF3" w:themeFill="accent5" w:themeFillTint="33"/>
            <w:vAlign w:val="center"/>
          </w:tcPr>
          <w:p w14:paraId="00A92053"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14" w:type="dxa"/>
            <w:tcBorders>
              <w:bottom w:val="nil"/>
              <w:right w:val="nil"/>
            </w:tcBorders>
            <w:shd w:val="clear" w:color="auto" w:fill="DAEEF3" w:themeFill="accent5" w:themeFillTint="33"/>
            <w:vAlign w:val="center"/>
          </w:tcPr>
          <w:p w14:paraId="7349C6E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855</w:t>
            </w:r>
          </w:p>
        </w:tc>
        <w:tc>
          <w:tcPr>
            <w:tcW w:w="1058" w:type="dxa"/>
            <w:tcBorders>
              <w:left w:val="nil"/>
              <w:bottom w:val="nil"/>
              <w:right w:val="single" w:sz="4" w:space="0" w:color="auto"/>
            </w:tcBorders>
            <w:shd w:val="clear" w:color="auto" w:fill="DAEEF3" w:themeFill="accent5" w:themeFillTint="33"/>
            <w:vAlign w:val="center"/>
          </w:tcPr>
          <w:p w14:paraId="7061437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45.9</w:t>
            </w:r>
            <w:r w:rsidRPr="00AF3A24">
              <w:rPr>
                <w:rFonts w:asciiTheme="minorHAnsi" w:hAnsiTheme="minorHAnsi"/>
                <w:bCs/>
                <w:color w:val="000000"/>
                <w:sz w:val="16"/>
                <w:szCs w:val="16"/>
              </w:rPr>
              <w:br/>
              <w:t>(42.5 - 49.2)</w:t>
            </w:r>
          </w:p>
        </w:tc>
        <w:tc>
          <w:tcPr>
            <w:tcW w:w="714" w:type="dxa"/>
            <w:tcBorders>
              <w:left w:val="nil"/>
              <w:bottom w:val="nil"/>
              <w:right w:val="nil"/>
            </w:tcBorders>
            <w:shd w:val="clear" w:color="auto" w:fill="DAEEF3" w:themeFill="accent5" w:themeFillTint="33"/>
            <w:vAlign w:val="center"/>
          </w:tcPr>
          <w:p w14:paraId="5E66420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725</w:t>
            </w:r>
          </w:p>
        </w:tc>
        <w:tc>
          <w:tcPr>
            <w:tcW w:w="1058" w:type="dxa"/>
            <w:tcBorders>
              <w:left w:val="nil"/>
              <w:bottom w:val="nil"/>
              <w:right w:val="single" w:sz="4" w:space="0" w:color="auto"/>
            </w:tcBorders>
            <w:shd w:val="clear" w:color="auto" w:fill="DAEEF3" w:themeFill="accent5" w:themeFillTint="33"/>
            <w:vAlign w:val="center"/>
          </w:tcPr>
          <w:p w14:paraId="13FF4AD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35.4</w:t>
            </w:r>
            <w:r w:rsidRPr="00AF3A24">
              <w:rPr>
                <w:rFonts w:asciiTheme="minorHAnsi" w:hAnsiTheme="minorHAnsi"/>
                <w:bCs/>
                <w:color w:val="000000"/>
                <w:sz w:val="16"/>
                <w:szCs w:val="16"/>
              </w:rPr>
              <w:br/>
              <w:t>(32.7 - 38.2)</w:t>
            </w:r>
          </w:p>
        </w:tc>
        <w:tc>
          <w:tcPr>
            <w:tcW w:w="714" w:type="dxa"/>
            <w:tcBorders>
              <w:left w:val="nil"/>
              <w:bottom w:val="nil"/>
              <w:right w:val="nil"/>
            </w:tcBorders>
            <w:shd w:val="clear" w:color="auto" w:fill="DAEEF3" w:themeFill="accent5" w:themeFillTint="33"/>
            <w:vAlign w:val="center"/>
          </w:tcPr>
          <w:p w14:paraId="43E6636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244</w:t>
            </w:r>
          </w:p>
        </w:tc>
        <w:tc>
          <w:tcPr>
            <w:tcW w:w="1058" w:type="dxa"/>
            <w:tcBorders>
              <w:left w:val="nil"/>
              <w:bottom w:val="nil"/>
              <w:right w:val="single" w:sz="4" w:space="0" w:color="auto"/>
            </w:tcBorders>
            <w:shd w:val="clear" w:color="auto" w:fill="DAEEF3" w:themeFill="accent5" w:themeFillTint="33"/>
            <w:vAlign w:val="center"/>
          </w:tcPr>
          <w:p w14:paraId="7880760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(9.9 - 13.2)</w:t>
            </w:r>
          </w:p>
        </w:tc>
        <w:tc>
          <w:tcPr>
            <w:tcW w:w="708" w:type="dxa"/>
            <w:tcBorders>
              <w:left w:val="nil"/>
              <w:bottom w:val="nil"/>
              <w:right w:val="nil"/>
            </w:tcBorders>
            <w:shd w:val="clear" w:color="auto" w:fill="DAEEF3" w:themeFill="accent5" w:themeFillTint="33"/>
            <w:vAlign w:val="center"/>
          </w:tcPr>
          <w:p w14:paraId="733DD8C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72</w:t>
            </w:r>
          </w:p>
        </w:tc>
        <w:tc>
          <w:tcPr>
            <w:tcW w:w="1058" w:type="dxa"/>
            <w:tcBorders>
              <w:left w:val="nil"/>
              <w:bottom w:val="nil"/>
              <w:right w:val="single" w:sz="4" w:space="0" w:color="auto"/>
            </w:tcBorders>
            <w:shd w:val="clear" w:color="auto" w:fill="DAEEF3" w:themeFill="accent5" w:themeFillTint="33"/>
            <w:vAlign w:val="center"/>
          </w:tcPr>
          <w:p w14:paraId="26B2B83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(3.1 - 5.4)</w:t>
            </w:r>
          </w:p>
        </w:tc>
        <w:tc>
          <w:tcPr>
            <w:tcW w:w="708" w:type="dxa"/>
            <w:tcBorders>
              <w:left w:val="nil"/>
              <w:bottom w:val="nil"/>
              <w:right w:val="nil"/>
            </w:tcBorders>
            <w:shd w:val="clear" w:color="auto" w:fill="DAEEF3" w:themeFill="accent5" w:themeFillTint="33"/>
            <w:vAlign w:val="center"/>
          </w:tcPr>
          <w:p w14:paraId="3150FE8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w:t>
            </w:r>
          </w:p>
        </w:tc>
        <w:tc>
          <w:tcPr>
            <w:tcW w:w="1058" w:type="dxa"/>
            <w:tcBorders>
              <w:left w:val="nil"/>
              <w:bottom w:val="nil"/>
              <w:right w:val="single" w:sz="4" w:space="0" w:color="auto"/>
            </w:tcBorders>
            <w:shd w:val="clear" w:color="auto" w:fill="DAEEF3" w:themeFill="accent5" w:themeFillTint="33"/>
            <w:vAlign w:val="center"/>
          </w:tcPr>
          <w:p w14:paraId="0B423D6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w:t>
            </w:r>
            <w:r w:rsidRPr="00AF3A24">
              <w:rPr>
                <w:rFonts w:asciiTheme="minorHAnsi" w:hAnsiTheme="minorHAnsi"/>
                <w:bCs/>
                <w:color w:val="000000"/>
                <w:sz w:val="16"/>
                <w:szCs w:val="16"/>
              </w:rPr>
              <w:br/>
              <w:t>(1.8 - 4.0)</w:t>
            </w:r>
          </w:p>
        </w:tc>
        <w:tc>
          <w:tcPr>
            <w:tcW w:w="780" w:type="dxa"/>
            <w:vMerge w:val="restart"/>
            <w:tcBorders>
              <w:left w:val="nil"/>
              <w:right w:val="single" w:sz="4" w:space="0" w:color="auto"/>
            </w:tcBorders>
            <w:shd w:val="clear" w:color="auto" w:fill="DAEEF3" w:themeFill="accent5" w:themeFillTint="33"/>
            <w:vAlign w:val="center"/>
          </w:tcPr>
          <w:p w14:paraId="0739FAD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.79</w:t>
            </w:r>
          </w:p>
        </w:tc>
      </w:tr>
      <w:tr w:rsidR="00AB5CC7" w:rsidRPr="00AF3A24" w14:paraId="686EE476" w14:textId="77777777" w:rsidTr="00E32510">
        <w:tc>
          <w:tcPr>
            <w:tcW w:w="1057" w:type="dxa"/>
            <w:vMerge/>
            <w:shd w:val="clear" w:color="auto" w:fill="DAEEF3" w:themeFill="accent5" w:themeFillTint="33"/>
            <w:vAlign w:val="center"/>
          </w:tcPr>
          <w:p w14:paraId="0FE1A6FB"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5ECFA3AE"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14" w:type="dxa"/>
            <w:tcBorders>
              <w:top w:val="nil"/>
              <w:bottom w:val="nil"/>
              <w:right w:val="nil"/>
            </w:tcBorders>
            <w:shd w:val="clear" w:color="auto" w:fill="DAEEF3" w:themeFill="accent5" w:themeFillTint="33"/>
            <w:vAlign w:val="center"/>
          </w:tcPr>
          <w:p w14:paraId="5EC7226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937</w:t>
            </w:r>
          </w:p>
        </w:tc>
        <w:tc>
          <w:tcPr>
            <w:tcW w:w="1058" w:type="dxa"/>
            <w:tcBorders>
              <w:top w:val="nil"/>
              <w:left w:val="nil"/>
              <w:bottom w:val="nil"/>
              <w:right w:val="single" w:sz="4" w:space="0" w:color="auto"/>
            </w:tcBorders>
            <w:shd w:val="clear" w:color="auto" w:fill="DAEEF3" w:themeFill="accent5" w:themeFillTint="33"/>
            <w:vAlign w:val="center"/>
          </w:tcPr>
          <w:p w14:paraId="187F9B3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46.4</w:t>
            </w:r>
            <w:r w:rsidRPr="00AF3A24">
              <w:rPr>
                <w:rFonts w:asciiTheme="minorHAnsi" w:hAnsiTheme="minorHAnsi"/>
                <w:bCs/>
                <w:color w:val="000000"/>
                <w:sz w:val="16"/>
                <w:szCs w:val="16"/>
              </w:rPr>
              <w:br/>
              <w:t>(43.0 - 49.8)</w:t>
            </w:r>
          </w:p>
        </w:tc>
        <w:tc>
          <w:tcPr>
            <w:tcW w:w="714" w:type="dxa"/>
            <w:tcBorders>
              <w:top w:val="nil"/>
              <w:left w:val="nil"/>
              <w:bottom w:val="nil"/>
              <w:right w:val="nil"/>
            </w:tcBorders>
            <w:shd w:val="clear" w:color="auto" w:fill="DAEEF3" w:themeFill="accent5" w:themeFillTint="33"/>
            <w:vAlign w:val="center"/>
          </w:tcPr>
          <w:p w14:paraId="72735A7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663</w:t>
            </w:r>
          </w:p>
        </w:tc>
        <w:tc>
          <w:tcPr>
            <w:tcW w:w="1058" w:type="dxa"/>
            <w:tcBorders>
              <w:top w:val="nil"/>
              <w:left w:val="nil"/>
              <w:bottom w:val="nil"/>
              <w:right w:val="single" w:sz="4" w:space="0" w:color="auto"/>
            </w:tcBorders>
            <w:shd w:val="clear" w:color="auto" w:fill="DAEEF3" w:themeFill="accent5" w:themeFillTint="33"/>
            <w:vAlign w:val="center"/>
          </w:tcPr>
          <w:p w14:paraId="4E63336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34.3</w:t>
            </w:r>
            <w:r w:rsidRPr="00AF3A24">
              <w:rPr>
                <w:rFonts w:asciiTheme="minorHAnsi" w:hAnsiTheme="minorHAnsi"/>
                <w:bCs/>
                <w:color w:val="000000"/>
                <w:sz w:val="16"/>
                <w:szCs w:val="16"/>
              </w:rPr>
              <w:br/>
              <w:t>(31.3 - 37.2)</w:t>
            </w:r>
          </w:p>
        </w:tc>
        <w:tc>
          <w:tcPr>
            <w:tcW w:w="714" w:type="dxa"/>
            <w:tcBorders>
              <w:top w:val="nil"/>
              <w:left w:val="nil"/>
              <w:bottom w:val="nil"/>
              <w:right w:val="nil"/>
            </w:tcBorders>
            <w:shd w:val="clear" w:color="auto" w:fill="DAEEF3" w:themeFill="accent5" w:themeFillTint="33"/>
            <w:vAlign w:val="center"/>
          </w:tcPr>
          <w:p w14:paraId="4EB7765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239</w:t>
            </w:r>
          </w:p>
        </w:tc>
        <w:tc>
          <w:tcPr>
            <w:tcW w:w="1058" w:type="dxa"/>
            <w:tcBorders>
              <w:top w:val="nil"/>
              <w:left w:val="nil"/>
              <w:bottom w:val="nil"/>
              <w:right w:val="single" w:sz="4" w:space="0" w:color="auto"/>
            </w:tcBorders>
            <w:shd w:val="clear" w:color="auto" w:fill="DAEEF3" w:themeFill="accent5" w:themeFillTint="33"/>
            <w:vAlign w:val="center"/>
          </w:tcPr>
          <w:p w14:paraId="6F43E0D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12.7</w:t>
            </w:r>
            <w:r w:rsidRPr="00AF3A24">
              <w:rPr>
                <w:rFonts w:asciiTheme="minorHAnsi" w:hAnsiTheme="minorHAnsi"/>
                <w:bCs/>
                <w:color w:val="000000"/>
                <w:sz w:val="16"/>
                <w:szCs w:val="16"/>
              </w:rPr>
              <w:br/>
              <w:t>(10.6 - 14.8)</w:t>
            </w:r>
          </w:p>
        </w:tc>
        <w:tc>
          <w:tcPr>
            <w:tcW w:w="708" w:type="dxa"/>
            <w:tcBorders>
              <w:top w:val="nil"/>
              <w:left w:val="nil"/>
              <w:bottom w:val="nil"/>
              <w:right w:val="nil"/>
            </w:tcBorders>
            <w:shd w:val="clear" w:color="auto" w:fill="DAEEF3" w:themeFill="accent5" w:themeFillTint="33"/>
            <w:vAlign w:val="center"/>
          </w:tcPr>
          <w:p w14:paraId="1A156DE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78</w:t>
            </w:r>
          </w:p>
        </w:tc>
        <w:tc>
          <w:tcPr>
            <w:tcW w:w="1058" w:type="dxa"/>
            <w:tcBorders>
              <w:top w:val="nil"/>
              <w:left w:val="nil"/>
              <w:bottom w:val="nil"/>
              <w:right w:val="single" w:sz="4" w:space="0" w:color="auto"/>
            </w:tcBorders>
            <w:shd w:val="clear" w:color="auto" w:fill="DAEEF3" w:themeFill="accent5" w:themeFillTint="33"/>
            <w:vAlign w:val="center"/>
          </w:tcPr>
          <w:p w14:paraId="4325E9A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(2.9 - 5.5)</w:t>
            </w:r>
          </w:p>
        </w:tc>
        <w:tc>
          <w:tcPr>
            <w:tcW w:w="708" w:type="dxa"/>
            <w:tcBorders>
              <w:top w:val="nil"/>
              <w:left w:val="nil"/>
              <w:bottom w:val="nil"/>
              <w:right w:val="nil"/>
            </w:tcBorders>
            <w:shd w:val="clear" w:color="auto" w:fill="DAEEF3" w:themeFill="accent5" w:themeFillTint="33"/>
            <w:vAlign w:val="center"/>
          </w:tcPr>
          <w:p w14:paraId="208137A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p>
        </w:tc>
        <w:tc>
          <w:tcPr>
            <w:tcW w:w="1058" w:type="dxa"/>
            <w:tcBorders>
              <w:top w:val="nil"/>
              <w:left w:val="nil"/>
              <w:bottom w:val="nil"/>
              <w:right w:val="single" w:sz="4" w:space="0" w:color="auto"/>
            </w:tcBorders>
            <w:shd w:val="clear" w:color="auto" w:fill="DAEEF3" w:themeFill="accent5" w:themeFillTint="33"/>
            <w:vAlign w:val="center"/>
          </w:tcPr>
          <w:p w14:paraId="1841044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(1.6 - 3.2)</w:t>
            </w:r>
          </w:p>
        </w:tc>
        <w:tc>
          <w:tcPr>
            <w:tcW w:w="780" w:type="dxa"/>
            <w:vMerge/>
            <w:tcBorders>
              <w:left w:val="nil"/>
              <w:right w:val="single" w:sz="4" w:space="0" w:color="auto"/>
            </w:tcBorders>
            <w:shd w:val="clear" w:color="auto" w:fill="DAEEF3" w:themeFill="accent5" w:themeFillTint="33"/>
            <w:vAlign w:val="center"/>
          </w:tcPr>
          <w:p w14:paraId="114D958C"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74EF5FBB" w14:textId="77777777" w:rsidTr="00E32510">
        <w:tc>
          <w:tcPr>
            <w:tcW w:w="1057" w:type="dxa"/>
            <w:vMerge/>
            <w:shd w:val="clear" w:color="auto" w:fill="DAEEF3" w:themeFill="accent5" w:themeFillTint="33"/>
            <w:vAlign w:val="center"/>
          </w:tcPr>
          <w:p w14:paraId="013F8373"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7CA27A90"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14" w:type="dxa"/>
            <w:tcBorders>
              <w:top w:val="nil"/>
              <w:bottom w:val="nil"/>
              <w:right w:val="nil"/>
            </w:tcBorders>
            <w:shd w:val="clear" w:color="auto" w:fill="DAEEF3" w:themeFill="accent5" w:themeFillTint="33"/>
            <w:vAlign w:val="center"/>
          </w:tcPr>
          <w:p w14:paraId="0044D17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1,188</w:t>
            </w:r>
          </w:p>
        </w:tc>
        <w:tc>
          <w:tcPr>
            <w:tcW w:w="1058" w:type="dxa"/>
            <w:tcBorders>
              <w:top w:val="nil"/>
              <w:left w:val="nil"/>
              <w:bottom w:val="nil"/>
              <w:right w:val="single" w:sz="4" w:space="0" w:color="auto"/>
            </w:tcBorders>
            <w:shd w:val="clear" w:color="auto" w:fill="DAEEF3" w:themeFill="accent5" w:themeFillTint="33"/>
            <w:vAlign w:val="center"/>
          </w:tcPr>
          <w:p w14:paraId="6B24778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46.2</w:t>
            </w:r>
            <w:r w:rsidRPr="00AF3A24">
              <w:rPr>
                <w:rFonts w:asciiTheme="minorHAnsi" w:hAnsiTheme="minorHAnsi"/>
                <w:bCs/>
                <w:color w:val="000000"/>
                <w:sz w:val="16"/>
                <w:szCs w:val="16"/>
              </w:rPr>
              <w:br/>
              <w:t>(42.7 - 49.7)</w:t>
            </w:r>
          </w:p>
        </w:tc>
        <w:tc>
          <w:tcPr>
            <w:tcW w:w="714" w:type="dxa"/>
            <w:tcBorders>
              <w:top w:val="nil"/>
              <w:left w:val="nil"/>
              <w:bottom w:val="nil"/>
              <w:right w:val="nil"/>
            </w:tcBorders>
            <w:shd w:val="clear" w:color="auto" w:fill="DAEEF3" w:themeFill="accent5" w:themeFillTint="33"/>
            <w:vAlign w:val="center"/>
          </w:tcPr>
          <w:p w14:paraId="71096F5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829</w:t>
            </w:r>
          </w:p>
        </w:tc>
        <w:tc>
          <w:tcPr>
            <w:tcW w:w="1058" w:type="dxa"/>
            <w:tcBorders>
              <w:top w:val="nil"/>
              <w:left w:val="nil"/>
              <w:bottom w:val="nil"/>
              <w:right w:val="single" w:sz="4" w:space="0" w:color="auto"/>
            </w:tcBorders>
            <w:shd w:val="clear" w:color="auto" w:fill="DAEEF3" w:themeFill="accent5" w:themeFillTint="33"/>
            <w:vAlign w:val="center"/>
          </w:tcPr>
          <w:p w14:paraId="120094C1"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33.4</w:t>
            </w:r>
            <w:r w:rsidRPr="00AF3A24">
              <w:rPr>
                <w:rFonts w:asciiTheme="minorHAnsi" w:hAnsiTheme="minorHAnsi"/>
                <w:bCs/>
                <w:color w:val="000000"/>
                <w:sz w:val="16"/>
                <w:szCs w:val="16"/>
              </w:rPr>
              <w:br/>
              <w:t>(30.4 - 36.3)</w:t>
            </w:r>
          </w:p>
        </w:tc>
        <w:tc>
          <w:tcPr>
            <w:tcW w:w="714" w:type="dxa"/>
            <w:tcBorders>
              <w:top w:val="nil"/>
              <w:left w:val="nil"/>
              <w:bottom w:val="nil"/>
              <w:right w:val="nil"/>
            </w:tcBorders>
            <w:shd w:val="clear" w:color="auto" w:fill="DAEEF3" w:themeFill="accent5" w:themeFillTint="33"/>
            <w:vAlign w:val="center"/>
          </w:tcPr>
          <w:p w14:paraId="3B575C3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307</w:t>
            </w:r>
          </w:p>
        </w:tc>
        <w:tc>
          <w:tcPr>
            <w:tcW w:w="1058" w:type="dxa"/>
            <w:tcBorders>
              <w:top w:val="nil"/>
              <w:left w:val="nil"/>
              <w:bottom w:val="nil"/>
              <w:right w:val="single" w:sz="4" w:space="0" w:color="auto"/>
            </w:tcBorders>
            <w:shd w:val="clear" w:color="auto" w:fill="DAEEF3" w:themeFill="accent5" w:themeFillTint="33"/>
            <w:vAlign w:val="center"/>
          </w:tcPr>
          <w:p w14:paraId="217AB63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w:t>
            </w:r>
            <w:r w:rsidRPr="00AF3A24">
              <w:rPr>
                <w:rFonts w:asciiTheme="minorHAnsi" w:hAnsiTheme="minorHAnsi"/>
                <w:bCs/>
                <w:color w:val="000000"/>
                <w:sz w:val="16"/>
                <w:szCs w:val="16"/>
              </w:rPr>
              <w:br/>
              <w:t>(10.7 - 15.1)</w:t>
            </w:r>
          </w:p>
        </w:tc>
        <w:tc>
          <w:tcPr>
            <w:tcW w:w="708" w:type="dxa"/>
            <w:tcBorders>
              <w:top w:val="nil"/>
              <w:left w:val="nil"/>
              <w:bottom w:val="nil"/>
              <w:right w:val="nil"/>
            </w:tcBorders>
            <w:shd w:val="clear" w:color="auto" w:fill="DAEEF3" w:themeFill="accent5" w:themeFillTint="33"/>
            <w:vAlign w:val="center"/>
          </w:tcPr>
          <w:p w14:paraId="7BACB02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128</w:t>
            </w:r>
          </w:p>
        </w:tc>
        <w:tc>
          <w:tcPr>
            <w:tcW w:w="1058" w:type="dxa"/>
            <w:tcBorders>
              <w:top w:val="nil"/>
              <w:left w:val="nil"/>
              <w:bottom w:val="nil"/>
              <w:right w:val="single" w:sz="4" w:space="0" w:color="auto"/>
            </w:tcBorders>
            <w:shd w:val="clear" w:color="auto" w:fill="DAEEF3" w:themeFill="accent5" w:themeFillTint="33"/>
            <w:vAlign w:val="center"/>
          </w:tcPr>
          <w:p w14:paraId="2AEE71A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r w:rsidRPr="00AF3A24">
              <w:rPr>
                <w:rFonts w:asciiTheme="minorHAnsi" w:hAnsiTheme="minorHAnsi"/>
                <w:bCs/>
                <w:color w:val="000000"/>
                <w:sz w:val="16"/>
                <w:szCs w:val="16"/>
              </w:rPr>
              <w:br/>
              <w:t>(4.0 - 6.0)</w:t>
            </w:r>
          </w:p>
        </w:tc>
        <w:tc>
          <w:tcPr>
            <w:tcW w:w="708" w:type="dxa"/>
            <w:tcBorders>
              <w:top w:val="nil"/>
              <w:left w:val="nil"/>
              <w:bottom w:val="nil"/>
              <w:right w:val="nil"/>
            </w:tcBorders>
            <w:shd w:val="clear" w:color="auto" w:fill="DAEEF3" w:themeFill="accent5" w:themeFillTint="33"/>
            <w:vAlign w:val="center"/>
          </w:tcPr>
          <w:p w14:paraId="188BEBF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w:t>
            </w:r>
          </w:p>
        </w:tc>
        <w:tc>
          <w:tcPr>
            <w:tcW w:w="1058" w:type="dxa"/>
            <w:tcBorders>
              <w:top w:val="nil"/>
              <w:left w:val="nil"/>
              <w:bottom w:val="nil"/>
              <w:right w:val="single" w:sz="4" w:space="0" w:color="auto"/>
            </w:tcBorders>
            <w:shd w:val="clear" w:color="auto" w:fill="DAEEF3" w:themeFill="accent5" w:themeFillTint="33"/>
            <w:vAlign w:val="center"/>
          </w:tcPr>
          <w:p w14:paraId="4AE82EB5"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(1.7 - 3.5)</w:t>
            </w:r>
          </w:p>
        </w:tc>
        <w:tc>
          <w:tcPr>
            <w:tcW w:w="780" w:type="dxa"/>
            <w:vMerge/>
            <w:tcBorders>
              <w:left w:val="nil"/>
              <w:right w:val="single" w:sz="4" w:space="0" w:color="auto"/>
            </w:tcBorders>
            <w:shd w:val="clear" w:color="auto" w:fill="DAEEF3" w:themeFill="accent5" w:themeFillTint="33"/>
            <w:vAlign w:val="center"/>
          </w:tcPr>
          <w:p w14:paraId="4854B6A3"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0341A647" w14:textId="77777777" w:rsidTr="00E32510">
        <w:tc>
          <w:tcPr>
            <w:tcW w:w="1057" w:type="dxa"/>
            <w:vMerge/>
            <w:shd w:val="clear" w:color="auto" w:fill="DAEEF3" w:themeFill="accent5" w:themeFillTint="33"/>
            <w:vAlign w:val="center"/>
          </w:tcPr>
          <w:p w14:paraId="1E3884F1"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nil"/>
            </w:tcBorders>
            <w:shd w:val="clear" w:color="auto" w:fill="DAEEF3" w:themeFill="accent5" w:themeFillTint="33"/>
            <w:vAlign w:val="center"/>
          </w:tcPr>
          <w:p w14:paraId="7950DCB3"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14" w:type="dxa"/>
            <w:tcBorders>
              <w:top w:val="nil"/>
              <w:bottom w:val="nil"/>
              <w:right w:val="nil"/>
            </w:tcBorders>
            <w:shd w:val="clear" w:color="auto" w:fill="DAEEF3" w:themeFill="accent5" w:themeFillTint="33"/>
            <w:vAlign w:val="center"/>
          </w:tcPr>
          <w:p w14:paraId="2E2FC65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1,299</w:t>
            </w:r>
          </w:p>
        </w:tc>
        <w:tc>
          <w:tcPr>
            <w:tcW w:w="1058" w:type="dxa"/>
            <w:tcBorders>
              <w:top w:val="nil"/>
              <w:left w:val="nil"/>
              <w:bottom w:val="nil"/>
              <w:right w:val="single" w:sz="4" w:space="0" w:color="auto"/>
            </w:tcBorders>
            <w:shd w:val="clear" w:color="auto" w:fill="DAEEF3" w:themeFill="accent5" w:themeFillTint="33"/>
            <w:vAlign w:val="center"/>
          </w:tcPr>
          <w:p w14:paraId="79D91FF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48.4</w:t>
            </w:r>
            <w:r w:rsidRPr="00AF3A24">
              <w:rPr>
                <w:rFonts w:asciiTheme="minorHAnsi" w:hAnsiTheme="minorHAnsi"/>
                <w:bCs/>
                <w:color w:val="000000"/>
                <w:sz w:val="16"/>
                <w:szCs w:val="16"/>
              </w:rPr>
              <w:br/>
              <w:t>(45.5 - 51.3)</w:t>
            </w:r>
          </w:p>
        </w:tc>
        <w:tc>
          <w:tcPr>
            <w:tcW w:w="714" w:type="dxa"/>
            <w:tcBorders>
              <w:top w:val="nil"/>
              <w:left w:val="nil"/>
              <w:bottom w:val="nil"/>
              <w:right w:val="nil"/>
            </w:tcBorders>
            <w:shd w:val="clear" w:color="auto" w:fill="DAEEF3" w:themeFill="accent5" w:themeFillTint="33"/>
            <w:vAlign w:val="center"/>
          </w:tcPr>
          <w:p w14:paraId="19AC4C8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877</w:t>
            </w:r>
          </w:p>
        </w:tc>
        <w:tc>
          <w:tcPr>
            <w:tcW w:w="1058" w:type="dxa"/>
            <w:tcBorders>
              <w:top w:val="nil"/>
              <w:left w:val="nil"/>
              <w:bottom w:val="nil"/>
              <w:right w:val="single" w:sz="4" w:space="0" w:color="auto"/>
            </w:tcBorders>
            <w:shd w:val="clear" w:color="auto" w:fill="DAEEF3" w:themeFill="accent5" w:themeFillTint="33"/>
            <w:vAlign w:val="center"/>
          </w:tcPr>
          <w:p w14:paraId="0201A6F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31.6</w:t>
            </w:r>
            <w:r w:rsidRPr="00AF3A24">
              <w:rPr>
                <w:rFonts w:asciiTheme="minorHAnsi" w:hAnsiTheme="minorHAnsi"/>
                <w:bCs/>
                <w:color w:val="000000"/>
                <w:sz w:val="16"/>
                <w:szCs w:val="16"/>
              </w:rPr>
              <w:br/>
              <w:t>(29.1 - 34.2)</w:t>
            </w:r>
          </w:p>
        </w:tc>
        <w:tc>
          <w:tcPr>
            <w:tcW w:w="714" w:type="dxa"/>
            <w:tcBorders>
              <w:top w:val="nil"/>
              <w:left w:val="nil"/>
              <w:bottom w:val="nil"/>
              <w:right w:val="nil"/>
            </w:tcBorders>
            <w:shd w:val="clear" w:color="auto" w:fill="DAEEF3" w:themeFill="accent5" w:themeFillTint="33"/>
            <w:vAlign w:val="center"/>
          </w:tcPr>
          <w:p w14:paraId="146E771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335</w:t>
            </w:r>
          </w:p>
        </w:tc>
        <w:tc>
          <w:tcPr>
            <w:tcW w:w="1058" w:type="dxa"/>
            <w:tcBorders>
              <w:top w:val="nil"/>
              <w:left w:val="nil"/>
              <w:bottom w:val="nil"/>
              <w:right w:val="single" w:sz="4" w:space="0" w:color="auto"/>
            </w:tcBorders>
            <w:shd w:val="clear" w:color="auto" w:fill="DAEEF3" w:themeFill="accent5" w:themeFillTint="33"/>
            <w:vAlign w:val="center"/>
          </w:tcPr>
          <w:p w14:paraId="6CDAA94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12.6</w:t>
            </w:r>
            <w:r w:rsidRPr="00AF3A24">
              <w:rPr>
                <w:rFonts w:asciiTheme="minorHAnsi" w:hAnsiTheme="minorHAnsi"/>
                <w:bCs/>
                <w:color w:val="000000"/>
                <w:sz w:val="16"/>
                <w:szCs w:val="16"/>
              </w:rPr>
              <w:br/>
              <w:t>(10.9 - 14.3)</w:t>
            </w:r>
          </w:p>
        </w:tc>
        <w:tc>
          <w:tcPr>
            <w:tcW w:w="708" w:type="dxa"/>
            <w:tcBorders>
              <w:top w:val="nil"/>
              <w:left w:val="nil"/>
              <w:bottom w:val="nil"/>
              <w:right w:val="nil"/>
            </w:tcBorders>
            <w:shd w:val="clear" w:color="auto" w:fill="DAEEF3" w:themeFill="accent5" w:themeFillTint="33"/>
            <w:vAlign w:val="center"/>
          </w:tcPr>
          <w:p w14:paraId="1B9C30E8"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p>
        </w:tc>
        <w:tc>
          <w:tcPr>
            <w:tcW w:w="1058" w:type="dxa"/>
            <w:tcBorders>
              <w:top w:val="nil"/>
              <w:left w:val="nil"/>
              <w:bottom w:val="nil"/>
              <w:right w:val="single" w:sz="4" w:space="0" w:color="auto"/>
            </w:tcBorders>
            <w:shd w:val="clear" w:color="auto" w:fill="DAEEF3" w:themeFill="accent5" w:themeFillTint="33"/>
            <w:vAlign w:val="center"/>
          </w:tcPr>
          <w:p w14:paraId="520CE55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r w:rsidRPr="00AF3A24">
              <w:rPr>
                <w:rFonts w:asciiTheme="minorHAnsi" w:hAnsiTheme="minorHAnsi"/>
                <w:bCs/>
                <w:color w:val="000000"/>
                <w:sz w:val="16"/>
                <w:szCs w:val="16"/>
              </w:rPr>
              <w:br/>
              <w:t>(3.1 - 5.2)</w:t>
            </w:r>
          </w:p>
        </w:tc>
        <w:tc>
          <w:tcPr>
            <w:tcW w:w="708" w:type="dxa"/>
            <w:tcBorders>
              <w:top w:val="nil"/>
              <w:left w:val="nil"/>
              <w:bottom w:val="nil"/>
              <w:right w:val="nil"/>
            </w:tcBorders>
            <w:shd w:val="clear" w:color="auto" w:fill="DAEEF3" w:themeFill="accent5" w:themeFillTint="33"/>
            <w:vAlign w:val="center"/>
          </w:tcPr>
          <w:p w14:paraId="53C7D34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w:t>
            </w:r>
          </w:p>
        </w:tc>
        <w:tc>
          <w:tcPr>
            <w:tcW w:w="1058" w:type="dxa"/>
            <w:tcBorders>
              <w:top w:val="nil"/>
              <w:left w:val="nil"/>
              <w:bottom w:val="nil"/>
              <w:right w:val="single" w:sz="4" w:space="0" w:color="auto"/>
            </w:tcBorders>
            <w:shd w:val="clear" w:color="auto" w:fill="DAEEF3" w:themeFill="accent5" w:themeFillTint="33"/>
            <w:vAlign w:val="center"/>
          </w:tcPr>
          <w:p w14:paraId="340181B2"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r w:rsidRPr="00AF3A24">
              <w:rPr>
                <w:rFonts w:asciiTheme="minorHAnsi" w:hAnsiTheme="minorHAnsi"/>
                <w:bCs/>
                <w:color w:val="000000"/>
                <w:sz w:val="16"/>
                <w:szCs w:val="16"/>
              </w:rPr>
              <w:br/>
              <w:t>(2.2 - 4.3)</w:t>
            </w:r>
          </w:p>
        </w:tc>
        <w:tc>
          <w:tcPr>
            <w:tcW w:w="780" w:type="dxa"/>
            <w:vMerge/>
            <w:tcBorders>
              <w:left w:val="nil"/>
              <w:right w:val="single" w:sz="4" w:space="0" w:color="auto"/>
            </w:tcBorders>
            <w:shd w:val="clear" w:color="auto" w:fill="DAEEF3" w:themeFill="accent5" w:themeFillTint="33"/>
            <w:vAlign w:val="center"/>
          </w:tcPr>
          <w:p w14:paraId="38D94BE7"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AB5CC7" w:rsidRPr="00AF3A24" w14:paraId="11741652" w14:textId="77777777" w:rsidTr="00E32510">
        <w:tc>
          <w:tcPr>
            <w:tcW w:w="1057" w:type="dxa"/>
            <w:vMerge/>
            <w:tcBorders>
              <w:bottom w:val="single" w:sz="4" w:space="0" w:color="auto"/>
            </w:tcBorders>
            <w:shd w:val="clear" w:color="auto" w:fill="DAEEF3" w:themeFill="accent5" w:themeFillTint="33"/>
            <w:vAlign w:val="center"/>
          </w:tcPr>
          <w:p w14:paraId="08949E9B" w14:textId="77777777" w:rsidR="00AB5CC7" w:rsidRPr="00AF3A24" w:rsidRDefault="00AB5CC7" w:rsidP="00E32510">
            <w:pPr>
              <w:spacing w:before="0" w:line="240" w:lineRule="auto"/>
              <w:ind w:left="-41"/>
              <w:jc w:val="left"/>
              <w:rPr>
                <w:rFonts w:asciiTheme="minorHAnsi" w:hAnsiTheme="minorHAnsi" w:cstheme="minorHAnsi"/>
                <w:sz w:val="16"/>
                <w:szCs w:val="16"/>
              </w:rPr>
            </w:pPr>
          </w:p>
        </w:tc>
        <w:tc>
          <w:tcPr>
            <w:tcW w:w="990" w:type="dxa"/>
            <w:tcBorders>
              <w:top w:val="nil"/>
              <w:bottom w:val="single" w:sz="4" w:space="0" w:color="auto"/>
            </w:tcBorders>
            <w:shd w:val="clear" w:color="auto" w:fill="DAEEF3" w:themeFill="accent5" w:themeFillTint="33"/>
            <w:vAlign w:val="center"/>
          </w:tcPr>
          <w:p w14:paraId="48954540"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14" w:type="dxa"/>
            <w:tcBorders>
              <w:top w:val="nil"/>
              <w:bottom w:val="single" w:sz="4" w:space="0" w:color="auto"/>
              <w:right w:val="nil"/>
            </w:tcBorders>
            <w:shd w:val="clear" w:color="auto" w:fill="DAEEF3" w:themeFill="accent5" w:themeFillTint="33"/>
            <w:vAlign w:val="center"/>
          </w:tcPr>
          <w:p w14:paraId="218E87C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1,768</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73FB982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52.1</w:t>
            </w:r>
            <w:r w:rsidRPr="00AF3A24">
              <w:rPr>
                <w:rFonts w:asciiTheme="minorHAnsi" w:hAnsiTheme="minorHAnsi"/>
                <w:bCs/>
                <w:color w:val="000000"/>
                <w:sz w:val="16"/>
                <w:szCs w:val="16"/>
              </w:rPr>
              <w:br/>
              <w:t>(49.4 - 54.8)</w:t>
            </w:r>
          </w:p>
        </w:tc>
        <w:tc>
          <w:tcPr>
            <w:tcW w:w="714" w:type="dxa"/>
            <w:tcBorders>
              <w:top w:val="nil"/>
              <w:left w:val="nil"/>
              <w:bottom w:val="single" w:sz="4" w:space="0" w:color="auto"/>
              <w:right w:val="nil"/>
            </w:tcBorders>
            <w:shd w:val="clear" w:color="auto" w:fill="DAEEF3" w:themeFill="accent5" w:themeFillTint="33"/>
            <w:vAlign w:val="center"/>
          </w:tcPr>
          <w:p w14:paraId="160A3A70"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1,043</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21709BCD"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29.1</w:t>
            </w:r>
            <w:r w:rsidRPr="00AF3A24">
              <w:rPr>
                <w:rFonts w:asciiTheme="minorHAnsi" w:hAnsiTheme="minorHAnsi"/>
                <w:bCs/>
                <w:color w:val="000000"/>
                <w:sz w:val="16"/>
                <w:szCs w:val="16"/>
              </w:rPr>
              <w:br/>
              <w:t>(27.2 - 31.0)</w:t>
            </w:r>
          </w:p>
        </w:tc>
        <w:tc>
          <w:tcPr>
            <w:tcW w:w="714" w:type="dxa"/>
            <w:tcBorders>
              <w:top w:val="nil"/>
              <w:left w:val="nil"/>
              <w:bottom w:val="single" w:sz="4" w:space="0" w:color="auto"/>
              <w:right w:val="nil"/>
            </w:tcBorders>
            <w:shd w:val="clear" w:color="auto" w:fill="DAEEF3" w:themeFill="accent5" w:themeFillTint="33"/>
            <w:vAlign w:val="center"/>
          </w:tcPr>
          <w:p w14:paraId="7815DB64"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409</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798E75F3"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(10.0 - 13.2)</w:t>
            </w:r>
          </w:p>
        </w:tc>
        <w:tc>
          <w:tcPr>
            <w:tcW w:w="708" w:type="dxa"/>
            <w:tcBorders>
              <w:top w:val="nil"/>
              <w:left w:val="nil"/>
              <w:bottom w:val="single" w:sz="4" w:space="0" w:color="auto"/>
              <w:right w:val="nil"/>
            </w:tcBorders>
            <w:shd w:val="clear" w:color="auto" w:fill="DAEEF3" w:themeFill="accent5" w:themeFillTint="33"/>
            <w:vAlign w:val="center"/>
          </w:tcPr>
          <w:p w14:paraId="694FD76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158</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3707421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(3.5 - 5.4)</w:t>
            </w:r>
          </w:p>
        </w:tc>
        <w:tc>
          <w:tcPr>
            <w:tcW w:w="708" w:type="dxa"/>
            <w:tcBorders>
              <w:top w:val="nil"/>
              <w:left w:val="nil"/>
              <w:bottom w:val="single" w:sz="4" w:space="0" w:color="auto"/>
              <w:right w:val="nil"/>
            </w:tcBorders>
            <w:shd w:val="clear" w:color="auto" w:fill="DAEEF3" w:themeFill="accent5" w:themeFillTint="33"/>
            <w:vAlign w:val="center"/>
          </w:tcPr>
          <w:p w14:paraId="2C7F449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2978608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(2.0 - 3.5)</w:t>
            </w:r>
          </w:p>
        </w:tc>
        <w:tc>
          <w:tcPr>
            <w:tcW w:w="780" w:type="dxa"/>
            <w:vMerge/>
            <w:tcBorders>
              <w:left w:val="nil"/>
              <w:bottom w:val="single" w:sz="4" w:space="0" w:color="auto"/>
              <w:right w:val="single" w:sz="4" w:space="0" w:color="auto"/>
            </w:tcBorders>
            <w:shd w:val="clear" w:color="auto" w:fill="DAEEF3" w:themeFill="accent5" w:themeFillTint="33"/>
            <w:vAlign w:val="center"/>
          </w:tcPr>
          <w:p w14:paraId="0A1CE46E" w14:textId="77777777" w:rsidR="00AB5CC7" w:rsidRPr="00AF3A24" w:rsidRDefault="00AB5CC7" w:rsidP="00E32510">
            <w:pPr>
              <w:spacing w:before="0" w:line="240" w:lineRule="auto"/>
              <w:jc w:val="center"/>
              <w:rPr>
                <w:rFonts w:asciiTheme="minorHAnsi" w:hAnsiTheme="minorHAnsi"/>
                <w:bCs/>
                <w:color w:val="000000"/>
                <w:sz w:val="16"/>
                <w:szCs w:val="16"/>
              </w:rPr>
            </w:pPr>
          </w:p>
        </w:tc>
      </w:tr>
      <w:tr w:rsidR="00E1507C" w:rsidRPr="00AF3A24" w14:paraId="52DB1C41" w14:textId="77777777" w:rsidTr="00E32510">
        <w:tc>
          <w:tcPr>
            <w:tcW w:w="1057" w:type="dxa"/>
            <w:vMerge w:val="restart"/>
            <w:tcBorders>
              <w:top w:val="single" w:sz="4" w:space="0" w:color="auto"/>
            </w:tcBorders>
            <w:shd w:val="clear" w:color="auto" w:fill="DAEEF3" w:themeFill="accent5" w:themeFillTint="33"/>
            <w:vAlign w:val="center"/>
          </w:tcPr>
          <w:p w14:paraId="2D8910C5" w14:textId="77777777" w:rsidR="00E1507C" w:rsidRPr="00AF3A24" w:rsidRDefault="00E1507C" w:rsidP="00E32510">
            <w:pPr>
              <w:spacing w:before="0" w:line="240" w:lineRule="auto"/>
              <w:ind w:left="-41"/>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990" w:type="dxa"/>
            <w:tcBorders>
              <w:top w:val="single" w:sz="4" w:space="0" w:color="auto"/>
              <w:bottom w:val="nil"/>
            </w:tcBorders>
            <w:shd w:val="clear" w:color="auto" w:fill="DAEEF3" w:themeFill="accent5" w:themeFillTint="33"/>
            <w:vAlign w:val="center"/>
          </w:tcPr>
          <w:p w14:paraId="7E552C41"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14" w:type="dxa"/>
            <w:tcBorders>
              <w:bottom w:val="nil"/>
              <w:right w:val="nil"/>
            </w:tcBorders>
            <w:shd w:val="clear" w:color="auto" w:fill="DAEEF3" w:themeFill="accent5" w:themeFillTint="33"/>
            <w:vAlign w:val="center"/>
          </w:tcPr>
          <w:p w14:paraId="248FBFE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639</w:t>
            </w:r>
          </w:p>
        </w:tc>
        <w:tc>
          <w:tcPr>
            <w:tcW w:w="1058" w:type="dxa"/>
            <w:tcBorders>
              <w:left w:val="nil"/>
              <w:bottom w:val="nil"/>
              <w:right w:val="single" w:sz="4" w:space="0" w:color="auto"/>
            </w:tcBorders>
            <w:shd w:val="clear" w:color="auto" w:fill="DAEEF3" w:themeFill="accent5" w:themeFillTint="33"/>
            <w:vAlign w:val="center"/>
          </w:tcPr>
          <w:p w14:paraId="39C12E1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46.5</w:t>
            </w:r>
            <w:r w:rsidRPr="00AF3A24">
              <w:rPr>
                <w:rFonts w:asciiTheme="minorHAnsi" w:hAnsiTheme="minorHAnsi"/>
                <w:bCs/>
                <w:color w:val="000000"/>
                <w:sz w:val="16"/>
                <w:szCs w:val="16"/>
              </w:rPr>
              <w:br/>
              <w:t>(41.8 - 51.2)</w:t>
            </w:r>
          </w:p>
        </w:tc>
        <w:tc>
          <w:tcPr>
            <w:tcW w:w="714" w:type="dxa"/>
            <w:tcBorders>
              <w:left w:val="nil"/>
              <w:bottom w:val="nil"/>
              <w:right w:val="nil"/>
            </w:tcBorders>
            <w:shd w:val="clear" w:color="auto" w:fill="DAEEF3" w:themeFill="accent5" w:themeFillTint="33"/>
            <w:vAlign w:val="center"/>
          </w:tcPr>
          <w:p w14:paraId="4313401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435</w:t>
            </w:r>
          </w:p>
        </w:tc>
        <w:tc>
          <w:tcPr>
            <w:tcW w:w="1058" w:type="dxa"/>
            <w:tcBorders>
              <w:left w:val="nil"/>
              <w:bottom w:val="nil"/>
              <w:right w:val="single" w:sz="4" w:space="0" w:color="auto"/>
            </w:tcBorders>
            <w:shd w:val="clear" w:color="auto" w:fill="DAEEF3" w:themeFill="accent5" w:themeFillTint="33"/>
            <w:vAlign w:val="center"/>
          </w:tcPr>
          <w:p w14:paraId="548F851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35.4</w:t>
            </w:r>
            <w:r w:rsidRPr="00AF3A24">
              <w:rPr>
                <w:rFonts w:asciiTheme="minorHAnsi" w:hAnsiTheme="minorHAnsi"/>
                <w:bCs/>
                <w:color w:val="000000"/>
                <w:sz w:val="16"/>
                <w:szCs w:val="16"/>
              </w:rPr>
              <w:br/>
              <w:t>(31.9 - 38.8)</w:t>
            </w:r>
          </w:p>
        </w:tc>
        <w:tc>
          <w:tcPr>
            <w:tcW w:w="714" w:type="dxa"/>
            <w:tcBorders>
              <w:left w:val="nil"/>
              <w:bottom w:val="nil"/>
              <w:right w:val="nil"/>
            </w:tcBorders>
            <w:shd w:val="clear" w:color="auto" w:fill="DAEEF3" w:themeFill="accent5" w:themeFillTint="33"/>
            <w:vAlign w:val="center"/>
          </w:tcPr>
          <w:p w14:paraId="20F23E38"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142</w:t>
            </w:r>
          </w:p>
        </w:tc>
        <w:tc>
          <w:tcPr>
            <w:tcW w:w="1058" w:type="dxa"/>
            <w:tcBorders>
              <w:left w:val="nil"/>
              <w:bottom w:val="nil"/>
              <w:right w:val="single" w:sz="4" w:space="0" w:color="auto"/>
            </w:tcBorders>
            <w:shd w:val="clear" w:color="auto" w:fill="DAEEF3" w:themeFill="accent5" w:themeFillTint="33"/>
            <w:vAlign w:val="center"/>
          </w:tcPr>
          <w:p w14:paraId="0849A2E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13.5</w:t>
            </w:r>
            <w:r w:rsidRPr="00AF3A24">
              <w:rPr>
                <w:rFonts w:asciiTheme="minorHAnsi" w:hAnsiTheme="minorHAnsi"/>
                <w:bCs/>
                <w:color w:val="000000"/>
                <w:sz w:val="16"/>
                <w:szCs w:val="16"/>
              </w:rPr>
              <w:br/>
              <w:t>(10.6 - 16.4)</w:t>
            </w:r>
          </w:p>
        </w:tc>
        <w:tc>
          <w:tcPr>
            <w:tcW w:w="708" w:type="dxa"/>
            <w:tcBorders>
              <w:left w:val="nil"/>
              <w:bottom w:val="nil"/>
              <w:right w:val="nil"/>
            </w:tcBorders>
            <w:shd w:val="clear" w:color="auto" w:fill="DAEEF3" w:themeFill="accent5" w:themeFillTint="33"/>
            <w:vAlign w:val="center"/>
          </w:tcPr>
          <w:p w14:paraId="0BFBCA2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058" w:type="dxa"/>
            <w:tcBorders>
              <w:left w:val="nil"/>
              <w:bottom w:val="nil"/>
              <w:right w:val="single" w:sz="4" w:space="0" w:color="auto"/>
            </w:tcBorders>
            <w:shd w:val="clear" w:color="auto" w:fill="DAEEF3" w:themeFill="accent5" w:themeFillTint="33"/>
            <w:vAlign w:val="center"/>
          </w:tcPr>
          <w:p w14:paraId="5587A152"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r w:rsidRPr="00AF3A24">
              <w:rPr>
                <w:rFonts w:asciiTheme="minorHAnsi" w:hAnsiTheme="minorHAnsi"/>
                <w:bCs/>
                <w:color w:val="000000"/>
                <w:sz w:val="16"/>
                <w:szCs w:val="16"/>
              </w:rPr>
              <w:br/>
              <w:t>(2.4 - 5.0)</w:t>
            </w:r>
          </w:p>
        </w:tc>
        <w:tc>
          <w:tcPr>
            <w:tcW w:w="708" w:type="dxa"/>
            <w:tcBorders>
              <w:left w:val="nil"/>
              <w:bottom w:val="nil"/>
              <w:right w:val="nil"/>
            </w:tcBorders>
            <w:shd w:val="clear" w:color="auto" w:fill="DAEEF3" w:themeFill="accent5" w:themeFillTint="33"/>
            <w:vAlign w:val="center"/>
          </w:tcPr>
          <w:p w14:paraId="4F44AE7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58" w:type="dxa"/>
            <w:tcBorders>
              <w:left w:val="nil"/>
              <w:bottom w:val="nil"/>
              <w:right w:val="single" w:sz="4" w:space="0" w:color="auto"/>
            </w:tcBorders>
            <w:shd w:val="clear" w:color="auto" w:fill="DAEEF3" w:themeFill="accent5" w:themeFillTint="33"/>
            <w:vAlign w:val="center"/>
          </w:tcPr>
          <w:p w14:paraId="18E6DA3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80" w:type="dxa"/>
            <w:vMerge w:val="restart"/>
            <w:tcBorders>
              <w:left w:val="nil"/>
              <w:right w:val="single" w:sz="4" w:space="0" w:color="auto"/>
            </w:tcBorders>
            <w:shd w:val="clear" w:color="auto" w:fill="DAEEF3" w:themeFill="accent5" w:themeFillTint="33"/>
            <w:vAlign w:val="center"/>
          </w:tcPr>
          <w:p w14:paraId="6B4F0E0E" w14:textId="77777777" w:rsidR="00E1507C" w:rsidRPr="00AF3A24" w:rsidRDefault="00E1507C" w:rsidP="00E32510">
            <w:pPr>
              <w:spacing w:before="0" w:line="240" w:lineRule="auto"/>
              <w:jc w:val="center"/>
              <w:rPr>
                <w:rFonts w:asciiTheme="minorHAnsi" w:hAnsiTheme="minorHAnsi"/>
                <w:bCs/>
                <w:color w:val="000000"/>
                <w:sz w:val="16"/>
                <w:szCs w:val="16"/>
                <w:highlight w:val="cyan"/>
              </w:rPr>
            </w:pPr>
            <w:r w:rsidRPr="00AF3A24">
              <w:rPr>
                <w:rFonts w:asciiTheme="minorHAnsi" w:hAnsiTheme="minorHAnsi"/>
                <w:bCs/>
                <w:color w:val="000000"/>
                <w:sz w:val="16"/>
                <w:szCs w:val="16"/>
              </w:rPr>
              <w:t>.0013</w:t>
            </w:r>
          </w:p>
        </w:tc>
      </w:tr>
      <w:tr w:rsidR="00AB5CC7" w:rsidRPr="00AF3A24" w14:paraId="189B462D" w14:textId="77777777" w:rsidTr="00E32510">
        <w:tc>
          <w:tcPr>
            <w:tcW w:w="1057" w:type="dxa"/>
            <w:vMerge/>
            <w:tcBorders>
              <w:bottom w:val="single" w:sz="4" w:space="0" w:color="auto"/>
            </w:tcBorders>
            <w:shd w:val="clear" w:color="auto" w:fill="DAEEF3" w:themeFill="accent5" w:themeFillTint="33"/>
          </w:tcPr>
          <w:p w14:paraId="3AD7DC7B" w14:textId="77777777" w:rsidR="00AB5CC7" w:rsidRPr="00AF3A24" w:rsidRDefault="00AB5CC7" w:rsidP="00E32510">
            <w:pPr>
              <w:spacing w:before="0" w:line="240" w:lineRule="auto"/>
              <w:ind w:left="78"/>
              <w:jc w:val="center"/>
              <w:rPr>
                <w:rFonts w:asciiTheme="minorHAnsi" w:hAnsiTheme="minorHAnsi" w:cstheme="minorHAnsi"/>
                <w:sz w:val="16"/>
                <w:szCs w:val="16"/>
              </w:rPr>
            </w:pPr>
          </w:p>
        </w:tc>
        <w:tc>
          <w:tcPr>
            <w:tcW w:w="990" w:type="dxa"/>
            <w:tcBorders>
              <w:top w:val="nil"/>
              <w:bottom w:val="single" w:sz="4" w:space="0" w:color="auto"/>
            </w:tcBorders>
            <w:shd w:val="clear" w:color="auto" w:fill="DAEEF3" w:themeFill="accent5" w:themeFillTint="33"/>
            <w:vAlign w:val="center"/>
          </w:tcPr>
          <w:p w14:paraId="06321F9F" w14:textId="77777777" w:rsidR="00AB5CC7" w:rsidRPr="00AF3A24" w:rsidRDefault="00AB5CC7"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14" w:type="dxa"/>
            <w:tcBorders>
              <w:top w:val="nil"/>
              <w:bottom w:val="single" w:sz="4" w:space="0" w:color="auto"/>
              <w:right w:val="nil"/>
            </w:tcBorders>
            <w:shd w:val="clear" w:color="auto" w:fill="DAEEF3" w:themeFill="accent5" w:themeFillTint="33"/>
            <w:vAlign w:val="center"/>
          </w:tcPr>
          <w:p w14:paraId="4BF3CE6F"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5,386</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63435097"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47.9</w:t>
            </w:r>
            <w:r w:rsidRPr="00AF3A24">
              <w:rPr>
                <w:rFonts w:asciiTheme="minorHAnsi" w:hAnsiTheme="minorHAnsi"/>
                <w:bCs/>
                <w:color w:val="000000"/>
                <w:sz w:val="16"/>
                <w:szCs w:val="16"/>
              </w:rPr>
              <w:br/>
              <w:t>(46.4 - 49.3)</w:t>
            </w:r>
          </w:p>
        </w:tc>
        <w:tc>
          <w:tcPr>
            <w:tcW w:w="714" w:type="dxa"/>
            <w:tcBorders>
              <w:top w:val="nil"/>
              <w:left w:val="nil"/>
              <w:bottom w:val="single" w:sz="4" w:space="0" w:color="auto"/>
              <w:right w:val="nil"/>
            </w:tcBorders>
            <w:shd w:val="clear" w:color="auto" w:fill="DAEEF3" w:themeFill="accent5" w:themeFillTint="33"/>
            <w:vAlign w:val="center"/>
          </w:tcPr>
          <w:p w14:paraId="287789A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3687</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0CE8622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32.5</w:t>
            </w:r>
            <w:r w:rsidRPr="00AF3A24">
              <w:rPr>
                <w:rFonts w:asciiTheme="minorHAnsi" w:hAnsiTheme="minorHAnsi"/>
                <w:bCs/>
                <w:color w:val="000000"/>
                <w:sz w:val="16"/>
                <w:szCs w:val="16"/>
              </w:rPr>
              <w:br/>
              <w:t>(31.3 - 33.8)</w:t>
            </w:r>
          </w:p>
        </w:tc>
        <w:tc>
          <w:tcPr>
            <w:tcW w:w="714" w:type="dxa"/>
            <w:tcBorders>
              <w:top w:val="nil"/>
              <w:left w:val="nil"/>
              <w:bottom w:val="single" w:sz="4" w:space="0" w:color="auto"/>
              <w:right w:val="nil"/>
            </w:tcBorders>
            <w:shd w:val="clear" w:color="auto" w:fill="DAEEF3" w:themeFill="accent5" w:themeFillTint="33"/>
            <w:vAlign w:val="center"/>
          </w:tcPr>
          <w:p w14:paraId="4A0A1229"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1,387</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7F679E3C"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12.1</w:t>
            </w:r>
            <w:r w:rsidRPr="00AF3A24">
              <w:rPr>
                <w:rFonts w:asciiTheme="minorHAnsi" w:hAnsiTheme="minorHAnsi"/>
                <w:bCs/>
                <w:color w:val="000000"/>
                <w:sz w:val="16"/>
                <w:szCs w:val="16"/>
              </w:rPr>
              <w:br/>
              <w:t>(11.2 - 12.9)</w:t>
            </w:r>
          </w:p>
        </w:tc>
        <w:tc>
          <w:tcPr>
            <w:tcW w:w="708" w:type="dxa"/>
            <w:tcBorders>
              <w:top w:val="nil"/>
              <w:left w:val="nil"/>
              <w:bottom w:val="single" w:sz="4" w:space="0" w:color="auto"/>
              <w:right w:val="nil"/>
            </w:tcBorders>
            <w:shd w:val="clear" w:color="auto" w:fill="DAEEF3" w:themeFill="accent5" w:themeFillTint="33"/>
            <w:vAlign w:val="center"/>
          </w:tcPr>
          <w:p w14:paraId="452E60D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510</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1F466B2E"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(4.0 - 5.0)</w:t>
            </w:r>
          </w:p>
        </w:tc>
        <w:tc>
          <w:tcPr>
            <w:tcW w:w="708" w:type="dxa"/>
            <w:tcBorders>
              <w:top w:val="nil"/>
              <w:left w:val="nil"/>
              <w:bottom w:val="single" w:sz="4" w:space="0" w:color="auto"/>
              <w:right w:val="nil"/>
            </w:tcBorders>
            <w:shd w:val="clear" w:color="auto" w:fill="DAEEF3" w:themeFill="accent5" w:themeFillTint="33"/>
            <w:vAlign w:val="center"/>
          </w:tcPr>
          <w:p w14:paraId="6B8A9156"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307</w:t>
            </w:r>
          </w:p>
        </w:tc>
        <w:tc>
          <w:tcPr>
            <w:tcW w:w="1058" w:type="dxa"/>
            <w:tcBorders>
              <w:top w:val="nil"/>
              <w:left w:val="nil"/>
              <w:bottom w:val="single" w:sz="4" w:space="0" w:color="auto"/>
              <w:right w:val="single" w:sz="4" w:space="0" w:color="auto"/>
            </w:tcBorders>
            <w:shd w:val="clear" w:color="auto" w:fill="DAEEF3" w:themeFill="accent5" w:themeFillTint="33"/>
            <w:vAlign w:val="center"/>
          </w:tcPr>
          <w:p w14:paraId="3DF670FA" w14:textId="77777777" w:rsidR="00AB5CC7" w:rsidRPr="00AF3A24" w:rsidRDefault="00AB5CC7"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(2.6 - 3.5)</w:t>
            </w:r>
          </w:p>
        </w:tc>
        <w:tc>
          <w:tcPr>
            <w:tcW w:w="780" w:type="dxa"/>
            <w:vMerge/>
            <w:tcBorders>
              <w:left w:val="nil"/>
              <w:bottom w:val="single" w:sz="4" w:space="0" w:color="auto"/>
              <w:right w:val="single" w:sz="4" w:space="0" w:color="auto"/>
            </w:tcBorders>
            <w:shd w:val="clear" w:color="auto" w:fill="DAEEF3" w:themeFill="accent5" w:themeFillTint="33"/>
            <w:vAlign w:val="center"/>
          </w:tcPr>
          <w:p w14:paraId="3258ED7B" w14:textId="77777777" w:rsidR="00AB5CC7" w:rsidRPr="00AF3A24" w:rsidRDefault="00AB5CC7" w:rsidP="00E32510">
            <w:pPr>
              <w:spacing w:before="0" w:line="240" w:lineRule="auto"/>
              <w:jc w:val="center"/>
              <w:rPr>
                <w:rFonts w:asciiTheme="minorHAnsi" w:hAnsiTheme="minorHAnsi"/>
                <w:bCs/>
                <w:color w:val="000000"/>
                <w:sz w:val="16"/>
                <w:szCs w:val="16"/>
              </w:rPr>
            </w:pPr>
          </w:p>
        </w:tc>
      </w:tr>
    </w:tbl>
    <w:p w14:paraId="17DFF28F" w14:textId="77777777" w:rsidR="00AB5CC7" w:rsidRPr="00AF3A24" w:rsidRDefault="00AB5CC7" w:rsidP="00AB5CC7">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056912FF" w14:textId="77777777" w:rsidR="00AB5CC7" w:rsidRPr="00AF3A24" w:rsidRDefault="00AB5CC7" w:rsidP="00D75319">
      <w:pPr>
        <w:pStyle w:val="ListParagraph"/>
        <w:numPr>
          <w:ilvl w:val="0"/>
          <w:numId w:val="12"/>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2B0A7936" w14:textId="6367DA4D" w:rsidR="00AB5CC7" w:rsidRPr="00A93BB4" w:rsidRDefault="00A93BB4" w:rsidP="00D75319">
      <w:pPr>
        <w:pStyle w:val="ListParagraph"/>
        <w:numPr>
          <w:ilvl w:val="0"/>
          <w:numId w:val="12"/>
        </w:numPr>
        <w:spacing w:line="240" w:lineRule="auto"/>
        <w:ind w:right="850"/>
        <w:rPr>
          <w:rFonts w:asciiTheme="minorHAnsi" w:hAnsiTheme="minorHAnsi" w:cstheme="minorHAnsi"/>
          <w:sz w:val="16"/>
          <w:szCs w:val="16"/>
        </w:rPr>
      </w:pPr>
      <w:r w:rsidRPr="0011049C">
        <w:rPr>
          <w:rFonts w:asciiTheme="minorHAnsi" w:hAnsiTheme="minorHAnsi" w:cstheme="minorHAnsi"/>
          <w:sz w:val="16"/>
          <w:szCs w:val="16"/>
        </w:rPr>
        <w:t xml:space="preserve">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w:t>
      </w:r>
      <w:r w:rsidRPr="006A59F8">
        <w:rPr>
          <w:rFonts w:asciiTheme="minorHAnsi" w:hAnsiTheme="minorHAnsi" w:cstheme="minorHAnsi"/>
          <w:sz w:val="16"/>
          <w:szCs w:val="16"/>
        </w:rPr>
        <w:t>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sidRPr="0011049C">
        <w:rPr>
          <w:rFonts w:asciiTheme="minorHAnsi" w:hAnsiTheme="minorHAnsi" w:cstheme="minorHAnsi"/>
          <w:sz w:val="16"/>
          <w:szCs w:val="16"/>
        </w:rPr>
        <w:t>.</w:t>
      </w:r>
    </w:p>
    <w:p w14:paraId="4BD8C56A" w14:textId="77777777" w:rsidR="00AB5CC7" w:rsidRDefault="00AB5CC7">
      <w:pPr>
        <w:spacing w:before="0" w:after="200" w:line="276" w:lineRule="auto"/>
        <w:jc w:val="left"/>
        <w:rPr>
          <w:rFonts w:asciiTheme="minorHAnsi" w:hAnsiTheme="minorHAnsi" w:cstheme="minorHAnsi"/>
          <w:b/>
          <w:bCs/>
          <w:iCs/>
          <w:color w:val="1F497D"/>
        </w:rPr>
      </w:pPr>
    </w:p>
    <w:p w14:paraId="561A4135" w14:textId="77777777" w:rsidR="003868A2" w:rsidRDefault="003868A2">
      <w:pPr>
        <w:spacing w:before="0" w:after="200" w:line="276" w:lineRule="auto"/>
        <w:jc w:val="left"/>
        <w:rPr>
          <w:rFonts w:asciiTheme="minorHAnsi" w:hAnsiTheme="minorHAnsi" w:cstheme="minorHAnsi"/>
          <w:b/>
          <w:bCs/>
          <w:iCs/>
          <w:color w:val="1F497D"/>
        </w:rPr>
      </w:pPr>
    </w:p>
    <w:p w14:paraId="484475F4" w14:textId="77777777" w:rsidR="003868A2" w:rsidRPr="00FB0B7B" w:rsidRDefault="003868A2" w:rsidP="008F7A58">
      <w:pPr>
        <w:pStyle w:val="FionasAppendixtitles"/>
        <w:ind w:left="1134"/>
      </w:pPr>
      <w:bookmarkStart w:id="285" w:name="_Ref399764848"/>
      <w:bookmarkStart w:id="286" w:name="_Toc403833215"/>
      <w:r w:rsidRPr="00FB0B7B">
        <w:lastRenderedPageBreak/>
        <w:t>Preferred gambling activity</w:t>
      </w:r>
      <w:bookmarkEnd w:id="285"/>
      <w:bookmarkEnd w:id="286"/>
    </w:p>
    <w:p w14:paraId="056DFA78" w14:textId="0BE1975F" w:rsidR="003868A2" w:rsidRPr="00AF3A24" w:rsidRDefault="003868A2" w:rsidP="003868A2">
      <w:pPr>
        <w:pStyle w:val="Caption"/>
        <w:keepNext/>
        <w:spacing w:line="276" w:lineRule="auto"/>
        <w:rPr>
          <w:rFonts w:asciiTheme="minorHAnsi" w:hAnsiTheme="minorHAnsi" w:cstheme="minorHAnsi"/>
          <w:i/>
        </w:rPr>
      </w:pPr>
      <w:bookmarkStart w:id="287" w:name="_Ref399764832"/>
      <w:bookmarkStart w:id="288" w:name="_Toc425426889"/>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22</w:t>
      </w:r>
      <w:r w:rsidRPr="00AF3A24">
        <w:rPr>
          <w:rFonts w:asciiTheme="minorHAnsi" w:hAnsiTheme="minorHAnsi"/>
          <w:i/>
        </w:rPr>
        <w:fldChar w:fldCharType="end"/>
      </w:r>
      <w:bookmarkEnd w:id="287"/>
      <w:r w:rsidRPr="00AF3A24">
        <w:rPr>
          <w:rFonts w:asciiTheme="minorHAnsi" w:hAnsiTheme="minorHAnsi"/>
          <w:i/>
        </w:rPr>
        <w:t>:</w:t>
      </w:r>
      <w:r w:rsidR="003C2066">
        <w:rPr>
          <w:rFonts w:asciiTheme="minorHAnsi" w:hAnsiTheme="minorHAnsi" w:cstheme="minorHAnsi"/>
          <w:i/>
        </w:rPr>
        <w:t xml:space="preserve"> </w:t>
      </w:r>
      <w:r w:rsidRPr="00AF3A24">
        <w:rPr>
          <w:rFonts w:asciiTheme="minorHAnsi" w:hAnsiTheme="minorHAnsi" w:cstheme="minorHAnsi"/>
          <w:i/>
        </w:rPr>
        <w:t xml:space="preserve">Preferred gambling activity by demographics, past-year gamblers (unadjusted prevalence; N=6,549) </w:t>
      </w:r>
      <w:r w:rsidRPr="00AF3A24">
        <w:rPr>
          <w:rFonts w:asciiTheme="minorHAnsi" w:hAnsiTheme="minorHAnsi" w:cstheme="minorHAnsi"/>
          <w:i/>
          <w:vertAlign w:val="superscript"/>
        </w:rPr>
        <w:t xml:space="preserve">1 </w:t>
      </w:r>
      <w:r w:rsidR="00DC770D">
        <w:rPr>
          <w:rFonts w:asciiTheme="minorHAnsi" w:hAnsiTheme="minorHAnsi" w:cstheme="minorHAnsi"/>
          <w:i/>
          <w:vertAlign w:val="superscript"/>
        </w:rPr>
        <w:t>2</w:t>
      </w:r>
      <w:bookmarkEnd w:id="288"/>
    </w:p>
    <w:tbl>
      <w:tblPr>
        <w:tblStyle w:val="TableGrid"/>
        <w:tblW w:w="10524" w:type="dxa"/>
        <w:tblInd w:w="-459" w:type="dxa"/>
        <w:tblLayout w:type="fixed"/>
        <w:tblLook w:val="04A0" w:firstRow="1" w:lastRow="0" w:firstColumn="1" w:lastColumn="0" w:noHBand="0" w:noVBand="1"/>
      </w:tblPr>
      <w:tblGrid>
        <w:gridCol w:w="1417"/>
        <w:gridCol w:w="984"/>
        <w:gridCol w:w="689"/>
        <w:gridCol w:w="1156"/>
        <w:gridCol w:w="688"/>
        <w:gridCol w:w="1352"/>
        <w:gridCol w:w="693"/>
        <w:gridCol w:w="1495"/>
        <w:gridCol w:w="821"/>
        <w:gridCol w:w="1229"/>
      </w:tblGrid>
      <w:tr w:rsidR="003868A2" w:rsidRPr="00AF3A24" w14:paraId="3F4A958E" w14:textId="77777777" w:rsidTr="00E32510">
        <w:trPr>
          <w:trHeight w:val="386"/>
        </w:trPr>
        <w:tc>
          <w:tcPr>
            <w:tcW w:w="2401" w:type="dxa"/>
            <w:gridSpan w:val="2"/>
            <w:tcBorders>
              <w:bottom w:val="single" w:sz="4" w:space="0" w:color="auto"/>
            </w:tcBorders>
            <w:shd w:val="clear" w:color="auto" w:fill="92CDDC" w:themeFill="accent5" w:themeFillTint="99"/>
          </w:tcPr>
          <w:p w14:paraId="672E857D" w14:textId="77777777" w:rsidR="003868A2" w:rsidRPr="00AF3A24" w:rsidRDefault="003868A2" w:rsidP="00E32510">
            <w:pPr>
              <w:spacing w:before="0" w:line="240" w:lineRule="auto"/>
              <w:jc w:val="left"/>
              <w:rPr>
                <w:rFonts w:asciiTheme="minorHAnsi" w:hAnsiTheme="minorHAnsi" w:cstheme="minorHAnsi"/>
                <w:b/>
                <w:sz w:val="18"/>
                <w:szCs w:val="18"/>
              </w:rPr>
            </w:pPr>
          </w:p>
        </w:tc>
        <w:tc>
          <w:tcPr>
            <w:tcW w:w="8123" w:type="dxa"/>
            <w:gridSpan w:val="8"/>
            <w:tcBorders>
              <w:bottom w:val="single" w:sz="4" w:space="0" w:color="auto"/>
            </w:tcBorders>
            <w:shd w:val="clear" w:color="auto" w:fill="92CDDC" w:themeFill="accent5" w:themeFillTint="99"/>
            <w:vAlign w:val="center"/>
          </w:tcPr>
          <w:p w14:paraId="7EC3F994"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PREFERRED GAMBLING ACTIVITY</w:t>
            </w:r>
          </w:p>
        </w:tc>
      </w:tr>
      <w:tr w:rsidR="003868A2" w:rsidRPr="00AF3A24" w14:paraId="282280B5" w14:textId="77777777" w:rsidTr="00E32510">
        <w:trPr>
          <w:trHeight w:val="386"/>
        </w:trPr>
        <w:tc>
          <w:tcPr>
            <w:tcW w:w="2401" w:type="dxa"/>
            <w:gridSpan w:val="2"/>
            <w:vMerge w:val="restart"/>
            <w:tcBorders>
              <w:bottom w:val="single" w:sz="4" w:space="0" w:color="auto"/>
            </w:tcBorders>
            <w:shd w:val="clear" w:color="auto" w:fill="92CDDC" w:themeFill="accent5" w:themeFillTint="99"/>
          </w:tcPr>
          <w:p w14:paraId="2B584CEB" w14:textId="77777777" w:rsidR="003868A2" w:rsidRPr="00AF3A24" w:rsidRDefault="003868A2" w:rsidP="00E32510">
            <w:pPr>
              <w:spacing w:before="0" w:line="240" w:lineRule="auto"/>
              <w:jc w:val="left"/>
              <w:rPr>
                <w:rFonts w:asciiTheme="minorHAnsi" w:hAnsiTheme="minorHAnsi" w:cstheme="minorHAnsi"/>
                <w:b/>
                <w:sz w:val="18"/>
                <w:szCs w:val="18"/>
              </w:rPr>
            </w:pPr>
          </w:p>
        </w:tc>
        <w:tc>
          <w:tcPr>
            <w:tcW w:w="1845" w:type="dxa"/>
            <w:gridSpan w:val="2"/>
            <w:tcBorders>
              <w:bottom w:val="single" w:sz="4" w:space="0" w:color="auto"/>
            </w:tcBorders>
            <w:shd w:val="clear" w:color="auto" w:fill="92CDDC" w:themeFill="accent5" w:themeFillTint="99"/>
            <w:vAlign w:val="center"/>
          </w:tcPr>
          <w:p w14:paraId="758B8F29"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Lotto </w:t>
            </w:r>
            <w:r w:rsidRPr="00AF3A24">
              <w:rPr>
                <w:rFonts w:asciiTheme="minorHAnsi" w:hAnsiTheme="minorHAnsi" w:cstheme="minorHAnsi"/>
                <w:b/>
                <w:sz w:val="18"/>
                <w:szCs w:val="18"/>
                <w:vertAlign w:val="superscript"/>
              </w:rPr>
              <w:t>3</w:t>
            </w:r>
          </w:p>
        </w:tc>
        <w:tc>
          <w:tcPr>
            <w:tcW w:w="2040" w:type="dxa"/>
            <w:gridSpan w:val="2"/>
            <w:tcBorders>
              <w:bottom w:val="single" w:sz="4" w:space="0" w:color="auto"/>
            </w:tcBorders>
            <w:shd w:val="clear" w:color="auto" w:fill="92CDDC" w:themeFill="accent5" w:themeFillTint="99"/>
            <w:vAlign w:val="center"/>
          </w:tcPr>
          <w:p w14:paraId="06001627"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Instant Kiwi or other scratch tickets</w:t>
            </w:r>
          </w:p>
        </w:tc>
        <w:tc>
          <w:tcPr>
            <w:tcW w:w="2188" w:type="dxa"/>
            <w:gridSpan w:val="2"/>
            <w:tcBorders>
              <w:bottom w:val="single" w:sz="4" w:space="0" w:color="auto"/>
            </w:tcBorders>
            <w:shd w:val="clear" w:color="auto" w:fill="92CDDC" w:themeFill="accent5" w:themeFillTint="99"/>
            <w:vAlign w:val="center"/>
          </w:tcPr>
          <w:p w14:paraId="4C5E8C31"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Track betting</w:t>
            </w:r>
          </w:p>
        </w:tc>
        <w:tc>
          <w:tcPr>
            <w:tcW w:w="2050" w:type="dxa"/>
            <w:gridSpan w:val="2"/>
            <w:tcBorders>
              <w:bottom w:val="single" w:sz="4" w:space="0" w:color="auto"/>
            </w:tcBorders>
            <w:shd w:val="clear" w:color="auto" w:fill="92CDDC" w:themeFill="accent5" w:themeFillTint="99"/>
            <w:vAlign w:val="center"/>
          </w:tcPr>
          <w:p w14:paraId="62350C37"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Sports betting</w:t>
            </w:r>
          </w:p>
        </w:tc>
      </w:tr>
      <w:tr w:rsidR="003868A2" w:rsidRPr="00AF3A24" w14:paraId="1D56E861" w14:textId="77777777" w:rsidTr="00E32510">
        <w:trPr>
          <w:trHeight w:val="386"/>
        </w:trPr>
        <w:tc>
          <w:tcPr>
            <w:tcW w:w="2401" w:type="dxa"/>
            <w:gridSpan w:val="2"/>
            <w:vMerge/>
            <w:tcBorders>
              <w:bottom w:val="single" w:sz="4" w:space="0" w:color="auto"/>
            </w:tcBorders>
            <w:shd w:val="clear" w:color="auto" w:fill="92CDDC" w:themeFill="accent5" w:themeFillTint="99"/>
          </w:tcPr>
          <w:p w14:paraId="4EB07AB7" w14:textId="77777777" w:rsidR="003868A2" w:rsidRPr="00AF3A24" w:rsidRDefault="003868A2" w:rsidP="00E32510">
            <w:pPr>
              <w:spacing w:before="0" w:line="240" w:lineRule="auto"/>
              <w:jc w:val="left"/>
              <w:rPr>
                <w:rFonts w:asciiTheme="minorHAnsi" w:hAnsiTheme="minorHAnsi" w:cstheme="minorHAnsi"/>
                <w:b/>
                <w:sz w:val="18"/>
                <w:szCs w:val="18"/>
              </w:rPr>
            </w:pPr>
          </w:p>
        </w:tc>
        <w:tc>
          <w:tcPr>
            <w:tcW w:w="689" w:type="dxa"/>
            <w:tcBorders>
              <w:bottom w:val="single" w:sz="4" w:space="0" w:color="auto"/>
            </w:tcBorders>
            <w:shd w:val="clear" w:color="auto" w:fill="92CDDC" w:themeFill="accent5" w:themeFillTint="99"/>
            <w:vAlign w:val="center"/>
          </w:tcPr>
          <w:p w14:paraId="6360ABF3"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156" w:type="dxa"/>
            <w:tcBorders>
              <w:bottom w:val="single" w:sz="4" w:space="0" w:color="auto"/>
            </w:tcBorders>
            <w:shd w:val="clear" w:color="auto" w:fill="92CDDC" w:themeFill="accent5" w:themeFillTint="99"/>
            <w:vAlign w:val="center"/>
          </w:tcPr>
          <w:p w14:paraId="0EB17195"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85F0E9C"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688" w:type="dxa"/>
            <w:tcBorders>
              <w:bottom w:val="single" w:sz="4" w:space="0" w:color="auto"/>
            </w:tcBorders>
            <w:shd w:val="clear" w:color="auto" w:fill="92CDDC" w:themeFill="accent5" w:themeFillTint="99"/>
            <w:vAlign w:val="center"/>
          </w:tcPr>
          <w:p w14:paraId="01C05A55"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352" w:type="dxa"/>
            <w:tcBorders>
              <w:bottom w:val="single" w:sz="4" w:space="0" w:color="auto"/>
            </w:tcBorders>
            <w:shd w:val="clear" w:color="auto" w:fill="92CDDC" w:themeFill="accent5" w:themeFillTint="99"/>
            <w:vAlign w:val="center"/>
          </w:tcPr>
          <w:p w14:paraId="4B561252"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4009AA69"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c>
          <w:tcPr>
            <w:tcW w:w="693" w:type="dxa"/>
            <w:tcBorders>
              <w:bottom w:val="single" w:sz="4" w:space="0" w:color="auto"/>
            </w:tcBorders>
            <w:shd w:val="clear" w:color="auto" w:fill="92CDDC" w:themeFill="accent5" w:themeFillTint="99"/>
            <w:vAlign w:val="center"/>
          </w:tcPr>
          <w:p w14:paraId="4DDB47B9"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495" w:type="dxa"/>
            <w:tcBorders>
              <w:bottom w:val="single" w:sz="4" w:space="0" w:color="auto"/>
            </w:tcBorders>
            <w:shd w:val="clear" w:color="auto" w:fill="92CDDC" w:themeFill="accent5" w:themeFillTint="99"/>
            <w:vAlign w:val="center"/>
          </w:tcPr>
          <w:p w14:paraId="705B6C48"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7E55EB75"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c>
          <w:tcPr>
            <w:tcW w:w="821" w:type="dxa"/>
            <w:tcBorders>
              <w:bottom w:val="single" w:sz="4" w:space="0" w:color="auto"/>
            </w:tcBorders>
            <w:shd w:val="clear" w:color="auto" w:fill="92CDDC" w:themeFill="accent5" w:themeFillTint="99"/>
            <w:vAlign w:val="center"/>
          </w:tcPr>
          <w:p w14:paraId="4136D786"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229" w:type="dxa"/>
            <w:tcBorders>
              <w:bottom w:val="single" w:sz="4" w:space="0" w:color="auto"/>
            </w:tcBorders>
            <w:shd w:val="clear" w:color="auto" w:fill="92CDDC" w:themeFill="accent5" w:themeFillTint="99"/>
            <w:vAlign w:val="center"/>
          </w:tcPr>
          <w:p w14:paraId="6FF6F86F"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70A5A279"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r>
      <w:tr w:rsidR="003868A2" w:rsidRPr="00AF3A24" w14:paraId="34EBA582" w14:textId="77777777" w:rsidTr="00E32510">
        <w:tc>
          <w:tcPr>
            <w:tcW w:w="2401" w:type="dxa"/>
            <w:gridSpan w:val="2"/>
            <w:tcBorders>
              <w:top w:val="nil"/>
              <w:bottom w:val="nil"/>
            </w:tcBorders>
            <w:shd w:val="clear" w:color="auto" w:fill="DAEEF3" w:themeFill="accent5" w:themeFillTint="33"/>
            <w:vAlign w:val="center"/>
          </w:tcPr>
          <w:p w14:paraId="2A1DA4C9" w14:textId="77777777" w:rsidR="003868A2" w:rsidRPr="00AF3A24" w:rsidRDefault="003868A2" w:rsidP="00E32510">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689" w:type="dxa"/>
            <w:tcBorders>
              <w:top w:val="nil"/>
              <w:bottom w:val="nil"/>
              <w:right w:val="nil"/>
            </w:tcBorders>
            <w:shd w:val="clear" w:color="auto" w:fill="DAEEF3" w:themeFill="accent5" w:themeFillTint="33"/>
            <w:vAlign w:val="center"/>
          </w:tcPr>
          <w:p w14:paraId="4E477ACD"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1,027</w:t>
            </w:r>
          </w:p>
        </w:tc>
        <w:tc>
          <w:tcPr>
            <w:tcW w:w="1156" w:type="dxa"/>
            <w:tcBorders>
              <w:top w:val="nil"/>
              <w:left w:val="nil"/>
              <w:bottom w:val="nil"/>
              <w:right w:val="single" w:sz="4" w:space="0" w:color="auto"/>
            </w:tcBorders>
            <w:shd w:val="clear" w:color="auto" w:fill="DAEEF3" w:themeFill="accent5" w:themeFillTint="33"/>
            <w:vAlign w:val="center"/>
          </w:tcPr>
          <w:p w14:paraId="273EE4C3"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43.8</w:t>
            </w:r>
            <w:r w:rsidRPr="00AF3A24">
              <w:rPr>
                <w:rFonts w:asciiTheme="minorHAnsi" w:hAnsiTheme="minorHAnsi"/>
                <w:bCs/>
                <w:color w:val="000000"/>
                <w:sz w:val="16"/>
                <w:szCs w:val="16"/>
              </w:rPr>
              <w:br/>
              <w:t>(41.2 - 46.4)</w:t>
            </w:r>
          </w:p>
        </w:tc>
        <w:tc>
          <w:tcPr>
            <w:tcW w:w="688" w:type="dxa"/>
            <w:tcBorders>
              <w:top w:val="nil"/>
              <w:left w:val="nil"/>
              <w:bottom w:val="nil"/>
              <w:right w:val="nil"/>
            </w:tcBorders>
            <w:shd w:val="clear" w:color="auto" w:fill="DAEEF3" w:themeFill="accent5" w:themeFillTint="33"/>
            <w:vAlign w:val="center"/>
          </w:tcPr>
          <w:p w14:paraId="32DAE1F6"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395</w:t>
            </w:r>
          </w:p>
        </w:tc>
        <w:tc>
          <w:tcPr>
            <w:tcW w:w="1352" w:type="dxa"/>
            <w:tcBorders>
              <w:top w:val="nil"/>
              <w:left w:val="nil"/>
              <w:bottom w:val="nil"/>
              <w:right w:val="single" w:sz="4" w:space="0" w:color="auto"/>
            </w:tcBorders>
            <w:shd w:val="clear" w:color="auto" w:fill="DAEEF3" w:themeFill="accent5" w:themeFillTint="33"/>
            <w:vAlign w:val="center"/>
          </w:tcPr>
          <w:p w14:paraId="121B5B09"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18.4</w:t>
            </w:r>
            <w:r w:rsidRPr="00AF3A24">
              <w:rPr>
                <w:rFonts w:asciiTheme="minorHAnsi" w:hAnsiTheme="minorHAnsi" w:cstheme="minorHAnsi"/>
                <w:sz w:val="16"/>
                <w:szCs w:val="16"/>
              </w:rPr>
              <w:br/>
              <w:t>(16.3 - 20.5)</w:t>
            </w:r>
          </w:p>
        </w:tc>
        <w:tc>
          <w:tcPr>
            <w:tcW w:w="693" w:type="dxa"/>
            <w:tcBorders>
              <w:top w:val="nil"/>
              <w:left w:val="nil"/>
              <w:bottom w:val="nil"/>
              <w:right w:val="nil"/>
            </w:tcBorders>
            <w:shd w:val="clear" w:color="auto" w:fill="DAEEF3" w:themeFill="accent5" w:themeFillTint="33"/>
            <w:vAlign w:val="center"/>
          </w:tcPr>
          <w:p w14:paraId="3E801261"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259</w:t>
            </w:r>
          </w:p>
        </w:tc>
        <w:tc>
          <w:tcPr>
            <w:tcW w:w="1495" w:type="dxa"/>
            <w:tcBorders>
              <w:top w:val="nil"/>
              <w:left w:val="nil"/>
              <w:bottom w:val="nil"/>
              <w:right w:val="single" w:sz="4" w:space="0" w:color="auto"/>
            </w:tcBorders>
            <w:shd w:val="clear" w:color="auto" w:fill="DAEEF3" w:themeFill="accent5" w:themeFillTint="33"/>
            <w:vAlign w:val="center"/>
          </w:tcPr>
          <w:p w14:paraId="524DF039"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11.5</w:t>
            </w:r>
            <w:r w:rsidRPr="00AF3A24">
              <w:rPr>
                <w:rFonts w:asciiTheme="minorHAnsi" w:hAnsiTheme="minorHAnsi" w:cstheme="minorHAnsi"/>
                <w:sz w:val="16"/>
                <w:szCs w:val="16"/>
              </w:rPr>
              <w:br/>
              <w:t>(9.9 - 13.2)</w:t>
            </w:r>
          </w:p>
        </w:tc>
        <w:tc>
          <w:tcPr>
            <w:tcW w:w="821" w:type="dxa"/>
            <w:tcBorders>
              <w:top w:val="nil"/>
              <w:left w:val="nil"/>
              <w:bottom w:val="nil"/>
              <w:right w:val="nil"/>
            </w:tcBorders>
            <w:shd w:val="clear" w:color="auto" w:fill="DAEEF3" w:themeFill="accent5" w:themeFillTint="33"/>
            <w:vAlign w:val="center"/>
          </w:tcPr>
          <w:p w14:paraId="1305A482"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76</w:t>
            </w:r>
          </w:p>
        </w:tc>
        <w:tc>
          <w:tcPr>
            <w:tcW w:w="1229" w:type="dxa"/>
            <w:tcBorders>
              <w:top w:val="nil"/>
              <w:left w:val="nil"/>
              <w:bottom w:val="nil"/>
              <w:right w:val="single" w:sz="4" w:space="0" w:color="auto"/>
            </w:tcBorders>
            <w:shd w:val="clear" w:color="auto" w:fill="DAEEF3" w:themeFill="accent5" w:themeFillTint="33"/>
            <w:vAlign w:val="center"/>
          </w:tcPr>
          <w:p w14:paraId="5A84D4FC"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4.3</w:t>
            </w:r>
            <w:r w:rsidRPr="00AF3A24">
              <w:rPr>
                <w:rFonts w:asciiTheme="minorHAnsi" w:hAnsiTheme="minorHAnsi" w:cstheme="minorHAnsi"/>
                <w:sz w:val="16"/>
                <w:szCs w:val="16"/>
              </w:rPr>
              <w:br/>
              <w:t>(3.1 - 5.4)</w:t>
            </w:r>
          </w:p>
        </w:tc>
      </w:tr>
      <w:tr w:rsidR="00E1507C" w:rsidRPr="00AF3A24" w14:paraId="0829D851" w14:textId="77777777" w:rsidTr="00E32510">
        <w:tc>
          <w:tcPr>
            <w:tcW w:w="1417" w:type="dxa"/>
            <w:vMerge w:val="restart"/>
            <w:tcBorders>
              <w:top w:val="single" w:sz="4" w:space="0" w:color="auto"/>
            </w:tcBorders>
            <w:shd w:val="clear" w:color="auto" w:fill="DAEEF3" w:themeFill="accent5" w:themeFillTint="33"/>
            <w:vAlign w:val="center"/>
          </w:tcPr>
          <w:p w14:paraId="4F393D86" w14:textId="77777777" w:rsidR="00E1507C" w:rsidRPr="00AF3A24" w:rsidRDefault="00E1507C" w:rsidP="00E32510">
            <w:pPr>
              <w:spacing w:before="0" w:line="240" w:lineRule="auto"/>
              <w:ind w:left="78"/>
              <w:jc w:val="left"/>
              <w:rPr>
                <w:rFonts w:asciiTheme="minorHAnsi" w:hAnsiTheme="minorHAnsi" w:cstheme="minorHAnsi"/>
                <w:sz w:val="16"/>
                <w:szCs w:val="18"/>
              </w:rPr>
            </w:pPr>
            <w:r w:rsidRPr="00AF3A24">
              <w:rPr>
                <w:rFonts w:asciiTheme="minorHAnsi" w:hAnsiTheme="minorHAnsi" w:cstheme="minorHAnsi"/>
                <w:sz w:val="16"/>
                <w:szCs w:val="18"/>
              </w:rPr>
              <w:t xml:space="preserve">By </w:t>
            </w:r>
            <w:r w:rsidRPr="00AF3A24">
              <w:rPr>
                <w:rFonts w:asciiTheme="minorHAnsi" w:hAnsiTheme="minorHAnsi" w:cstheme="minorHAnsi"/>
                <w:sz w:val="16"/>
                <w:szCs w:val="16"/>
              </w:rPr>
              <w:t>Gender</w:t>
            </w:r>
          </w:p>
        </w:tc>
        <w:tc>
          <w:tcPr>
            <w:tcW w:w="984" w:type="dxa"/>
            <w:tcBorders>
              <w:top w:val="single" w:sz="4" w:space="0" w:color="auto"/>
              <w:bottom w:val="nil"/>
            </w:tcBorders>
            <w:shd w:val="clear" w:color="auto" w:fill="DAEEF3" w:themeFill="accent5" w:themeFillTint="33"/>
            <w:vAlign w:val="center"/>
          </w:tcPr>
          <w:p w14:paraId="61FA1A97"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689" w:type="dxa"/>
            <w:tcBorders>
              <w:bottom w:val="nil"/>
              <w:right w:val="nil"/>
            </w:tcBorders>
            <w:shd w:val="clear" w:color="auto" w:fill="DAEEF3" w:themeFill="accent5" w:themeFillTint="33"/>
            <w:vAlign w:val="center"/>
          </w:tcPr>
          <w:p w14:paraId="52DAF5A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613</w:t>
            </w:r>
          </w:p>
        </w:tc>
        <w:tc>
          <w:tcPr>
            <w:tcW w:w="1156" w:type="dxa"/>
            <w:tcBorders>
              <w:left w:val="nil"/>
              <w:bottom w:val="nil"/>
              <w:right w:val="single" w:sz="4" w:space="0" w:color="auto"/>
            </w:tcBorders>
            <w:shd w:val="clear" w:color="auto" w:fill="DAEEF3" w:themeFill="accent5" w:themeFillTint="33"/>
            <w:vAlign w:val="center"/>
          </w:tcPr>
          <w:p w14:paraId="35102AD1"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44.0</w:t>
            </w:r>
            <w:r w:rsidRPr="00AF3A24">
              <w:rPr>
                <w:rFonts w:asciiTheme="minorHAnsi" w:hAnsiTheme="minorHAnsi"/>
                <w:bCs/>
                <w:color w:val="000000"/>
                <w:sz w:val="16"/>
                <w:szCs w:val="16"/>
              </w:rPr>
              <w:br/>
              <w:t>(40.5 - 47.6)</w:t>
            </w:r>
          </w:p>
        </w:tc>
        <w:tc>
          <w:tcPr>
            <w:tcW w:w="688" w:type="dxa"/>
            <w:tcBorders>
              <w:left w:val="nil"/>
              <w:bottom w:val="nil"/>
              <w:right w:val="nil"/>
            </w:tcBorders>
            <w:shd w:val="clear" w:color="auto" w:fill="DAEEF3" w:themeFill="accent5" w:themeFillTint="33"/>
            <w:vAlign w:val="center"/>
          </w:tcPr>
          <w:p w14:paraId="4847718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302</w:t>
            </w:r>
          </w:p>
        </w:tc>
        <w:tc>
          <w:tcPr>
            <w:tcW w:w="1352" w:type="dxa"/>
            <w:tcBorders>
              <w:left w:val="nil"/>
              <w:bottom w:val="nil"/>
              <w:right w:val="single" w:sz="4" w:space="0" w:color="auto"/>
            </w:tcBorders>
            <w:shd w:val="clear" w:color="auto" w:fill="DAEEF3" w:themeFill="accent5" w:themeFillTint="33"/>
            <w:vAlign w:val="center"/>
          </w:tcPr>
          <w:p w14:paraId="77DA8368"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26.5</w:t>
            </w:r>
            <w:r w:rsidRPr="00AF3A24">
              <w:rPr>
                <w:rFonts w:asciiTheme="minorHAnsi" w:hAnsiTheme="minorHAnsi"/>
                <w:bCs/>
                <w:color w:val="000000"/>
                <w:sz w:val="16"/>
                <w:szCs w:val="16"/>
              </w:rPr>
              <w:br/>
              <w:t>(23.2 - 29.8)</w:t>
            </w:r>
          </w:p>
        </w:tc>
        <w:tc>
          <w:tcPr>
            <w:tcW w:w="693" w:type="dxa"/>
            <w:tcBorders>
              <w:left w:val="nil"/>
              <w:bottom w:val="nil"/>
              <w:right w:val="nil"/>
            </w:tcBorders>
            <w:shd w:val="clear" w:color="auto" w:fill="DAEEF3" w:themeFill="accent5" w:themeFillTint="33"/>
            <w:vAlign w:val="center"/>
          </w:tcPr>
          <w:p w14:paraId="14F01E4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w:t>
            </w:r>
          </w:p>
        </w:tc>
        <w:tc>
          <w:tcPr>
            <w:tcW w:w="1495" w:type="dxa"/>
            <w:tcBorders>
              <w:left w:val="nil"/>
              <w:bottom w:val="nil"/>
              <w:right w:val="single" w:sz="4" w:space="0" w:color="auto"/>
            </w:tcBorders>
            <w:shd w:val="clear" w:color="auto" w:fill="DAEEF3" w:themeFill="accent5" w:themeFillTint="33"/>
            <w:vAlign w:val="center"/>
          </w:tcPr>
          <w:p w14:paraId="5AC72AA4"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r w:rsidRPr="00AF3A24">
              <w:rPr>
                <w:rFonts w:asciiTheme="minorHAnsi" w:hAnsiTheme="minorHAnsi"/>
                <w:bCs/>
                <w:color w:val="000000"/>
                <w:sz w:val="16"/>
                <w:szCs w:val="16"/>
              </w:rPr>
              <w:br/>
              <w:t>(5.2 - 8.9)</w:t>
            </w:r>
          </w:p>
        </w:tc>
        <w:tc>
          <w:tcPr>
            <w:tcW w:w="821" w:type="dxa"/>
            <w:tcBorders>
              <w:left w:val="nil"/>
              <w:bottom w:val="nil"/>
              <w:right w:val="nil"/>
            </w:tcBorders>
            <w:shd w:val="clear" w:color="auto" w:fill="DAEEF3" w:themeFill="accent5" w:themeFillTint="33"/>
            <w:vAlign w:val="center"/>
          </w:tcPr>
          <w:p w14:paraId="25BBB80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left w:val="nil"/>
              <w:bottom w:val="nil"/>
              <w:right w:val="single" w:sz="4" w:space="0" w:color="auto"/>
            </w:tcBorders>
            <w:shd w:val="clear" w:color="auto" w:fill="DAEEF3" w:themeFill="accent5" w:themeFillTint="33"/>
            <w:vAlign w:val="center"/>
          </w:tcPr>
          <w:p w14:paraId="2D8FFEA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1A5A9EC2" w14:textId="77777777" w:rsidTr="00E32510">
        <w:tc>
          <w:tcPr>
            <w:tcW w:w="1417" w:type="dxa"/>
            <w:vMerge/>
            <w:tcBorders>
              <w:bottom w:val="nil"/>
            </w:tcBorders>
            <w:shd w:val="clear" w:color="auto" w:fill="DAEEF3" w:themeFill="accent5" w:themeFillTint="33"/>
            <w:vAlign w:val="center"/>
          </w:tcPr>
          <w:p w14:paraId="485C4802" w14:textId="77777777" w:rsidR="003868A2" w:rsidRPr="00AF3A24" w:rsidRDefault="003868A2" w:rsidP="00E32510">
            <w:pPr>
              <w:spacing w:before="0" w:line="240" w:lineRule="auto"/>
              <w:ind w:left="78"/>
              <w:jc w:val="left"/>
              <w:rPr>
                <w:rFonts w:asciiTheme="minorHAnsi" w:hAnsiTheme="minorHAnsi" w:cstheme="minorHAnsi"/>
                <w:sz w:val="16"/>
                <w:szCs w:val="18"/>
              </w:rPr>
            </w:pPr>
          </w:p>
        </w:tc>
        <w:tc>
          <w:tcPr>
            <w:tcW w:w="984" w:type="dxa"/>
            <w:tcBorders>
              <w:top w:val="nil"/>
              <w:bottom w:val="single" w:sz="4" w:space="0" w:color="auto"/>
            </w:tcBorders>
            <w:shd w:val="clear" w:color="auto" w:fill="DAEEF3" w:themeFill="accent5" w:themeFillTint="33"/>
            <w:vAlign w:val="center"/>
          </w:tcPr>
          <w:p w14:paraId="1743517E"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689" w:type="dxa"/>
            <w:tcBorders>
              <w:top w:val="nil"/>
              <w:bottom w:val="single" w:sz="4" w:space="0" w:color="auto"/>
              <w:right w:val="nil"/>
            </w:tcBorders>
            <w:shd w:val="clear" w:color="auto" w:fill="DAEEF3" w:themeFill="accent5" w:themeFillTint="33"/>
            <w:vAlign w:val="center"/>
          </w:tcPr>
          <w:p w14:paraId="0C99FD4F"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414</w:t>
            </w:r>
          </w:p>
        </w:tc>
        <w:tc>
          <w:tcPr>
            <w:tcW w:w="1156" w:type="dxa"/>
            <w:tcBorders>
              <w:top w:val="nil"/>
              <w:left w:val="nil"/>
              <w:bottom w:val="single" w:sz="4" w:space="0" w:color="auto"/>
              <w:right w:val="single" w:sz="4" w:space="0" w:color="auto"/>
            </w:tcBorders>
            <w:shd w:val="clear" w:color="auto" w:fill="DAEEF3" w:themeFill="accent5" w:themeFillTint="33"/>
            <w:vAlign w:val="center"/>
          </w:tcPr>
          <w:p w14:paraId="0A976B76"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43.6</w:t>
            </w:r>
            <w:r w:rsidRPr="00AF3A24">
              <w:rPr>
                <w:rFonts w:asciiTheme="minorHAnsi" w:hAnsiTheme="minorHAnsi"/>
                <w:bCs/>
                <w:color w:val="000000"/>
                <w:sz w:val="16"/>
                <w:szCs w:val="16"/>
              </w:rPr>
              <w:br/>
              <w:t>(40.0 - 47.3)</w:t>
            </w:r>
          </w:p>
        </w:tc>
        <w:tc>
          <w:tcPr>
            <w:tcW w:w="688" w:type="dxa"/>
            <w:tcBorders>
              <w:top w:val="nil"/>
              <w:left w:val="nil"/>
              <w:bottom w:val="single" w:sz="4" w:space="0" w:color="auto"/>
              <w:right w:val="nil"/>
            </w:tcBorders>
            <w:shd w:val="clear" w:color="auto" w:fill="DAEEF3" w:themeFill="accent5" w:themeFillTint="33"/>
            <w:vAlign w:val="center"/>
          </w:tcPr>
          <w:p w14:paraId="6E024456"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w:t>
            </w:r>
          </w:p>
        </w:tc>
        <w:tc>
          <w:tcPr>
            <w:tcW w:w="1352" w:type="dxa"/>
            <w:tcBorders>
              <w:top w:val="nil"/>
              <w:left w:val="nil"/>
              <w:bottom w:val="single" w:sz="4" w:space="0" w:color="auto"/>
              <w:right w:val="single" w:sz="4" w:space="0" w:color="auto"/>
            </w:tcBorders>
            <w:shd w:val="clear" w:color="auto" w:fill="DAEEF3" w:themeFill="accent5" w:themeFillTint="33"/>
            <w:vAlign w:val="center"/>
          </w:tcPr>
          <w:p w14:paraId="68049977"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10.6</w:t>
            </w:r>
            <w:r w:rsidRPr="00AF3A24">
              <w:rPr>
                <w:rFonts w:asciiTheme="minorHAnsi" w:hAnsiTheme="minorHAnsi"/>
                <w:bCs/>
                <w:color w:val="000000"/>
                <w:sz w:val="16"/>
                <w:szCs w:val="16"/>
              </w:rPr>
              <w:br/>
              <w:t>(8.3 - 13.0)</w:t>
            </w:r>
          </w:p>
        </w:tc>
        <w:tc>
          <w:tcPr>
            <w:tcW w:w="693" w:type="dxa"/>
            <w:tcBorders>
              <w:top w:val="nil"/>
              <w:left w:val="nil"/>
              <w:bottom w:val="single" w:sz="4" w:space="0" w:color="auto"/>
              <w:right w:val="nil"/>
            </w:tcBorders>
            <w:shd w:val="clear" w:color="auto" w:fill="DAEEF3" w:themeFill="accent5" w:themeFillTint="33"/>
            <w:vAlign w:val="center"/>
          </w:tcPr>
          <w:p w14:paraId="13805EBF"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176</w:t>
            </w:r>
          </w:p>
        </w:tc>
        <w:tc>
          <w:tcPr>
            <w:tcW w:w="1495" w:type="dxa"/>
            <w:tcBorders>
              <w:top w:val="nil"/>
              <w:left w:val="nil"/>
              <w:bottom w:val="single" w:sz="4" w:space="0" w:color="auto"/>
              <w:right w:val="single" w:sz="4" w:space="0" w:color="auto"/>
            </w:tcBorders>
            <w:shd w:val="clear" w:color="auto" w:fill="DAEEF3" w:themeFill="accent5" w:themeFillTint="33"/>
            <w:vAlign w:val="center"/>
          </w:tcPr>
          <w:p w14:paraId="3EBF8A2C"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15.8</w:t>
            </w:r>
            <w:r w:rsidRPr="00AF3A24">
              <w:rPr>
                <w:rFonts w:asciiTheme="minorHAnsi" w:hAnsiTheme="minorHAnsi"/>
                <w:bCs/>
                <w:color w:val="000000"/>
                <w:sz w:val="16"/>
                <w:szCs w:val="16"/>
              </w:rPr>
              <w:br/>
              <w:t>(13.1 - 18.5)</w:t>
            </w:r>
          </w:p>
        </w:tc>
        <w:tc>
          <w:tcPr>
            <w:tcW w:w="821" w:type="dxa"/>
            <w:tcBorders>
              <w:top w:val="nil"/>
              <w:left w:val="nil"/>
              <w:bottom w:val="single" w:sz="4" w:space="0" w:color="auto"/>
              <w:right w:val="nil"/>
            </w:tcBorders>
            <w:shd w:val="clear" w:color="auto" w:fill="DAEEF3" w:themeFill="accent5" w:themeFillTint="33"/>
            <w:vAlign w:val="center"/>
          </w:tcPr>
          <w:p w14:paraId="55248A15"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w:t>
            </w:r>
          </w:p>
        </w:tc>
        <w:tc>
          <w:tcPr>
            <w:tcW w:w="1229" w:type="dxa"/>
            <w:tcBorders>
              <w:top w:val="nil"/>
              <w:left w:val="nil"/>
              <w:bottom w:val="single" w:sz="4" w:space="0" w:color="auto"/>
              <w:right w:val="single" w:sz="4" w:space="0" w:color="auto"/>
            </w:tcBorders>
            <w:shd w:val="clear" w:color="auto" w:fill="DAEEF3" w:themeFill="accent5" w:themeFillTint="33"/>
            <w:vAlign w:val="center"/>
          </w:tcPr>
          <w:p w14:paraId="75D22822"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8.0</w:t>
            </w:r>
            <w:r w:rsidRPr="00AF3A24">
              <w:rPr>
                <w:rFonts w:asciiTheme="minorHAnsi" w:hAnsiTheme="minorHAnsi"/>
                <w:bCs/>
                <w:color w:val="000000"/>
                <w:sz w:val="16"/>
                <w:szCs w:val="16"/>
              </w:rPr>
              <w:br/>
              <w:t>(5.8 - 10.2)</w:t>
            </w:r>
          </w:p>
        </w:tc>
      </w:tr>
      <w:tr w:rsidR="00E1507C" w:rsidRPr="00AF3A24" w14:paraId="07A24B24" w14:textId="77777777" w:rsidTr="00E32510">
        <w:trPr>
          <w:trHeight w:val="435"/>
        </w:trPr>
        <w:tc>
          <w:tcPr>
            <w:tcW w:w="1417" w:type="dxa"/>
            <w:vMerge w:val="restart"/>
            <w:tcBorders>
              <w:top w:val="single" w:sz="4" w:space="0" w:color="auto"/>
            </w:tcBorders>
            <w:shd w:val="clear" w:color="auto" w:fill="DAEEF3" w:themeFill="accent5" w:themeFillTint="33"/>
            <w:vAlign w:val="center"/>
          </w:tcPr>
          <w:p w14:paraId="21893C70" w14:textId="77777777" w:rsidR="00E1507C" w:rsidRPr="00AF3A24" w:rsidRDefault="00E1507C" w:rsidP="00E32510">
            <w:pPr>
              <w:spacing w:before="0" w:line="240" w:lineRule="auto"/>
              <w:ind w:left="78"/>
              <w:jc w:val="left"/>
              <w:rPr>
                <w:rFonts w:asciiTheme="minorHAnsi" w:hAnsiTheme="minorHAnsi" w:cstheme="minorHAnsi"/>
                <w:sz w:val="16"/>
                <w:szCs w:val="18"/>
              </w:rPr>
            </w:pPr>
            <w:r w:rsidRPr="00AF3A24">
              <w:rPr>
                <w:rFonts w:asciiTheme="minorHAnsi" w:hAnsiTheme="minorHAnsi" w:cstheme="minorHAnsi"/>
                <w:sz w:val="16"/>
                <w:szCs w:val="18"/>
              </w:rPr>
              <w:t>By Age-group</w:t>
            </w:r>
          </w:p>
        </w:tc>
        <w:tc>
          <w:tcPr>
            <w:tcW w:w="984" w:type="dxa"/>
            <w:tcBorders>
              <w:top w:val="single" w:sz="4" w:space="0" w:color="auto"/>
              <w:bottom w:val="nil"/>
            </w:tcBorders>
            <w:shd w:val="clear" w:color="auto" w:fill="DAEEF3" w:themeFill="accent5" w:themeFillTint="33"/>
            <w:vAlign w:val="center"/>
          </w:tcPr>
          <w:p w14:paraId="28E064D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1857FC">
              <w:rPr>
                <w:rFonts w:asciiTheme="minorHAnsi" w:hAnsiTheme="minorHAnsi" w:cstheme="minorHAnsi"/>
                <w:sz w:val="16"/>
                <w:szCs w:val="16"/>
              </w:rPr>
              <w:t>15 - 24</w:t>
            </w:r>
          </w:p>
        </w:tc>
        <w:tc>
          <w:tcPr>
            <w:tcW w:w="689" w:type="dxa"/>
            <w:tcBorders>
              <w:bottom w:val="nil"/>
              <w:right w:val="nil"/>
            </w:tcBorders>
            <w:shd w:val="clear" w:color="auto" w:fill="DAEEF3" w:themeFill="accent5" w:themeFillTint="33"/>
            <w:vAlign w:val="center"/>
          </w:tcPr>
          <w:p w14:paraId="438A336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w:t>
            </w:r>
          </w:p>
        </w:tc>
        <w:tc>
          <w:tcPr>
            <w:tcW w:w="1156" w:type="dxa"/>
            <w:tcBorders>
              <w:left w:val="nil"/>
              <w:bottom w:val="nil"/>
              <w:right w:val="single" w:sz="4" w:space="0" w:color="auto"/>
            </w:tcBorders>
            <w:shd w:val="clear" w:color="auto" w:fill="DAEEF3" w:themeFill="accent5" w:themeFillTint="33"/>
            <w:vAlign w:val="center"/>
          </w:tcPr>
          <w:p w14:paraId="27E2A3F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29.2</w:t>
            </w:r>
            <w:r w:rsidRPr="00AF3A24">
              <w:rPr>
                <w:rFonts w:asciiTheme="minorHAnsi" w:hAnsiTheme="minorHAnsi"/>
                <w:bCs/>
                <w:color w:val="000000"/>
                <w:sz w:val="16"/>
                <w:szCs w:val="16"/>
              </w:rPr>
              <w:br/>
              <w:t>(20.2 - 38.2)</w:t>
            </w:r>
          </w:p>
        </w:tc>
        <w:tc>
          <w:tcPr>
            <w:tcW w:w="688" w:type="dxa"/>
            <w:tcBorders>
              <w:bottom w:val="nil"/>
              <w:right w:val="nil"/>
            </w:tcBorders>
            <w:shd w:val="clear" w:color="auto" w:fill="DAEEF3" w:themeFill="accent5" w:themeFillTint="33"/>
            <w:vAlign w:val="center"/>
          </w:tcPr>
          <w:p w14:paraId="3CB97215" w14:textId="77777777" w:rsidR="00E1507C" w:rsidRPr="00630DAD" w:rsidRDefault="00E1507C" w:rsidP="00E32510">
            <w:pPr>
              <w:spacing w:before="0" w:line="240" w:lineRule="auto"/>
              <w:jc w:val="center"/>
              <w:rPr>
                <w:rFonts w:asciiTheme="minorHAnsi" w:hAnsiTheme="minorHAnsi" w:cstheme="minorHAnsi"/>
                <w:sz w:val="16"/>
                <w:szCs w:val="16"/>
              </w:rPr>
            </w:pPr>
            <w:r w:rsidRPr="00630DAD">
              <w:rPr>
                <w:rFonts w:asciiTheme="minorHAnsi" w:hAnsiTheme="minorHAnsi" w:cstheme="minorHAnsi"/>
                <w:sz w:val="16"/>
                <w:szCs w:val="16"/>
              </w:rPr>
              <w:t>68</w:t>
            </w:r>
          </w:p>
        </w:tc>
        <w:tc>
          <w:tcPr>
            <w:tcW w:w="1352" w:type="dxa"/>
            <w:tcBorders>
              <w:left w:val="nil"/>
              <w:bottom w:val="nil"/>
              <w:right w:val="single" w:sz="4" w:space="0" w:color="auto"/>
            </w:tcBorders>
            <w:shd w:val="clear" w:color="auto" w:fill="DAEEF3" w:themeFill="accent5" w:themeFillTint="33"/>
            <w:vAlign w:val="center"/>
          </w:tcPr>
          <w:p w14:paraId="315A5550" w14:textId="77777777" w:rsidR="00E1507C" w:rsidRPr="00630DAD" w:rsidRDefault="00E1507C" w:rsidP="00E32510">
            <w:pPr>
              <w:spacing w:before="0" w:line="240" w:lineRule="auto"/>
              <w:jc w:val="center"/>
              <w:rPr>
                <w:rFonts w:asciiTheme="minorHAnsi" w:hAnsiTheme="minorHAnsi" w:cstheme="minorHAnsi"/>
                <w:sz w:val="16"/>
                <w:szCs w:val="16"/>
              </w:rPr>
            </w:pPr>
            <w:r w:rsidRPr="00630DAD">
              <w:rPr>
                <w:rFonts w:asciiTheme="minorHAnsi" w:hAnsiTheme="minorHAnsi" w:cstheme="minorHAnsi"/>
                <w:sz w:val="16"/>
                <w:szCs w:val="16"/>
              </w:rPr>
              <w:t>32.7</w:t>
            </w:r>
            <w:r w:rsidRPr="00630DAD">
              <w:rPr>
                <w:rFonts w:asciiTheme="minorHAnsi" w:hAnsiTheme="minorHAnsi" w:cstheme="minorHAnsi"/>
                <w:sz w:val="16"/>
                <w:szCs w:val="16"/>
              </w:rPr>
              <w:br/>
              <w:t>(24.3 - 41.0)</w:t>
            </w:r>
          </w:p>
        </w:tc>
        <w:tc>
          <w:tcPr>
            <w:tcW w:w="693" w:type="dxa"/>
            <w:tcBorders>
              <w:bottom w:val="nil"/>
              <w:right w:val="nil"/>
            </w:tcBorders>
            <w:shd w:val="clear" w:color="auto" w:fill="DAEEF3" w:themeFill="accent5" w:themeFillTint="33"/>
            <w:vAlign w:val="center"/>
          </w:tcPr>
          <w:p w14:paraId="7187B50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95" w:type="dxa"/>
            <w:tcBorders>
              <w:left w:val="nil"/>
              <w:bottom w:val="nil"/>
              <w:right w:val="single" w:sz="4" w:space="0" w:color="auto"/>
            </w:tcBorders>
            <w:shd w:val="clear" w:color="auto" w:fill="DAEEF3" w:themeFill="accent5" w:themeFillTint="33"/>
            <w:vAlign w:val="center"/>
          </w:tcPr>
          <w:p w14:paraId="7E39AF8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821" w:type="dxa"/>
            <w:tcBorders>
              <w:bottom w:val="nil"/>
              <w:right w:val="nil"/>
            </w:tcBorders>
            <w:shd w:val="clear" w:color="auto" w:fill="DAEEF3" w:themeFill="accent5" w:themeFillTint="33"/>
            <w:vAlign w:val="center"/>
          </w:tcPr>
          <w:p w14:paraId="060EC46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left w:val="nil"/>
              <w:bottom w:val="nil"/>
              <w:right w:val="single" w:sz="4" w:space="0" w:color="auto"/>
            </w:tcBorders>
            <w:shd w:val="clear" w:color="auto" w:fill="DAEEF3" w:themeFill="accent5" w:themeFillTint="33"/>
            <w:vAlign w:val="center"/>
          </w:tcPr>
          <w:p w14:paraId="7F91637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11865069" w14:textId="77777777" w:rsidTr="00E32510">
        <w:tc>
          <w:tcPr>
            <w:tcW w:w="1417" w:type="dxa"/>
            <w:vMerge/>
            <w:shd w:val="clear" w:color="auto" w:fill="DAEEF3" w:themeFill="accent5" w:themeFillTint="33"/>
            <w:vAlign w:val="center"/>
          </w:tcPr>
          <w:p w14:paraId="78295574" w14:textId="77777777" w:rsidR="003868A2" w:rsidRPr="00AF3A24" w:rsidRDefault="003868A2"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64C037E1"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689" w:type="dxa"/>
            <w:tcBorders>
              <w:top w:val="nil"/>
              <w:bottom w:val="nil"/>
              <w:right w:val="nil"/>
            </w:tcBorders>
            <w:shd w:val="clear" w:color="auto" w:fill="DAEEF3" w:themeFill="accent5" w:themeFillTint="33"/>
            <w:vAlign w:val="center"/>
          </w:tcPr>
          <w:p w14:paraId="3D2C8C94"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140</w:t>
            </w:r>
          </w:p>
        </w:tc>
        <w:tc>
          <w:tcPr>
            <w:tcW w:w="1156" w:type="dxa"/>
            <w:tcBorders>
              <w:top w:val="nil"/>
              <w:left w:val="nil"/>
              <w:bottom w:val="nil"/>
              <w:right w:val="single" w:sz="4" w:space="0" w:color="auto"/>
            </w:tcBorders>
            <w:shd w:val="clear" w:color="auto" w:fill="DAEEF3" w:themeFill="accent5" w:themeFillTint="33"/>
            <w:vAlign w:val="center"/>
          </w:tcPr>
          <w:p w14:paraId="7119DB6F"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33.3</w:t>
            </w:r>
            <w:r w:rsidRPr="00AF3A24">
              <w:rPr>
                <w:rFonts w:asciiTheme="minorHAnsi" w:hAnsiTheme="minorHAnsi"/>
                <w:bCs/>
                <w:color w:val="000000"/>
                <w:sz w:val="16"/>
                <w:szCs w:val="16"/>
              </w:rPr>
              <w:br/>
              <w:t>(27.9 - 38.7)</w:t>
            </w:r>
          </w:p>
        </w:tc>
        <w:tc>
          <w:tcPr>
            <w:tcW w:w="688" w:type="dxa"/>
            <w:tcBorders>
              <w:top w:val="nil"/>
              <w:left w:val="nil"/>
              <w:bottom w:val="nil"/>
              <w:right w:val="nil"/>
            </w:tcBorders>
            <w:shd w:val="clear" w:color="auto" w:fill="DAEEF3" w:themeFill="accent5" w:themeFillTint="33"/>
            <w:vAlign w:val="center"/>
          </w:tcPr>
          <w:p w14:paraId="08043115"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103</w:t>
            </w:r>
          </w:p>
        </w:tc>
        <w:tc>
          <w:tcPr>
            <w:tcW w:w="1352" w:type="dxa"/>
            <w:tcBorders>
              <w:top w:val="nil"/>
              <w:left w:val="nil"/>
              <w:bottom w:val="nil"/>
              <w:right w:val="single" w:sz="4" w:space="0" w:color="auto"/>
            </w:tcBorders>
            <w:shd w:val="clear" w:color="auto" w:fill="DAEEF3" w:themeFill="accent5" w:themeFillTint="33"/>
            <w:vAlign w:val="center"/>
          </w:tcPr>
          <w:p w14:paraId="23DB9A91"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23.0</w:t>
            </w:r>
            <w:r w:rsidRPr="00AF3A24">
              <w:rPr>
                <w:rFonts w:asciiTheme="minorHAnsi" w:hAnsiTheme="minorHAnsi" w:cstheme="minorHAnsi"/>
                <w:sz w:val="16"/>
                <w:szCs w:val="16"/>
              </w:rPr>
              <w:br/>
              <w:t>(18.1 - 27.9)</w:t>
            </w:r>
          </w:p>
        </w:tc>
        <w:tc>
          <w:tcPr>
            <w:tcW w:w="693" w:type="dxa"/>
            <w:tcBorders>
              <w:top w:val="nil"/>
              <w:left w:val="nil"/>
              <w:bottom w:val="nil"/>
              <w:right w:val="nil"/>
            </w:tcBorders>
            <w:shd w:val="clear" w:color="auto" w:fill="DAEEF3" w:themeFill="accent5" w:themeFillTint="33"/>
            <w:vAlign w:val="center"/>
          </w:tcPr>
          <w:p w14:paraId="3AC57F66" w14:textId="77777777" w:rsidR="003868A2" w:rsidRPr="00CD7282" w:rsidRDefault="003868A2" w:rsidP="00E32510">
            <w:pPr>
              <w:spacing w:before="0" w:line="240" w:lineRule="auto"/>
              <w:jc w:val="center"/>
              <w:rPr>
                <w:rFonts w:asciiTheme="minorHAnsi" w:hAnsiTheme="minorHAnsi" w:cstheme="minorHAnsi"/>
                <w:sz w:val="16"/>
                <w:szCs w:val="16"/>
              </w:rPr>
            </w:pPr>
            <w:r w:rsidRPr="00CD7282">
              <w:rPr>
                <w:rFonts w:asciiTheme="minorHAnsi" w:hAnsiTheme="minorHAnsi" w:cstheme="minorHAnsi"/>
                <w:sz w:val="16"/>
                <w:szCs w:val="16"/>
              </w:rPr>
              <w:t>35</w:t>
            </w:r>
          </w:p>
        </w:tc>
        <w:tc>
          <w:tcPr>
            <w:tcW w:w="1495" w:type="dxa"/>
            <w:tcBorders>
              <w:top w:val="nil"/>
              <w:left w:val="nil"/>
              <w:bottom w:val="nil"/>
              <w:right w:val="single" w:sz="4" w:space="0" w:color="auto"/>
            </w:tcBorders>
            <w:shd w:val="clear" w:color="auto" w:fill="DAEEF3" w:themeFill="accent5" w:themeFillTint="33"/>
            <w:vAlign w:val="center"/>
          </w:tcPr>
          <w:p w14:paraId="45B533E9" w14:textId="77777777" w:rsidR="003868A2" w:rsidRPr="00CD7282" w:rsidRDefault="003868A2" w:rsidP="00E32510">
            <w:pPr>
              <w:spacing w:before="0" w:line="240" w:lineRule="auto"/>
              <w:jc w:val="center"/>
              <w:rPr>
                <w:rFonts w:asciiTheme="minorHAnsi" w:hAnsiTheme="minorHAnsi" w:cstheme="minorHAnsi"/>
                <w:sz w:val="16"/>
                <w:szCs w:val="16"/>
              </w:rPr>
            </w:pPr>
            <w:r w:rsidRPr="00CD7282">
              <w:rPr>
                <w:rFonts w:asciiTheme="minorHAnsi" w:hAnsiTheme="minorHAnsi" w:cstheme="minorHAnsi"/>
                <w:sz w:val="16"/>
                <w:szCs w:val="16"/>
              </w:rPr>
              <w:t>10.3</w:t>
            </w:r>
            <w:r w:rsidRPr="00CD7282">
              <w:rPr>
                <w:rFonts w:asciiTheme="minorHAnsi" w:hAnsiTheme="minorHAnsi" w:cstheme="minorHAnsi"/>
                <w:sz w:val="16"/>
                <w:szCs w:val="16"/>
              </w:rPr>
              <w:br/>
              <w:t>(6.2 - 14.3)</w:t>
            </w:r>
          </w:p>
        </w:tc>
        <w:tc>
          <w:tcPr>
            <w:tcW w:w="821" w:type="dxa"/>
            <w:tcBorders>
              <w:top w:val="nil"/>
              <w:left w:val="nil"/>
              <w:bottom w:val="nil"/>
              <w:right w:val="nil"/>
            </w:tcBorders>
            <w:shd w:val="clear" w:color="auto" w:fill="DAEEF3" w:themeFill="accent5" w:themeFillTint="33"/>
            <w:vAlign w:val="center"/>
          </w:tcPr>
          <w:p w14:paraId="539552E7"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32</w:t>
            </w:r>
          </w:p>
        </w:tc>
        <w:tc>
          <w:tcPr>
            <w:tcW w:w="1229" w:type="dxa"/>
            <w:tcBorders>
              <w:top w:val="nil"/>
              <w:left w:val="nil"/>
              <w:bottom w:val="nil"/>
              <w:right w:val="single" w:sz="4" w:space="0" w:color="auto"/>
            </w:tcBorders>
            <w:shd w:val="clear" w:color="auto" w:fill="DAEEF3" w:themeFill="accent5" w:themeFillTint="33"/>
            <w:vAlign w:val="center"/>
          </w:tcPr>
          <w:p w14:paraId="229A38EB"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8.2</w:t>
            </w:r>
            <w:r w:rsidRPr="00AF3A24">
              <w:rPr>
                <w:rFonts w:asciiTheme="minorHAnsi" w:hAnsiTheme="minorHAnsi" w:cstheme="minorHAnsi"/>
                <w:sz w:val="16"/>
                <w:szCs w:val="16"/>
              </w:rPr>
              <w:br/>
              <w:t>(5.0 - 11.4)</w:t>
            </w:r>
          </w:p>
        </w:tc>
      </w:tr>
      <w:tr w:rsidR="00E1507C" w:rsidRPr="00AF3A24" w14:paraId="3437A603" w14:textId="77777777" w:rsidTr="00E32510">
        <w:tc>
          <w:tcPr>
            <w:tcW w:w="1417" w:type="dxa"/>
            <w:vMerge/>
            <w:shd w:val="clear" w:color="auto" w:fill="DAEEF3" w:themeFill="accent5" w:themeFillTint="33"/>
            <w:vAlign w:val="center"/>
          </w:tcPr>
          <w:p w14:paraId="68C79918"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4C491C76"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689" w:type="dxa"/>
            <w:tcBorders>
              <w:top w:val="nil"/>
              <w:bottom w:val="nil"/>
              <w:right w:val="nil"/>
            </w:tcBorders>
            <w:shd w:val="clear" w:color="auto" w:fill="DAEEF3" w:themeFill="accent5" w:themeFillTint="33"/>
            <w:vAlign w:val="center"/>
          </w:tcPr>
          <w:p w14:paraId="2BD5C68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240</w:t>
            </w:r>
          </w:p>
        </w:tc>
        <w:tc>
          <w:tcPr>
            <w:tcW w:w="1156" w:type="dxa"/>
            <w:tcBorders>
              <w:top w:val="nil"/>
              <w:left w:val="nil"/>
              <w:bottom w:val="nil"/>
              <w:right w:val="single" w:sz="4" w:space="0" w:color="auto"/>
            </w:tcBorders>
            <w:shd w:val="clear" w:color="auto" w:fill="DAEEF3" w:themeFill="accent5" w:themeFillTint="33"/>
            <w:vAlign w:val="center"/>
          </w:tcPr>
          <w:p w14:paraId="432E76A5"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52.2</w:t>
            </w:r>
            <w:r w:rsidRPr="00AF3A24">
              <w:rPr>
                <w:rFonts w:asciiTheme="minorHAnsi" w:hAnsiTheme="minorHAnsi"/>
                <w:bCs/>
                <w:color w:val="000000"/>
                <w:sz w:val="16"/>
                <w:szCs w:val="16"/>
              </w:rPr>
              <w:br/>
              <w:t>(46.7 - 57.7)</w:t>
            </w:r>
          </w:p>
        </w:tc>
        <w:tc>
          <w:tcPr>
            <w:tcW w:w="688" w:type="dxa"/>
            <w:tcBorders>
              <w:top w:val="nil"/>
              <w:left w:val="nil"/>
              <w:bottom w:val="nil"/>
              <w:right w:val="nil"/>
            </w:tcBorders>
            <w:shd w:val="clear" w:color="auto" w:fill="DAEEF3" w:themeFill="accent5" w:themeFillTint="33"/>
            <w:vAlign w:val="center"/>
          </w:tcPr>
          <w:p w14:paraId="688A81F6"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70</w:t>
            </w:r>
          </w:p>
        </w:tc>
        <w:tc>
          <w:tcPr>
            <w:tcW w:w="1352" w:type="dxa"/>
            <w:tcBorders>
              <w:top w:val="nil"/>
              <w:left w:val="nil"/>
              <w:bottom w:val="nil"/>
              <w:right w:val="single" w:sz="4" w:space="0" w:color="auto"/>
            </w:tcBorders>
            <w:shd w:val="clear" w:color="auto" w:fill="DAEEF3" w:themeFill="accent5" w:themeFillTint="33"/>
            <w:vAlign w:val="center"/>
          </w:tcPr>
          <w:p w14:paraId="24A8BB65"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14.1</w:t>
            </w:r>
            <w:r w:rsidRPr="00AF3A24">
              <w:rPr>
                <w:rFonts w:asciiTheme="minorHAnsi" w:hAnsiTheme="minorHAnsi" w:cstheme="minorHAnsi"/>
                <w:sz w:val="16"/>
                <w:szCs w:val="16"/>
              </w:rPr>
              <w:br/>
              <w:t>(10.3 - 18.0)</w:t>
            </w:r>
          </w:p>
        </w:tc>
        <w:tc>
          <w:tcPr>
            <w:tcW w:w="693" w:type="dxa"/>
            <w:tcBorders>
              <w:top w:val="nil"/>
              <w:left w:val="nil"/>
              <w:bottom w:val="nil"/>
              <w:right w:val="nil"/>
            </w:tcBorders>
            <w:shd w:val="clear" w:color="auto" w:fill="DAEEF3" w:themeFill="accent5" w:themeFillTint="33"/>
            <w:vAlign w:val="center"/>
          </w:tcPr>
          <w:p w14:paraId="7829E349"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37</w:t>
            </w:r>
          </w:p>
        </w:tc>
        <w:tc>
          <w:tcPr>
            <w:tcW w:w="1495" w:type="dxa"/>
            <w:tcBorders>
              <w:top w:val="nil"/>
              <w:left w:val="nil"/>
              <w:bottom w:val="nil"/>
              <w:right w:val="single" w:sz="4" w:space="0" w:color="auto"/>
            </w:tcBorders>
            <w:shd w:val="clear" w:color="auto" w:fill="DAEEF3" w:themeFill="accent5" w:themeFillTint="33"/>
            <w:vAlign w:val="center"/>
          </w:tcPr>
          <w:p w14:paraId="7A01604D"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9.4</w:t>
            </w:r>
            <w:r w:rsidRPr="00AF3A24">
              <w:rPr>
                <w:rFonts w:asciiTheme="minorHAnsi" w:hAnsiTheme="minorHAnsi" w:cstheme="minorHAnsi"/>
                <w:sz w:val="16"/>
                <w:szCs w:val="16"/>
              </w:rPr>
              <w:br/>
              <w:t>(6.2 - 12.7)</w:t>
            </w:r>
          </w:p>
        </w:tc>
        <w:tc>
          <w:tcPr>
            <w:tcW w:w="821" w:type="dxa"/>
            <w:tcBorders>
              <w:top w:val="nil"/>
              <w:left w:val="nil"/>
              <w:bottom w:val="nil"/>
              <w:right w:val="nil"/>
            </w:tcBorders>
            <w:shd w:val="clear" w:color="auto" w:fill="DAEEF3" w:themeFill="accent5" w:themeFillTint="33"/>
            <w:vAlign w:val="center"/>
          </w:tcPr>
          <w:p w14:paraId="21D862A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054E9F0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B29B9C0" w14:textId="77777777" w:rsidTr="00E32510">
        <w:tc>
          <w:tcPr>
            <w:tcW w:w="1417" w:type="dxa"/>
            <w:vMerge/>
            <w:shd w:val="clear" w:color="auto" w:fill="DAEEF3" w:themeFill="accent5" w:themeFillTint="33"/>
            <w:vAlign w:val="center"/>
          </w:tcPr>
          <w:p w14:paraId="55E88C18"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555347B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689" w:type="dxa"/>
            <w:tcBorders>
              <w:top w:val="nil"/>
              <w:bottom w:val="nil"/>
              <w:right w:val="nil"/>
            </w:tcBorders>
            <w:shd w:val="clear" w:color="auto" w:fill="DAEEF3" w:themeFill="accent5" w:themeFillTint="33"/>
            <w:vAlign w:val="center"/>
          </w:tcPr>
          <w:p w14:paraId="76F4016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221</w:t>
            </w:r>
          </w:p>
        </w:tc>
        <w:tc>
          <w:tcPr>
            <w:tcW w:w="1156" w:type="dxa"/>
            <w:tcBorders>
              <w:top w:val="nil"/>
              <w:left w:val="nil"/>
              <w:bottom w:val="nil"/>
              <w:right w:val="single" w:sz="4" w:space="0" w:color="auto"/>
            </w:tcBorders>
            <w:shd w:val="clear" w:color="auto" w:fill="DAEEF3" w:themeFill="accent5" w:themeFillTint="33"/>
            <w:vAlign w:val="center"/>
          </w:tcPr>
          <w:p w14:paraId="09E62A1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51.4</w:t>
            </w:r>
            <w:r w:rsidRPr="00AF3A24">
              <w:rPr>
                <w:rFonts w:asciiTheme="minorHAnsi" w:hAnsiTheme="minorHAnsi"/>
                <w:bCs/>
                <w:color w:val="000000"/>
                <w:sz w:val="16"/>
                <w:szCs w:val="16"/>
              </w:rPr>
              <w:br/>
              <w:t>(45.3 - 57.4)</w:t>
            </w:r>
          </w:p>
        </w:tc>
        <w:tc>
          <w:tcPr>
            <w:tcW w:w="688" w:type="dxa"/>
            <w:tcBorders>
              <w:top w:val="nil"/>
              <w:left w:val="nil"/>
              <w:bottom w:val="nil"/>
              <w:right w:val="nil"/>
            </w:tcBorders>
            <w:shd w:val="clear" w:color="auto" w:fill="DAEEF3" w:themeFill="accent5" w:themeFillTint="33"/>
            <w:vAlign w:val="center"/>
          </w:tcPr>
          <w:p w14:paraId="5DE9FA17"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52</w:t>
            </w:r>
          </w:p>
        </w:tc>
        <w:tc>
          <w:tcPr>
            <w:tcW w:w="1352" w:type="dxa"/>
            <w:tcBorders>
              <w:top w:val="nil"/>
              <w:left w:val="nil"/>
              <w:bottom w:val="nil"/>
              <w:right w:val="single" w:sz="4" w:space="0" w:color="auto"/>
            </w:tcBorders>
            <w:shd w:val="clear" w:color="auto" w:fill="DAEEF3" w:themeFill="accent5" w:themeFillTint="33"/>
            <w:vAlign w:val="center"/>
          </w:tcPr>
          <w:p w14:paraId="742C2B9B"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13.9</w:t>
            </w:r>
            <w:r w:rsidRPr="00AF3A24">
              <w:rPr>
                <w:rFonts w:asciiTheme="minorHAnsi" w:hAnsiTheme="minorHAnsi" w:cstheme="minorHAnsi"/>
                <w:sz w:val="16"/>
                <w:szCs w:val="16"/>
              </w:rPr>
              <w:br/>
              <w:t>(9.6 - 18.2)</w:t>
            </w:r>
          </w:p>
        </w:tc>
        <w:tc>
          <w:tcPr>
            <w:tcW w:w="693" w:type="dxa"/>
            <w:tcBorders>
              <w:top w:val="nil"/>
              <w:left w:val="nil"/>
              <w:bottom w:val="nil"/>
              <w:right w:val="nil"/>
            </w:tcBorders>
            <w:shd w:val="clear" w:color="auto" w:fill="DAEEF3" w:themeFill="accent5" w:themeFillTint="33"/>
            <w:vAlign w:val="center"/>
          </w:tcPr>
          <w:p w14:paraId="5D91BEAF"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58</w:t>
            </w:r>
          </w:p>
        </w:tc>
        <w:tc>
          <w:tcPr>
            <w:tcW w:w="1495" w:type="dxa"/>
            <w:tcBorders>
              <w:top w:val="nil"/>
              <w:left w:val="nil"/>
              <w:bottom w:val="nil"/>
              <w:right w:val="single" w:sz="4" w:space="0" w:color="auto"/>
            </w:tcBorders>
            <w:shd w:val="clear" w:color="auto" w:fill="DAEEF3" w:themeFill="accent5" w:themeFillTint="33"/>
            <w:vAlign w:val="center"/>
          </w:tcPr>
          <w:p w14:paraId="3B4D36A3"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14.8</w:t>
            </w:r>
            <w:r w:rsidRPr="00AF3A24">
              <w:rPr>
                <w:rFonts w:asciiTheme="minorHAnsi" w:hAnsiTheme="minorHAnsi" w:cstheme="minorHAnsi"/>
                <w:sz w:val="16"/>
                <w:szCs w:val="16"/>
              </w:rPr>
              <w:br/>
              <w:t>(10.4 - 19.2)</w:t>
            </w:r>
          </w:p>
        </w:tc>
        <w:tc>
          <w:tcPr>
            <w:tcW w:w="821" w:type="dxa"/>
            <w:tcBorders>
              <w:top w:val="nil"/>
              <w:left w:val="nil"/>
              <w:bottom w:val="nil"/>
              <w:right w:val="nil"/>
            </w:tcBorders>
            <w:shd w:val="clear" w:color="auto" w:fill="DAEEF3" w:themeFill="accent5" w:themeFillTint="33"/>
            <w:vAlign w:val="center"/>
          </w:tcPr>
          <w:p w14:paraId="1C35D6BF"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587C147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4359BF06" w14:textId="77777777" w:rsidTr="00E32510">
        <w:tc>
          <w:tcPr>
            <w:tcW w:w="1417" w:type="dxa"/>
            <w:vMerge/>
            <w:shd w:val="clear" w:color="auto" w:fill="DAEEF3" w:themeFill="accent5" w:themeFillTint="33"/>
            <w:vAlign w:val="center"/>
          </w:tcPr>
          <w:p w14:paraId="7AC7CE24"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5E3C41A6"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689" w:type="dxa"/>
            <w:tcBorders>
              <w:top w:val="nil"/>
              <w:bottom w:val="nil"/>
              <w:right w:val="nil"/>
            </w:tcBorders>
            <w:shd w:val="clear" w:color="auto" w:fill="DAEEF3" w:themeFill="accent5" w:themeFillTint="33"/>
            <w:vAlign w:val="center"/>
          </w:tcPr>
          <w:p w14:paraId="48AF5FD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203</w:t>
            </w:r>
          </w:p>
        </w:tc>
        <w:tc>
          <w:tcPr>
            <w:tcW w:w="1156" w:type="dxa"/>
            <w:tcBorders>
              <w:top w:val="nil"/>
              <w:left w:val="nil"/>
              <w:bottom w:val="nil"/>
              <w:right w:val="single" w:sz="4" w:space="0" w:color="auto"/>
            </w:tcBorders>
            <w:shd w:val="clear" w:color="auto" w:fill="DAEEF3" w:themeFill="accent5" w:themeFillTint="33"/>
            <w:vAlign w:val="center"/>
          </w:tcPr>
          <w:p w14:paraId="0AFC691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54.1</w:t>
            </w:r>
            <w:r w:rsidRPr="00AF3A24">
              <w:rPr>
                <w:rFonts w:asciiTheme="minorHAnsi" w:hAnsiTheme="minorHAnsi"/>
                <w:bCs/>
                <w:color w:val="000000"/>
                <w:sz w:val="16"/>
                <w:szCs w:val="16"/>
              </w:rPr>
              <w:br/>
              <w:t>(47.8 - 60.5)</w:t>
            </w:r>
          </w:p>
        </w:tc>
        <w:tc>
          <w:tcPr>
            <w:tcW w:w="688" w:type="dxa"/>
            <w:tcBorders>
              <w:top w:val="nil"/>
              <w:left w:val="nil"/>
              <w:bottom w:val="nil"/>
              <w:right w:val="nil"/>
            </w:tcBorders>
            <w:shd w:val="clear" w:color="auto" w:fill="DAEEF3" w:themeFill="accent5" w:themeFillTint="33"/>
            <w:vAlign w:val="center"/>
          </w:tcPr>
          <w:p w14:paraId="1059453F"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47</w:t>
            </w:r>
          </w:p>
        </w:tc>
        <w:tc>
          <w:tcPr>
            <w:tcW w:w="1352" w:type="dxa"/>
            <w:tcBorders>
              <w:top w:val="nil"/>
              <w:left w:val="nil"/>
              <w:bottom w:val="nil"/>
              <w:right w:val="single" w:sz="4" w:space="0" w:color="auto"/>
            </w:tcBorders>
            <w:shd w:val="clear" w:color="auto" w:fill="DAEEF3" w:themeFill="accent5" w:themeFillTint="33"/>
            <w:vAlign w:val="center"/>
          </w:tcPr>
          <w:p w14:paraId="4BC22ED8"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13.3</w:t>
            </w:r>
            <w:r w:rsidRPr="00AF3A24">
              <w:rPr>
                <w:rFonts w:asciiTheme="minorHAnsi" w:hAnsiTheme="minorHAnsi" w:cstheme="minorHAnsi"/>
                <w:sz w:val="16"/>
                <w:szCs w:val="16"/>
              </w:rPr>
              <w:br/>
              <w:t>(8.4 - 18.3)</w:t>
            </w:r>
          </w:p>
        </w:tc>
        <w:tc>
          <w:tcPr>
            <w:tcW w:w="693" w:type="dxa"/>
            <w:tcBorders>
              <w:top w:val="nil"/>
              <w:left w:val="nil"/>
              <w:bottom w:val="nil"/>
              <w:right w:val="nil"/>
            </w:tcBorders>
            <w:shd w:val="clear" w:color="auto" w:fill="DAEEF3" w:themeFill="accent5" w:themeFillTint="33"/>
            <w:vAlign w:val="center"/>
          </w:tcPr>
          <w:p w14:paraId="738BEDB5"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52</w:t>
            </w:r>
          </w:p>
        </w:tc>
        <w:tc>
          <w:tcPr>
            <w:tcW w:w="1495" w:type="dxa"/>
            <w:tcBorders>
              <w:top w:val="nil"/>
              <w:left w:val="nil"/>
              <w:bottom w:val="nil"/>
              <w:right w:val="single" w:sz="4" w:space="0" w:color="auto"/>
            </w:tcBorders>
            <w:shd w:val="clear" w:color="auto" w:fill="DAEEF3" w:themeFill="accent5" w:themeFillTint="33"/>
            <w:vAlign w:val="center"/>
          </w:tcPr>
          <w:p w14:paraId="5A2B1F68"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12.2</w:t>
            </w:r>
            <w:r w:rsidRPr="00AF3A24">
              <w:rPr>
                <w:rFonts w:asciiTheme="minorHAnsi" w:hAnsiTheme="minorHAnsi" w:cstheme="minorHAnsi"/>
                <w:sz w:val="16"/>
                <w:szCs w:val="16"/>
              </w:rPr>
              <w:br/>
              <w:t>(8.5 - 15.9)</w:t>
            </w:r>
          </w:p>
        </w:tc>
        <w:tc>
          <w:tcPr>
            <w:tcW w:w="821" w:type="dxa"/>
            <w:tcBorders>
              <w:top w:val="nil"/>
              <w:left w:val="nil"/>
              <w:bottom w:val="nil"/>
              <w:right w:val="nil"/>
            </w:tcBorders>
            <w:shd w:val="clear" w:color="auto" w:fill="DAEEF3" w:themeFill="accent5" w:themeFillTint="33"/>
            <w:vAlign w:val="center"/>
          </w:tcPr>
          <w:p w14:paraId="4360ACE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6ED6D94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47794136" w14:textId="77777777" w:rsidTr="00E32510">
        <w:tc>
          <w:tcPr>
            <w:tcW w:w="1417" w:type="dxa"/>
            <w:vMerge/>
            <w:tcBorders>
              <w:bottom w:val="nil"/>
            </w:tcBorders>
            <w:shd w:val="clear" w:color="auto" w:fill="DAEEF3" w:themeFill="accent5" w:themeFillTint="33"/>
            <w:vAlign w:val="center"/>
          </w:tcPr>
          <w:p w14:paraId="6502215E"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1DC70B56"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689" w:type="dxa"/>
            <w:tcBorders>
              <w:top w:val="nil"/>
              <w:bottom w:val="nil"/>
              <w:right w:val="nil"/>
            </w:tcBorders>
            <w:shd w:val="clear" w:color="auto" w:fill="DAEEF3" w:themeFill="accent5" w:themeFillTint="33"/>
            <w:vAlign w:val="center"/>
          </w:tcPr>
          <w:p w14:paraId="780AA334"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175</w:t>
            </w:r>
          </w:p>
        </w:tc>
        <w:tc>
          <w:tcPr>
            <w:tcW w:w="1156" w:type="dxa"/>
            <w:tcBorders>
              <w:top w:val="nil"/>
              <w:left w:val="nil"/>
              <w:bottom w:val="nil"/>
              <w:right w:val="single" w:sz="4" w:space="0" w:color="auto"/>
            </w:tcBorders>
            <w:shd w:val="clear" w:color="auto" w:fill="DAEEF3" w:themeFill="accent5" w:themeFillTint="33"/>
            <w:vAlign w:val="center"/>
          </w:tcPr>
          <w:p w14:paraId="4B23EE3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40.9</w:t>
            </w:r>
            <w:r w:rsidRPr="00AF3A24">
              <w:rPr>
                <w:rFonts w:asciiTheme="minorHAnsi" w:hAnsiTheme="minorHAnsi"/>
                <w:bCs/>
                <w:color w:val="000000"/>
                <w:sz w:val="16"/>
                <w:szCs w:val="16"/>
              </w:rPr>
              <w:br/>
              <w:t>(34.4 - 47.4)</w:t>
            </w:r>
          </w:p>
        </w:tc>
        <w:tc>
          <w:tcPr>
            <w:tcW w:w="688" w:type="dxa"/>
            <w:tcBorders>
              <w:top w:val="nil"/>
              <w:left w:val="nil"/>
              <w:bottom w:val="nil"/>
              <w:right w:val="nil"/>
            </w:tcBorders>
            <w:shd w:val="clear" w:color="auto" w:fill="DAEEF3" w:themeFill="accent5" w:themeFillTint="33"/>
            <w:vAlign w:val="center"/>
          </w:tcPr>
          <w:p w14:paraId="3C7766D0"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55</w:t>
            </w:r>
          </w:p>
        </w:tc>
        <w:tc>
          <w:tcPr>
            <w:tcW w:w="1352" w:type="dxa"/>
            <w:tcBorders>
              <w:top w:val="nil"/>
              <w:left w:val="nil"/>
              <w:bottom w:val="nil"/>
              <w:right w:val="single" w:sz="4" w:space="0" w:color="auto"/>
            </w:tcBorders>
            <w:shd w:val="clear" w:color="auto" w:fill="DAEEF3" w:themeFill="accent5" w:themeFillTint="33"/>
            <w:vAlign w:val="center"/>
          </w:tcPr>
          <w:p w14:paraId="4BB00C6F"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15.4</w:t>
            </w:r>
            <w:r w:rsidRPr="00AF3A24">
              <w:rPr>
                <w:rFonts w:asciiTheme="minorHAnsi" w:hAnsiTheme="minorHAnsi" w:cstheme="minorHAnsi"/>
                <w:sz w:val="16"/>
                <w:szCs w:val="16"/>
              </w:rPr>
              <w:br/>
              <w:t>(10.9 - 20.0)</w:t>
            </w:r>
          </w:p>
        </w:tc>
        <w:tc>
          <w:tcPr>
            <w:tcW w:w="693" w:type="dxa"/>
            <w:tcBorders>
              <w:top w:val="nil"/>
              <w:left w:val="nil"/>
              <w:bottom w:val="nil"/>
              <w:right w:val="nil"/>
            </w:tcBorders>
            <w:shd w:val="clear" w:color="auto" w:fill="DAEEF3" w:themeFill="accent5" w:themeFillTint="33"/>
            <w:vAlign w:val="center"/>
          </w:tcPr>
          <w:p w14:paraId="3BD9D41E"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66</w:t>
            </w:r>
          </w:p>
        </w:tc>
        <w:tc>
          <w:tcPr>
            <w:tcW w:w="1495" w:type="dxa"/>
            <w:tcBorders>
              <w:top w:val="nil"/>
              <w:left w:val="nil"/>
              <w:bottom w:val="nil"/>
              <w:right w:val="single" w:sz="4" w:space="0" w:color="auto"/>
            </w:tcBorders>
            <w:shd w:val="clear" w:color="auto" w:fill="DAEEF3" w:themeFill="accent5" w:themeFillTint="33"/>
            <w:vAlign w:val="center"/>
          </w:tcPr>
          <w:p w14:paraId="2EAB5BEA"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17.8</w:t>
            </w:r>
            <w:r w:rsidRPr="00AF3A24">
              <w:rPr>
                <w:rFonts w:asciiTheme="minorHAnsi" w:hAnsiTheme="minorHAnsi" w:cstheme="minorHAnsi"/>
                <w:sz w:val="16"/>
                <w:szCs w:val="16"/>
              </w:rPr>
              <w:br/>
              <w:t>(13.1 - 22.6)</w:t>
            </w:r>
          </w:p>
        </w:tc>
        <w:tc>
          <w:tcPr>
            <w:tcW w:w="821" w:type="dxa"/>
            <w:tcBorders>
              <w:top w:val="nil"/>
              <w:left w:val="nil"/>
              <w:bottom w:val="nil"/>
              <w:right w:val="nil"/>
            </w:tcBorders>
            <w:shd w:val="clear" w:color="auto" w:fill="DAEEF3" w:themeFill="accent5" w:themeFillTint="33"/>
            <w:vAlign w:val="center"/>
          </w:tcPr>
          <w:p w14:paraId="7EF1F1C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22D4597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77907C4A" w14:textId="77777777" w:rsidTr="00E32510">
        <w:tc>
          <w:tcPr>
            <w:tcW w:w="1417" w:type="dxa"/>
            <w:vMerge w:val="restart"/>
            <w:tcBorders>
              <w:top w:val="single" w:sz="4" w:space="0" w:color="auto"/>
            </w:tcBorders>
            <w:shd w:val="clear" w:color="auto" w:fill="DAEEF3" w:themeFill="accent5" w:themeFillTint="33"/>
            <w:vAlign w:val="center"/>
          </w:tcPr>
          <w:p w14:paraId="11C78EAF" w14:textId="77777777" w:rsidR="00E1507C" w:rsidRPr="00AF3A24" w:rsidRDefault="00E1507C" w:rsidP="00E32510">
            <w:pPr>
              <w:spacing w:before="0" w:line="240" w:lineRule="auto"/>
              <w:ind w:left="78"/>
              <w:jc w:val="left"/>
              <w:rPr>
                <w:rFonts w:asciiTheme="minorHAnsi" w:hAnsiTheme="minorHAnsi" w:cstheme="minorHAnsi"/>
                <w:sz w:val="16"/>
                <w:szCs w:val="18"/>
              </w:rPr>
            </w:pPr>
            <w:r w:rsidRPr="00AF3A24">
              <w:rPr>
                <w:rFonts w:asciiTheme="minorHAnsi" w:hAnsiTheme="minorHAnsi" w:cstheme="minorHAnsi"/>
                <w:sz w:val="16"/>
                <w:szCs w:val="18"/>
              </w:rPr>
              <w:t xml:space="preserve">By Ethnicity </w:t>
            </w:r>
            <w:r w:rsidRPr="00AF3A24">
              <w:rPr>
                <w:rFonts w:asciiTheme="minorHAnsi" w:hAnsiTheme="minorHAnsi" w:cstheme="minorHAnsi"/>
                <w:sz w:val="16"/>
                <w:szCs w:val="18"/>
                <w:vertAlign w:val="superscript"/>
              </w:rPr>
              <w:t>4</w:t>
            </w:r>
          </w:p>
        </w:tc>
        <w:tc>
          <w:tcPr>
            <w:tcW w:w="984" w:type="dxa"/>
            <w:tcBorders>
              <w:top w:val="single" w:sz="4" w:space="0" w:color="auto"/>
              <w:bottom w:val="nil"/>
            </w:tcBorders>
            <w:shd w:val="clear" w:color="auto" w:fill="DAEEF3" w:themeFill="accent5" w:themeFillTint="33"/>
            <w:vAlign w:val="center"/>
          </w:tcPr>
          <w:p w14:paraId="2FB98FCA"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689" w:type="dxa"/>
            <w:tcBorders>
              <w:bottom w:val="nil"/>
              <w:right w:val="nil"/>
            </w:tcBorders>
            <w:shd w:val="clear" w:color="auto" w:fill="DAEEF3" w:themeFill="accent5" w:themeFillTint="33"/>
            <w:vAlign w:val="center"/>
          </w:tcPr>
          <w:p w14:paraId="7CCE0568"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269</w:t>
            </w:r>
          </w:p>
        </w:tc>
        <w:tc>
          <w:tcPr>
            <w:tcW w:w="1156" w:type="dxa"/>
            <w:tcBorders>
              <w:left w:val="nil"/>
              <w:bottom w:val="nil"/>
              <w:right w:val="single" w:sz="4" w:space="0" w:color="auto"/>
            </w:tcBorders>
            <w:shd w:val="clear" w:color="auto" w:fill="DAEEF3" w:themeFill="accent5" w:themeFillTint="33"/>
            <w:vAlign w:val="center"/>
          </w:tcPr>
          <w:p w14:paraId="06B25C7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49.0</w:t>
            </w:r>
          </w:p>
          <w:p w14:paraId="0393356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(43.4 - 54.5)</w:t>
            </w:r>
          </w:p>
        </w:tc>
        <w:tc>
          <w:tcPr>
            <w:tcW w:w="688" w:type="dxa"/>
            <w:tcBorders>
              <w:left w:val="nil"/>
              <w:bottom w:val="nil"/>
              <w:right w:val="nil"/>
            </w:tcBorders>
            <w:shd w:val="clear" w:color="auto" w:fill="DAEEF3" w:themeFill="accent5" w:themeFillTint="33"/>
            <w:vAlign w:val="center"/>
          </w:tcPr>
          <w:p w14:paraId="41746BE9"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86</w:t>
            </w:r>
          </w:p>
        </w:tc>
        <w:tc>
          <w:tcPr>
            <w:tcW w:w="1352" w:type="dxa"/>
            <w:tcBorders>
              <w:left w:val="nil"/>
              <w:bottom w:val="nil"/>
              <w:right w:val="single" w:sz="4" w:space="0" w:color="auto"/>
            </w:tcBorders>
            <w:shd w:val="clear" w:color="auto" w:fill="DAEEF3" w:themeFill="accent5" w:themeFillTint="33"/>
            <w:vAlign w:val="center"/>
          </w:tcPr>
          <w:p w14:paraId="2A5CAC07"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16.1</w:t>
            </w:r>
          </w:p>
          <w:p w14:paraId="40404EFA"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(12.1 - 20.2)</w:t>
            </w:r>
          </w:p>
        </w:tc>
        <w:tc>
          <w:tcPr>
            <w:tcW w:w="693" w:type="dxa"/>
            <w:tcBorders>
              <w:left w:val="nil"/>
              <w:bottom w:val="nil"/>
              <w:right w:val="nil"/>
            </w:tcBorders>
            <w:shd w:val="clear" w:color="auto" w:fill="DAEEF3" w:themeFill="accent5" w:themeFillTint="33"/>
            <w:vAlign w:val="center"/>
          </w:tcPr>
          <w:p w14:paraId="7E229CC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38</w:t>
            </w:r>
          </w:p>
        </w:tc>
        <w:tc>
          <w:tcPr>
            <w:tcW w:w="1495" w:type="dxa"/>
            <w:tcBorders>
              <w:left w:val="nil"/>
              <w:bottom w:val="nil"/>
              <w:right w:val="single" w:sz="4" w:space="0" w:color="auto"/>
            </w:tcBorders>
            <w:shd w:val="clear" w:color="auto" w:fill="DAEEF3" w:themeFill="accent5" w:themeFillTint="33"/>
            <w:vAlign w:val="center"/>
          </w:tcPr>
          <w:p w14:paraId="10E5042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6.6</w:t>
            </w:r>
          </w:p>
          <w:p w14:paraId="3CDC9326"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(4.3 - 9.0)</w:t>
            </w:r>
          </w:p>
        </w:tc>
        <w:tc>
          <w:tcPr>
            <w:tcW w:w="821" w:type="dxa"/>
            <w:tcBorders>
              <w:left w:val="nil"/>
              <w:bottom w:val="nil"/>
              <w:right w:val="nil"/>
            </w:tcBorders>
            <w:shd w:val="clear" w:color="auto" w:fill="DAEEF3" w:themeFill="accent5" w:themeFillTint="33"/>
            <w:vAlign w:val="center"/>
          </w:tcPr>
          <w:p w14:paraId="7505E9E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left w:val="nil"/>
              <w:bottom w:val="nil"/>
              <w:right w:val="single" w:sz="4" w:space="0" w:color="auto"/>
            </w:tcBorders>
            <w:shd w:val="clear" w:color="auto" w:fill="DAEEF3" w:themeFill="accent5" w:themeFillTint="33"/>
            <w:vAlign w:val="center"/>
          </w:tcPr>
          <w:p w14:paraId="7EEA24B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70A7C24F" w14:textId="77777777" w:rsidTr="00E32510">
        <w:tc>
          <w:tcPr>
            <w:tcW w:w="1417" w:type="dxa"/>
            <w:vMerge/>
            <w:shd w:val="clear" w:color="auto" w:fill="DAEEF3" w:themeFill="accent5" w:themeFillTint="33"/>
            <w:vAlign w:val="center"/>
          </w:tcPr>
          <w:p w14:paraId="7CFD190B"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14B6A612"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689" w:type="dxa"/>
            <w:tcBorders>
              <w:top w:val="nil"/>
              <w:bottom w:val="nil"/>
              <w:right w:val="nil"/>
            </w:tcBorders>
            <w:shd w:val="clear" w:color="auto" w:fill="DAEEF3" w:themeFill="accent5" w:themeFillTint="33"/>
            <w:vAlign w:val="center"/>
          </w:tcPr>
          <w:p w14:paraId="3E0DC9B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tc>
        <w:tc>
          <w:tcPr>
            <w:tcW w:w="1156" w:type="dxa"/>
            <w:tcBorders>
              <w:top w:val="nil"/>
              <w:left w:val="nil"/>
              <w:bottom w:val="nil"/>
              <w:right w:val="single" w:sz="4" w:space="0" w:color="auto"/>
            </w:tcBorders>
            <w:shd w:val="clear" w:color="auto" w:fill="DAEEF3" w:themeFill="accent5" w:themeFillTint="33"/>
            <w:vAlign w:val="center"/>
          </w:tcPr>
          <w:p w14:paraId="3201699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40.2</w:t>
            </w:r>
          </w:p>
          <w:p w14:paraId="7B3DCC4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(31.5 - 48.9)</w:t>
            </w:r>
          </w:p>
        </w:tc>
        <w:tc>
          <w:tcPr>
            <w:tcW w:w="688" w:type="dxa"/>
            <w:tcBorders>
              <w:top w:val="nil"/>
              <w:left w:val="nil"/>
              <w:bottom w:val="nil"/>
              <w:right w:val="nil"/>
            </w:tcBorders>
            <w:shd w:val="clear" w:color="auto" w:fill="DAEEF3" w:themeFill="accent5" w:themeFillTint="33"/>
            <w:vAlign w:val="center"/>
          </w:tcPr>
          <w:p w14:paraId="0CD3BA7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352" w:type="dxa"/>
            <w:tcBorders>
              <w:top w:val="nil"/>
              <w:left w:val="nil"/>
              <w:bottom w:val="nil"/>
              <w:right w:val="single" w:sz="4" w:space="0" w:color="auto"/>
            </w:tcBorders>
            <w:shd w:val="clear" w:color="auto" w:fill="DAEEF3" w:themeFill="accent5" w:themeFillTint="33"/>
            <w:vAlign w:val="center"/>
          </w:tcPr>
          <w:p w14:paraId="31A5DB2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693" w:type="dxa"/>
            <w:tcBorders>
              <w:top w:val="nil"/>
              <w:left w:val="nil"/>
              <w:bottom w:val="nil"/>
              <w:right w:val="nil"/>
            </w:tcBorders>
            <w:shd w:val="clear" w:color="auto" w:fill="DAEEF3" w:themeFill="accent5" w:themeFillTint="33"/>
            <w:vAlign w:val="center"/>
          </w:tcPr>
          <w:p w14:paraId="42D4175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95" w:type="dxa"/>
            <w:tcBorders>
              <w:top w:val="nil"/>
              <w:left w:val="nil"/>
              <w:bottom w:val="nil"/>
              <w:right w:val="single" w:sz="4" w:space="0" w:color="auto"/>
            </w:tcBorders>
            <w:shd w:val="clear" w:color="auto" w:fill="DAEEF3" w:themeFill="accent5" w:themeFillTint="33"/>
            <w:vAlign w:val="center"/>
          </w:tcPr>
          <w:p w14:paraId="5D8F5D3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821" w:type="dxa"/>
            <w:tcBorders>
              <w:top w:val="nil"/>
              <w:left w:val="nil"/>
              <w:bottom w:val="nil"/>
              <w:right w:val="nil"/>
            </w:tcBorders>
            <w:shd w:val="clear" w:color="auto" w:fill="DAEEF3" w:themeFill="accent5" w:themeFillTint="33"/>
            <w:vAlign w:val="center"/>
          </w:tcPr>
          <w:p w14:paraId="5FF7B1D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3C6E5B0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0866A022" w14:textId="77777777" w:rsidTr="00E32510">
        <w:tc>
          <w:tcPr>
            <w:tcW w:w="1417" w:type="dxa"/>
            <w:vMerge/>
            <w:shd w:val="clear" w:color="auto" w:fill="DAEEF3" w:themeFill="accent5" w:themeFillTint="33"/>
            <w:vAlign w:val="center"/>
          </w:tcPr>
          <w:p w14:paraId="6ED64091"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2C77DBDC"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689" w:type="dxa"/>
            <w:tcBorders>
              <w:top w:val="nil"/>
              <w:bottom w:val="nil"/>
              <w:right w:val="nil"/>
            </w:tcBorders>
            <w:shd w:val="clear" w:color="auto" w:fill="DAEEF3" w:themeFill="accent5" w:themeFillTint="33"/>
            <w:vAlign w:val="center"/>
          </w:tcPr>
          <w:p w14:paraId="0D3A5108"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p>
        </w:tc>
        <w:tc>
          <w:tcPr>
            <w:tcW w:w="1156" w:type="dxa"/>
            <w:tcBorders>
              <w:top w:val="nil"/>
              <w:left w:val="nil"/>
              <w:bottom w:val="nil"/>
              <w:right w:val="single" w:sz="4" w:space="0" w:color="auto"/>
            </w:tcBorders>
            <w:shd w:val="clear" w:color="auto" w:fill="DAEEF3" w:themeFill="accent5" w:themeFillTint="33"/>
            <w:vAlign w:val="center"/>
          </w:tcPr>
          <w:p w14:paraId="114345A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56.5</w:t>
            </w:r>
          </w:p>
          <w:p w14:paraId="5CD49FF0"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(46.9 - 66.2)</w:t>
            </w:r>
          </w:p>
        </w:tc>
        <w:tc>
          <w:tcPr>
            <w:tcW w:w="688" w:type="dxa"/>
            <w:tcBorders>
              <w:top w:val="nil"/>
              <w:left w:val="nil"/>
              <w:bottom w:val="nil"/>
              <w:right w:val="nil"/>
            </w:tcBorders>
            <w:shd w:val="clear" w:color="auto" w:fill="DAEEF3" w:themeFill="accent5" w:themeFillTint="33"/>
            <w:vAlign w:val="center"/>
          </w:tcPr>
          <w:p w14:paraId="6408ACD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352" w:type="dxa"/>
            <w:tcBorders>
              <w:top w:val="nil"/>
              <w:left w:val="nil"/>
              <w:bottom w:val="nil"/>
              <w:right w:val="single" w:sz="4" w:space="0" w:color="auto"/>
            </w:tcBorders>
            <w:shd w:val="clear" w:color="auto" w:fill="DAEEF3" w:themeFill="accent5" w:themeFillTint="33"/>
            <w:vAlign w:val="center"/>
          </w:tcPr>
          <w:p w14:paraId="3BDB176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693" w:type="dxa"/>
            <w:tcBorders>
              <w:top w:val="nil"/>
              <w:left w:val="nil"/>
              <w:bottom w:val="nil"/>
              <w:right w:val="nil"/>
            </w:tcBorders>
            <w:shd w:val="clear" w:color="auto" w:fill="DAEEF3" w:themeFill="accent5" w:themeFillTint="33"/>
            <w:vAlign w:val="center"/>
          </w:tcPr>
          <w:p w14:paraId="5F1DDB2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95" w:type="dxa"/>
            <w:tcBorders>
              <w:top w:val="nil"/>
              <w:left w:val="nil"/>
              <w:bottom w:val="nil"/>
              <w:right w:val="single" w:sz="4" w:space="0" w:color="auto"/>
            </w:tcBorders>
            <w:shd w:val="clear" w:color="auto" w:fill="DAEEF3" w:themeFill="accent5" w:themeFillTint="33"/>
            <w:vAlign w:val="center"/>
          </w:tcPr>
          <w:p w14:paraId="176E4ADB"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821" w:type="dxa"/>
            <w:tcBorders>
              <w:top w:val="nil"/>
              <w:left w:val="nil"/>
              <w:bottom w:val="nil"/>
              <w:right w:val="nil"/>
            </w:tcBorders>
            <w:shd w:val="clear" w:color="auto" w:fill="DAEEF3" w:themeFill="accent5" w:themeFillTint="33"/>
            <w:vAlign w:val="center"/>
          </w:tcPr>
          <w:p w14:paraId="7D3A708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45FCA58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51A3A924" w14:textId="77777777" w:rsidTr="00E32510">
        <w:tc>
          <w:tcPr>
            <w:tcW w:w="1417" w:type="dxa"/>
            <w:vMerge/>
            <w:tcBorders>
              <w:bottom w:val="nil"/>
            </w:tcBorders>
            <w:shd w:val="clear" w:color="auto" w:fill="DAEEF3" w:themeFill="accent5" w:themeFillTint="33"/>
            <w:vAlign w:val="center"/>
          </w:tcPr>
          <w:p w14:paraId="6419F065" w14:textId="77777777" w:rsidR="003868A2" w:rsidRPr="00AF3A24" w:rsidRDefault="003868A2"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52284DCC"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689" w:type="dxa"/>
            <w:tcBorders>
              <w:top w:val="nil"/>
              <w:bottom w:val="nil"/>
              <w:right w:val="nil"/>
            </w:tcBorders>
            <w:shd w:val="clear" w:color="auto" w:fill="DAEEF3" w:themeFill="accent5" w:themeFillTint="33"/>
            <w:vAlign w:val="center"/>
          </w:tcPr>
          <w:p w14:paraId="6F3D75A8"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811</w:t>
            </w:r>
          </w:p>
        </w:tc>
        <w:tc>
          <w:tcPr>
            <w:tcW w:w="1156" w:type="dxa"/>
            <w:tcBorders>
              <w:top w:val="nil"/>
              <w:left w:val="nil"/>
              <w:bottom w:val="nil"/>
              <w:right w:val="single" w:sz="4" w:space="0" w:color="auto"/>
            </w:tcBorders>
            <w:shd w:val="clear" w:color="auto" w:fill="DAEEF3" w:themeFill="accent5" w:themeFillTint="33"/>
            <w:vAlign w:val="center"/>
          </w:tcPr>
          <w:p w14:paraId="23D7931D"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40.9</w:t>
            </w:r>
          </w:p>
          <w:p w14:paraId="2033745D"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(37.6 - 44.2)</w:t>
            </w:r>
          </w:p>
        </w:tc>
        <w:tc>
          <w:tcPr>
            <w:tcW w:w="688" w:type="dxa"/>
            <w:tcBorders>
              <w:top w:val="nil"/>
              <w:left w:val="nil"/>
              <w:bottom w:val="nil"/>
              <w:right w:val="nil"/>
            </w:tcBorders>
            <w:shd w:val="clear" w:color="auto" w:fill="DAEEF3" w:themeFill="accent5" w:themeFillTint="33"/>
            <w:vAlign w:val="center"/>
          </w:tcPr>
          <w:p w14:paraId="7103C96E"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333</w:t>
            </w:r>
          </w:p>
        </w:tc>
        <w:tc>
          <w:tcPr>
            <w:tcW w:w="1352" w:type="dxa"/>
            <w:tcBorders>
              <w:top w:val="nil"/>
              <w:left w:val="nil"/>
              <w:bottom w:val="nil"/>
              <w:right w:val="single" w:sz="4" w:space="0" w:color="auto"/>
            </w:tcBorders>
            <w:shd w:val="clear" w:color="auto" w:fill="DAEEF3" w:themeFill="accent5" w:themeFillTint="33"/>
            <w:vAlign w:val="center"/>
          </w:tcPr>
          <w:p w14:paraId="3953834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21.6</w:t>
            </w:r>
          </w:p>
          <w:p w14:paraId="53DF7662"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(18.7 - 24.5)</w:t>
            </w:r>
          </w:p>
        </w:tc>
        <w:tc>
          <w:tcPr>
            <w:tcW w:w="693" w:type="dxa"/>
            <w:tcBorders>
              <w:top w:val="nil"/>
              <w:left w:val="nil"/>
              <w:bottom w:val="nil"/>
              <w:right w:val="nil"/>
            </w:tcBorders>
            <w:shd w:val="clear" w:color="auto" w:fill="DAEEF3" w:themeFill="accent5" w:themeFillTint="33"/>
            <w:vAlign w:val="center"/>
          </w:tcPr>
          <w:p w14:paraId="3ECD6DA9"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224</w:t>
            </w:r>
          </w:p>
        </w:tc>
        <w:tc>
          <w:tcPr>
            <w:tcW w:w="1495" w:type="dxa"/>
            <w:tcBorders>
              <w:top w:val="nil"/>
              <w:left w:val="nil"/>
              <w:bottom w:val="nil"/>
              <w:right w:val="single" w:sz="4" w:space="0" w:color="auto"/>
            </w:tcBorders>
            <w:shd w:val="clear" w:color="auto" w:fill="DAEEF3" w:themeFill="accent5" w:themeFillTint="33"/>
            <w:vAlign w:val="center"/>
          </w:tcPr>
          <w:p w14:paraId="69F4C0FD"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11.3</w:t>
            </w:r>
          </w:p>
          <w:p w14:paraId="6D9C8685"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(9.5 - 13.1)</w:t>
            </w:r>
          </w:p>
        </w:tc>
        <w:tc>
          <w:tcPr>
            <w:tcW w:w="821" w:type="dxa"/>
            <w:tcBorders>
              <w:top w:val="nil"/>
              <w:left w:val="nil"/>
              <w:bottom w:val="nil"/>
              <w:right w:val="nil"/>
            </w:tcBorders>
            <w:shd w:val="clear" w:color="auto" w:fill="DAEEF3" w:themeFill="accent5" w:themeFillTint="33"/>
            <w:vAlign w:val="center"/>
          </w:tcPr>
          <w:p w14:paraId="28E189A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63</w:t>
            </w:r>
          </w:p>
        </w:tc>
        <w:tc>
          <w:tcPr>
            <w:tcW w:w="1229" w:type="dxa"/>
            <w:tcBorders>
              <w:top w:val="nil"/>
              <w:left w:val="nil"/>
              <w:bottom w:val="nil"/>
              <w:right w:val="single" w:sz="4" w:space="0" w:color="auto"/>
            </w:tcBorders>
            <w:shd w:val="clear" w:color="auto" w:fill="DAEEF3" w:themeFill="accent5" w:themeFillTint="33"/>
            <w:vAlign w:val="center"/>
          </w:tcPr>
          <w:p w14:paraId="6F6A0CA7"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4.5</w:t>
            </w:r>
          </w:p>
          <w:p w14:paraId="527445B9"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(3.2 - 5.7)</w:t>
            </w:r>
          </w:p>
        </w:tc>
      </w:tr>
      <w:tr w:rsidR="00E1507C" w:rsidRPr="00AF3A24" w14:paraId="355506D1" w14:textId="77777777" w:rsidTr="00E32510">
        <w:tc>
          <w:tcPr>
            <w:tcW w:w="1417" w:type="dxa"/>
            <w:vMerge w:val="restart"/>
            <w:tcBorders>
              <w:top w:val="single" w:sz="4" w:space="0" w:color="auto"/>
            </w:tcBorders>
            <w:shd w:val="clear" w:color="auto" w:fill="DAEEF3" w:themeFill="accent5" w:themeFillTint="33"/>
            <w:vAlign w:val="center"/>
          </w:tcPr>
          <w:p w14:paraId="0E9CA93E" w14:textId="77777777" w:rsidR="00E1507C" w:rsidRPr="00AF3A24" w:rsidRDefault="00E1507C" w:rsidP="00E32510">
            <w:pPr>
              <w:spacing w:before="0" w:line="240" w:lineRule="auto"/>
              <w:ind w:left="78"/>
              <w:jc w:val="left"/>
              <w:rPr>
                <w:rFonts w:asciiTheme="minorHAnsi" w:hAnsiTheme="minorHAnsi" w:cstheme="minorHAnsi"/>
                <w:sz w:val="16"/>
                <w:szCs w:val="18"/>
              </w:rPr>
            </w:pPr>
            <w:r w:rsidRPr="00AF3A24">
              <w:rPr>
                <w:rFonts w:asciiTheme="minorHAnsi" w:hAnsiTheme="minorHAnsi" w:cstheme="minorHAnsi"/>
                <w:sz w:val="16"/>
                <w:szCs w:val="18"/>
              </w:rPr>
              <w:t>By Neighbourhood Deprivation (NZDep2006)</w:t>
            </w:r>
          </w:p>
        </w:tc>
        <w:tc>
          <w:tcPr>
            <w:tcW w:w="984" w:type="dxa"/>
            <w:tcBorders>
              <w:top w:val="single" w:sz="4" w:space="0" w:color="auto"/>
              <w:bottom w:val="nil"/>
            </w:tcBorders>
            <w:shd w:val="clear" w:color="auto" w:fill="DAEEF3" w:themeFill="accent5" w:themeFillTint="33"/>
            <w:vAlign w:val="center"/>
          </w:tcPr>
          <w:p w14:paraId="2B1556D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689" w:type="dxa"/>
            <w:tcBorders>
              <w:bottom w:val="nil"/>
              <w:right w:val="nil"/>
            </w:tcBorders>
            <w:shd w:val="clear" w:color="auto" w:fill="DAEEF3" w:themeFill="accent5" w:themeFillTint="33"/>
            <w:vAlign w:val="center"/>
          </w:tcPr>
          <w:p w14:paraId="6CB21D9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163</w:t>
            </w:r>
          </w:p>
        </w:tc>
        <w:tc>
          <w:tcPr>
            <w:tcW w:w="1156" w:type="dxa"/>
            <w:tcBorders>
              <w:left w:val="nil"/>
              <w:bottom w:val="nil"/>
              <w:right w:val="single" w:sz="4" w:space="0" w:color="auto"/>
            </w:tcBorders>
            <w:shd w:val="clear" w:color="auto" w:fill="DAEEF3" w:themeFill="accent5" w:themeFillTint="33"/>
            <w:vAlign w:val="center"/>
          </w:tcPr>
          <w:p w14:paraId="0827459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45.4</w:t>
            </w:r>
            <w:r w:rsidRPr="00AF3A24">
              <w:rPr>
                <w:rFonts w:asciiTheme="minorHAnsi" w:hAnsiTheme="minorHAnsi"/>
                <w:bCs/>
                <w:color w:val="000000"/>
                <w:sz w:val="16"/>
                <w:szCs w:val="16"/>
              </w:rPr>
              <w:br/>
              <w:t>(38.8 - 52.0)</w:t>
            </w:r>
          </w:p>
        </w:tc>
        <w:tc>
          <w:tcPr>
            <w:tcW w:w="688" w:type="dxa"/>
            <w:tcBorders>
              <w:left w:val="nil"/>
              <w:bottom w:val="nil"/>
              <w:right w:val="nil"/>
            </w:tcBorders>
            <w:shd w:val="clear" w:color="auto" w:fill="DAEEF3" w:themeFill="accent5" w:themeFillTint="33"/>
            <w:vAlign w:val="center"/>
          </w:tcPr>
          <w:p w14:paraId="65A569D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p>
        </w:tc>
        <w:tc>
          <w:tcPr>
            <w:tcW w:w="1352" w:type="dxa"/>
            <w:tcBorders>
              <w:left w:val="nil"/>
              <w:bottom w:val="nil"/>
              <w:right w:val="single" w:sz="4" w:space="0" w:color="auto"/>
            </w:tcBorders>
            <w:shd w:val="clear" w:color="auto" w:fill="DAEEF3" w:themeFill="accent5" w:themeFillTint="33"/>
            <w:vAlign w:val="center"/>
          </w:tcPr>
          <w:p w14:paraId="15D9B7C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16.8</w:t>
            </w:r>
            <w:r w:rsidRPr="00AF3A24">
              <w:rPr>
                <w:rFonts w:asciiTheme="minorHAnsi" w:hAnsiTheme="minorHAnsi"/>
                <w:bCs/>
                <w:color w:val="000000"/>
                <w:sz w:val="16"/>
                <w:szCs w:val="16"/>
              </w:rPr>
              <w:br/>
              <w:t>(11.5 - 22.1)</w:t>
            </w:r>
          </w:p>
        </w:tc>
        <w:tc>
          <w:tcPr>
            <w:tcW w:w="693" w:type="dxa"/>
            <w:tcBorders>
              <w:left w:val="nil"/>
              <w:bottom w:val="nil"/>
              <w:right w:val="nil"/>
            </w:tcBorders>
            <w:shd w:val="clear" w:color="auto" w:fill="DAEEF3" w:themeFill="accent5" w:themeFillTint="33"/>
            <w:vAlign w:val="center"/>
          </w:tcPr>
          <w:p w14:paraId="5C6CAF0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495" w:type="dxa"/>
            <w:tcBorders>
              <w:left w:val="nil"/>
              <w:bottom w:val="nil"/>
              <w:right w:val="single" w:sz="4" w:space="0" w:color="auto"/>
            </w:tcBorders>
            <w:shd w:val="clear" w:color="auto" w:fill="DAEEF3" w:themeFill="accent5" w:themeFillTint="33"/>
            <w:vAlign w:val="center"/>
          </w:tcPr>
          <w:p w14:paraId="50846A6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11.6</w:t>
            </w:r>
            <w:r w:rsidRPr="00AF3A24">
              <w:rPr>
                <w:rFonts w:asciiTheme="minorHAnsi" w:hAnsiTheme="minorHAnsi"/>
                <w:bCs/>
                <w:color w:val="000000"/>
                <w:sz w:val="16"/>
                <w:szCs w:val="16"/>
              </w:rPr>
              <w:br/>
              <w:t>(8.2 - 14.9)</w:t>
            </w:r>
          </w:p>
        </w:tc>
        <w:tc>
          <w:tcPr>
            <w:tcW w:w="821" w:type="dxa"/>
            <w:tcBorders>
              <w:left w:val="nil"/>
              <w:bottom w:val="nil"/>
              <w:right w:val="nil"/>
            </w:tcBorders>
            <w:shd w:val="clear" w:color="auto" w:fill="DAEEF3" w:themeFill="accent5" w:themeFillTint="33"/>
            <w:vAlign w:val="center"/>
          </w:tcPr>
          <w:p w14:paraId="02F3B63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left w:val="nil"/>
              <w:bottom w:val="nil"/>
              <w:right w:val="single" w:sz="4" w:space="0" w:color="auto"/>
            </w:tcBorders>
            <w:shd w:val="clear" w:color="auto" w:fill="DAEEF3" w:themeFill="accent5" w:themeFillTint="33"/>
            <w:vAlign w:val="center"/>
          </w:tcPr>
          <w:p w14:paraId="5AA2DF1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48023FFB" w14:textId="77777777" w:rsidTr="00E32510">
        <w:tc>
          <w:tcPr>
            <w:tcW w:w="1417" w:type="dxa"/>
            <w:vMerge/>
            <w:shd w:val="clear" w:color="auto" w:fill="DAEEF3" w:themeFill="accent5" w:themeFillTint="33"/>
            <w:vAlign w:val="center"/>
          </w:tcPr>
          <w:p w14:paraId="19F356C5"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27548B0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689" w:type="dxa"/>
            <w:tcBorders>
              <w:top w:val="nil"/>
              <w:bottom w:val="nil"/>
              <w:right w:val="nil"/>
            </w:tcBorders>
            <w:shd w:val="clear" w:color="auto" w:fill="DAEEF3" w:themeFill="accent5" w:themeFillTint="33"/>
            <w:vAlign w:val="center"/>
          </w:tcPr>
          <w:p w14:paraId="7167302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149</w:t>
            </w:r>
          </w:p>
        </w:tc>
        <w:tc>
          <w:tcPr>
            <w:tcW w:w="1156" w:type="dxa"/>
            <w:tcBorders>
              <w:top w:val="nil"/>
              <w:left w:val="nil"/>
              <w:bottom w:val="nil"/>
              <w:right w:val="single" w:sz="4" w:space="0" w:color="auto"/>
            </w:tcBorders>
            <w:shd w:val="clear" w:color="auto" w:fill="DAEEF3" w:themeFill="accent5" w:themeFillTint="33"/>
            <w:vAlign w:val="center"/>
          </w:tcPr>
          <w:p w14:paraId="1EAE9452"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43.2</w:t>
            </w:r>
            <w:r w:rsidRPr="00AF3A24">
              <w:rPr>
                <w:rFonts w:asciiTheme="minorHAnsi" w:hAnsiTheme="minorHAnsi"/>
                <w:bCs/>
                <w:color w:val="000000"/>
                <w:sz w:val="16"/>
                <w:szCs w:val="16"/>
              </w:rPr>
              <w:br/>
              <w:t>(37.4 - 49.1)</w:t>
            </w:r>
          </w:p>
        </w:tc>
        <w:tc>
          <w:tcPr>
            <w:tcW w:w="688" w:type="dxa"/>
            <w:tcBorders>
              <w:top w:val="nil"/>
              <w:left w:val="nil"/>
              <w:bottom w:val="nil"/>
              <w:right w:val="nil"/>
            </w:tcBorders>
            <w:shd w:val="clear" w:color="auto" w:fill="DAEEF3" w:themeFill="accent5" w:themeFillTint="33"/>
            <w:vAlign w:val="center"/>
          </w:tcPr>
          <w:p w14:paraId="2A7CCCF5"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w:t>
            </w:r>
          </w:p>
        </w:tc>
        <w:tc>
          <w:tcPr>
            <w:tcW w:w="1352" w:type="dxa"/>
            <w:tcBorders>
              <w:top w:val="nil"/>
              <w:left w:val="nil"/>
              <w:bottom w:val="nil"/>
              <w:right w:val="single" w:sz="4" w:space="0" w:color="auto"/>
            </w:tcBorders>
            <w:shd w:val="clear" w:color="auto" w:fill="DAEEF3" w:themeFill="accent5" w:themeFillTint="33"/>
            <w:vAlign w:val="center"/>
          </w:tcPr>
          <w:p w14:paraId="10CF8B34"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18.6</w:t>
            </w:r>
            <w:r w:rsidRPr="00AF3A24">
              <w:rPr>
                <w:rFonts w:asciiTheme="minorHAnsi" w:hAnsiTheme="minorHAnsi"/>
                <w:bCs/>
                <w:color w:val="000000"/>
                <w:sz w:val="16"/>
                <w:szCs w:val="16"/>
              </w:rPr>
              <w:br/>
              <w:t>(13.8 - 23.4)</w:t>
            </w:r>
          </w:p>
        </w:tc>
        <w:tc>
          <w:tcPr>
            <w:tcW w:w="693" w:type="dxa"/>
            <w:tcBorders>
              <w:top w:val="nil"/>
              <w:left w:val="nil"/>
              <w:bottom w:val="nil"/>
              <w:right w:val="nil"/>
            </w:tcBorders>
            <w:shd w:val="clear" w:color="auto" w:fill="DAEEF3" w:themeFill="accent5" w:themeFillTint="33"/>
            <w:vAlign w:val="center"/>
          </w:tcPr>
          <w:p w14:paraId="051C063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w:t>
            </w:r>
          </w:p>
        </w:tc>
        <w:tc>
          <w:tcPr>
            <w:tcW w:w="1495" w:type="dxa"/>
            <w:tcBorders>
              <w:top w:val="nil"/>
              <w:left w:val="nil"/>
              <w:bottom w:val="nil"/>
              <w:right w:val="single" w:sz="4" w:space="0" w:color="auto"/>
            </w:tcBorders>
            <w:shd w:val="clear" w:color="auto" w:fill="DAEEF3" w:themeFill="accent5" w:themeFillTint="33"/>
            <w:vAlign w:val="center"/>
          </w:tcPr>
          <w:p w14:paraId="1F270190"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14.0</w:t>
            </w:r>
            <w:r w:rsidRPr="00AF3A24">
              <w:rPr>
                <w:rFonts w:asciiTheme="minorHAnsi" w:hAnsiTheme="minorHAnsi"/>
                <w:bCs/>
                <w:color w:val="000000"/>
                <w:sz w:val="16"/>
                <w:szCs w:val="16"/>
              </w:rPr>
              <w:br/>
              <w:t>(9.4 - 18.6)</w:t>
            </w:r>
          </w:p>
        </w:tc>
        <w:tc>
          <w:tcPr>
            <w:tcW w:w="821" w:type="dxa"/>
            <w:tcBorders>
              <w:top w:val="nil"/>
              <w:left w:val="nil"/>
              <w:bottom w:val="nil"/>
              <w:right w:val="nil"/>
            </w:tcBorders>
            <w:shd w:val="clear" w:color="auto" w:fill="DAEEF3" w:themeFill="accent5" w:themeFillTint="33"/>
            <w:vAlign w:val="center"/>
          </w:tcPr>
          <w:p w14:paraId="3673B0C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0F51965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69E49101" w14:textId="77777777" w:rsidTr="00E32510">
        <w:tc>
          <w:tcPr>
            <w:tcW w:w="1417" w:type="dxa"/>
            <w:vMerge/>
            <w:shd w:val="clear" w:color="auto" w:fill="DAEEF3" w:themeFill="accent5" w:themeFillTint="33"/>
            <w:vAlign w:val="center"/>
          </w:tcPr>
          <w:p w14:paraId="195D63FE"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2ED1B8A7"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689" w:type="dxa"/>
            <w:tcBorders>
              <w:top w:val="nil"/>
              <w:bottom w:val="nil"/>
              <w:right w:val="nil"/>
            </w:tcBorders>
            <w:shd w:val="clear" w:color="auto" w:fill="DAEEF3" w:themeFill="accent5" w:themeFillTint="33"/>
            <w:vAlign w:val="center"/>
          </w:tcPr>
          <w:p w14:paraId="3EA5AD0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220</w:t>
            </w:r>
          </w:p>
        </w:tc>
        <w:tc>
          <w:tcPr>
            <w:tcW w:w="1156" w:type="dxa"/>
            <w:tcBorders>
              <w:top w:val="nil"/>
              <w:left w:val="nil"/>
              <w:bottom w:val="nil"/>
              <w:right w:val="single" w:sz="4" w:space="0" w:color="auto"/>
            </w:tcBorders>
            <w:shd w:val="clear" w:color="auto" w:fill="DAEEF3" w:themeFill="accent5" w:themeFillTint="33"/>
            <w:vAlign w:val="center"/>
          </w:tcPr>
          <w:p w14:paraId="74EC58A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48.0</w:t>
            </w:r>
            <w:r w:rsidRPr="00AF3A24">
              <w:rPr>
                <w:rFonts w:asciiTheme="minorHAnsi" w:hAnsiTheme="minorHAnsi"/>
                <w:bCs/>
                <w:color w:val="000000"/>
                <w:sz w:val="16"/>
                <w:szCs w:val="16"/>
              </w:rPr>
              <w:br/>
              <w:t>(42.5 - 53.4)</w:t>
            </w:r>
          </w:p>
        </w:tc>
        <w:tc>
          <w:tcPr>
            <w:tcW w:w="688" w:type="dxa"/>
            <w:tcBorders>
              <w:top w:val="nil"/>
              <w:left w:val="nil"/>
              <w:bottom w:val="nil"/>
              <w:right w:val="nil"/>
            </w:tcBorders>
            <w:shd w:val="clear" w:color="auto" w:fill="DAEEF3" w:themeFill="accent5" w:themeFillTint="33"/>
            <w:vAlign w:val="center"/>
          </w:tcPr>
          <w:p w14:paraId="2A131BA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p>
        </w:tc>
        <w:tc>
          <w:tcPr>
            <w:tcW w:w="1352" w:type="dxa"/>
            <w:tcBorders>
              <w:top w:val="nil"/>
              <w:left w:val="nil"/>
              <w:bottom w:val="nil"/>
              <w:right w:val="single" w:sz="4" w:space="0" w:color="auto"/>
            </w:tcBorders>
            <w:shd w:val="clear" w:color="auto" w:fill="DAEEF3" w:themeFill="accent5" w:themeFillTint="33"/>
            <w:vAlign w:val="center"/>
          </w:tcPr>
          <w:p w14:paraId="3A19771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19.1</w:t>
            </w:r>
            <w:r w:rsidRPr="00AF3A24">
              <w:rPr>
                <w:rFonts w:asciiTheme="minorHAnsi" w:hAnsiTheme="minorHAnsi"/>
                <w:bCs/>
                <w:color w:val="000000"/>
                <w:sz w:val="16"/>
                <w:szCs w:val="16"/>
              </w:rPr>
              <w:br/>
              <w:t>(14.5 - 23.7)</w:t>
            </w:r>
          </w:p>
        </w:tc>
        <w:tc>
          <w:tcPr>
            <w:tcW w:w="693" w:type="dxa"/>
            <w:tcBorders>
              <w:top w:val="nil"/>
              <w:left w:val="nil"/>
              <w:bottom w:val="nil"/>
              <w:right w:val="nil"/>
            </w:tcBorders>
            <w:shd w:val="clear" w:color="auto" w:fill="DAEEF3" w:themeFill="accent5" w:themeFillTint="33"/>
            <w:vAlign w:val="center"/>
          </w:tcPr>
          <w:p w14:paraId="7DFB875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p>
        </w:tc>
        <w:tc>
          <w:tcPr>
            <w:tcW w:w="1495" w:type="dxa"/>
            <w:tcBorders>
              <w:top w:val="nil"/>
              <w:left w:val="nil"/>
              <w:bottom w:val="nil"/>
              <w:right w:val="single" w:sz="4" w:space="0" w:color="auto"/>
            </w:tcBorders>
            <w:shd w:val="clear" w:color="auto" w:fill="DAEEF3" w:themeFill="accent5" w:themeFillTint="33"/>
            <w:vAlign w:val="center"/>
          </w:tcPr>
          <w:p w14:paraId="358540A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w:t>
            </w:r>
            <w:r w:rsidRPr="00AF3A24">
              <w:rPr>
                <w:rFonts w:asciiTheme="minorHAnsi" w:hAnsiTheme="minorHAnsi"/>
                <w:bCs/>
                <w:color w:val="000000"/>
                <w:sz w:val="16"/>
                <w:szCs w:val="16"/>
              </w:rPr>
              <w:br/>
              <w:t>(6.0 - 13.7)</w:t>
            </w:r>
          </w:p>
        </w:tc>
        <w:tc>
          <w:tcPr>
            <w:tcW w:w="821" w:type="dxa"/>
            <w:tcBorders>
              <w:top w:val="nil"/>
              <w:left w:val="nil"/>
              <w:bottom w:val="nil"/>
              <w:right w:val="nil"/>
            </w:tcBorders>
            <w:shd w:val="clear" w:color="auto" w:fill="DAEEF3" w:themeFill="accent5" w:themeFillTint="33"/>
            <w:vAlign w:val="center"/>
          </w:tcPr>
          <w:p w14:paraId="540ED56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581CF4B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3842B654" w14:textId="77777777" w:rsidTr="00E32510">
        <w:tc>
          <w:tcPr>
            <w:tcW w:w="1417" w:type="dxa"/>
            <w:vMerge/>
            <w:shd w:val="clear" w:color="auto" w:fill="DAEEF3" w:themeFill="accent5" w:themeFillTint="33"/>
            <w:vAlign w:val="center"/>
          </w:tcPr>
          <w:p w14:paraId="009BB79F"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nil"/>
            </w:tcBorders>
            <w:shd w:val="clear" w:color="auto" w:fill="DAEEF3" w:themeFill="accent5" w:themeFillTint="33"/>
            <w:vAlign w:val="center"/>
          </w:tcPr>
          <w:p w14:paraId="70E00395"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689" w:type="dxa"/>
            <w:tcBorders>
              <w:top w:val="nil"/>
              <w:bottom w:val="nil"/>
              <w:right w:val="nil"/>
            </w:tcBorders>
            <w:shd w:val="clear" w:color="auto" w:fill="DAEEF3" w:themeFill="accent5" w:themeFillTint="33"/>
            <w:vAlign w:val="center"/>
          </w:tcPr>
          <w:p w14:paraId="5CF66D81"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218</w:t>
            </w:r>
          </w:p>
        </w:tc>
        <w:tc>
          <w:tcPr>
            <w:tcW w:w="1156" w:type="dxa"/>
            <w:tcBorders>
              <w:top w:val="nil"/>
              <w:left w:val="nil"/>
              <w:bottom w:val="nil"/>
              <w:right w:val="single" w:sz="4" w:space="0" w:color="auto"/>
            </w:tcBorders>
            <w:shd w:val="clear" w:color="auto" w:fill="DAEEF3" w:themeFill="accent5" w:themeFillTint="33"/>
            <w:vAlign w:val="center"/>
          </w:tcPr>
          <w:p w14:paraId="74D3D55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40.9</w:t>
            </w:r>
            <w:r w:rsidRPr="00AF3A24">
              <w:rPr>
                <w:rFonts w:asciiTheme="minorHAnsi" w:hAnsiTheme="minorHAnsi"/>
                <w:bCs/>
                <w:color w:val="000000"/>
                <w:sz w:val="16"/>
                <w:szCs w:val="16"/>
              </w:rPr>
              <w:br/>
              <w:t>(35.3 - 46.4)</w:t>
            </w:r>
          </w:p>
        </w:tc>
        <w:tc>
          <w:tcPr>
            <w:tcW w:w="688" w:type="dxa"/>
            <w:tcBorders>
              <w:top w:val="nil"/>
              <w:left w:val="nil"/>
              <w:bottom w:val="nil"/>
              <w:right w:val="nil"/>
            </w:tcBorders>
            <w:shd w:val="clear" w:color="auto" w:fill="DAEEF3" w:themeFill="accent5" w:themeFillTint="33"/>
            <w:vAlign w:val="center"/>
          </w:tcPr>
          <w:p w14:paraId="7DAC3E8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83</w:t>
            </w:r>
          </w:p>
        </w:tc>
        <w:tc>
          <w:tcPr>
            <w:tcW w:w="1352" w:type="dxa"/>
            <w:tcBorders>
              <w:top w:val="nil"/>
              <w:left w:val="nil"/>
              <w:bottom w:val="nil"/>
              <w:right w:val="single" w:sz="4" w:space="0" w:color="auto"/>
            </w:tcBorders>
            <w:shd w:val="clear" w:color="auto" w:fill="DAEEF3" w:themeFill="accent5" w:themeFillTint="33"/>
            <w:vAlign w:val="center"/>
          </w:tcPr>
          <w:p w14:paraId="53E7854D"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16.1</w:t>
            </w:r>
            <w:r w:rsidRPr="00AF3A24">
              <w:rPr>
                <w:rFonts w:asciiTheme="minorHAnsi" w:hAnsiTheme="minorHAnsi"/>
                <w:bCs/>
                <w:color w:val="000000"/>
                <w:sz w:val="16"/>
                <w:szCs w:val="16"/>
              </w:rPr>
              <w:br/>
              <w:t>(11.8 - 20.4)</w:t>
            </w:r>
          </w:p>
        </w:tc>
        <w:tc>
          <w:tcPr>
            <w:tcW w:w="693" w:type="dxa"/>
            <w:tcBorders>
              <w:top w:val="nil"/>
              <w:left w:val="nil"/>
              <w:bottom w:val="nil"/>
              <w:right w:val="nil"/>
            </w:tcBorders>
            <w:shd w:val="clear" w:color="auto" w:fill="DAEEF3" w:themeFill="accent5" w:themeFillTint="33"/>
            <w:vAlign w:val="center"/>
          </w:tcPr>
          <w:p w14:paraId="73F1C717"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tc>
        <w:tc>
          <w:tcPr>
            <w:tcW w:w="1495" w:type="dxa"/>
            <w:tcBorders>
              <w:top w:val="nil"/>
              <w:left w:val="nil"/>
              <w:bottom w:val="nil"/>
              <w:right w:val="single" w:sz="4" w:space="0" w:color="auto"/>
            </w:tcBorders>
            <w:shd w:val="clear" w:color="auto" w:fill="DAEEF3" w:themeFill="accent5" w:themeFillTint="33"/>
            <w:vAlign w:val="center"/>
          </w:tcPr>
          <w:p w14:paraId="1D6FC1A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12.4</w:t>
            </w:r>
            <w:r w:rsidRPr="00AF3A24">
              <w:rPr>
                <w:rFonts w:asciiTheme="minorHAnsi" w:hAnsiTheme="minorHAnsi"/>
                <w:bCs/>
                <w:color w:val="000000"/>
                <w:sz w:val="16"/>
                <w:szCs w:val="16"/>
              </w:rPr>
              <w:br/>
              <w:t>(9.2 - 15.7)</w:t>
            </w:r>
          </w:p>
        </w:tc>
        <w:tc>
          <w:tcPr>
            <w:tcW w:w="821" w:type="dxa"/>
            <w:tcBorders>
              <w:top w:val="nil"/>
              <w:left w:val="nil"/>
              <w:bottom w:val="nil"/>
              <w:right w:val="nil"/>
            </w:tcBorders>
            <w:shd w:val="clear" w:color="auto" w:fill="DAEEF3" w:themeFill="accent5" w:themeFillTint="33"/>
            <w:vAlign w:val="center"/>
          </w:tcPr>
          <w:p w14:paraId="636601A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nil"/>
              <w:right w:val="single" w:sz="4" w:space="0" w:color="auto"/>
            </w:tcBorders>
            <w:shd w:val="clear" w:color="auto" w:fill="DAEEF3" w:themeFill="accent5" w:themeFillTint="33"/>
            <w:vAlign w:val="center"/>
          </w:tcPr>
          <w:p w14:paraId="5B5A74E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63C0DA3" w14:textId="77777777" w:rsidTr="00E32510">
        <w:tc>
          <w:tcPr>
            <w:tcW w:w="1417" w:type="dxa"/>
            <w:vMerge/>
            <w:tcBorders>
              <w:bottom w:val="single" w:sz="4" w:space="0" w:color="auto"/>
            </w:tcBorders>
            <w:shd w:val="clear" w:color="auto" w:fill="DAEEF3" w:themeFill="accent5" w:themeFillTint="33"/>
            <w:vAlign w:val="center"/>
          </w:tcPr>
          <w:p w14:paraId="72597F24" w14:textId="77777777" w:rsidR="00E1507C" w:rsidRPr="00AF3A24" w:rsidRDefault="00E1507C" w:rsidP="00E32510">
            <w:pPr>
              <w:spacing w:before="0" w:line="240" w:lineRule="auto"/>
              <w:ind w:left="78"/>
              <w:jc w:val="left"/>
              <w:rPr>
                <w:rFonts w:asciiTheme="minorHAnsi" w:hAnsiTheme="minorHAnsi" w:cstheme="minorHAnsi"/>
                <w:sz w:val="16"/>
                <w:szCs w:val="18"/>
              </w:rPr>
            </w:pPr>
          </w:p>
        </w:tc>
        <w:tc>
          <w:tcPr>
            <w:tcW w:w="984" w:type="dxa"/>
            <w:tcBorders>
              <w:top w:val="nil"/>
              <w:bottom w:val="single" w:sz="4" w:space="0" w:color="auto"/>
            </w:tcBorders>
            <w:shd w:val="clear" w:color="auto" w:fill="DAEEF3" w:themeFill="accent5" w:themeFillTint="33"/>
            <w:vAlign w:val="center"/>
          </w:tcPr>
          <w:p w14:paraId="6E6F84FB"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689" w:type="dxa"/>
            <w:tcBorders>
              <w:top w:val="nil"/>
              <w:bottom w:val="single" w:sz="4" w:space="0" w:color="auto"/>
              <w:right w:val="nil"/>
            </w:tcBorders>
            <w:shd w:val="clear" w:color="auto" w:fill="DAEEF3" w:themeFill="accent5" w:themeFillTint="33"/>
            <w:vAlign w:val="center"/>
          </w:tcPr>
          <w:p w14:paraId="474D8998"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277</w:t>
            </w:r>
          </w:p>
        </w:tc>
        <w:tc>
          <w:tcPr>
            <w:tcW w:w="1156" w:type="dxa"/>
            <w:tcBorders>
              <w:top w:val="nil"/>
              <w:left w:val="nil"/>
              <w:bottom w:val="single" w:sz="4" w:space="0" w:color="auto"/>
              <w:right w:val="single" w:sz="4" w:space="0" w:color="auto"/>
            </w:tcBorders>
            <w:shd w:val="clear" w:color="auto" w:fill="DAEEF3" w:themeFill="accent5" w:themeFillTint="33"/>
            <w:vAlign w:val="center"/>
          </w:tcPr>
          <w:p w14:paraId="04A4622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41.2</w:t>
            </w:r>
            <w:r w:rsidRPr="00AF3A24">
              <w:rPr>
                <w:rFonts w:asciiTheme="minorHAnsi" w:hAnsiTheme="minorHAnsi"/>
                <w:bCs/>
                <w:color w:val="000000"/>
                <w:sz w:val="16"/>
                <w:szCs w:val="16"/>
              </w:rPr>
              <w:br/>
              <w:t>(35.8 - 46.6)</w:t>
            </w:r>
          </w:p>
        </w:tc>
        <w:tc>
          <w:tcPr>
            <w:tcW w:w="688" w:type="dxa"/>
            <w:tcBorders>
              <w:top w:val="nil"/>
              <w:left w:val="nil"/>
              <w:bottom w:val="single" w:sz="4" w:space="0" w:color="auto"/>
              <w:right w:val="nil"/>
            </w:tcBorders>
            <w:shd w:val="clear" w:color="auto" w:fill="DAEEF3" w:themeFill="accent5" w:themeFillTint="33"/>
            <w:vAlign w:val="center"/>
          </w:tcPr>
          <w:p w14:paraId="3156A5D9"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113</w:t>
            </w:r>
          </w:p>
        </w:tc>
        <w:tc>
          <w:tcPr>
            <w:tcW w:w="1352" w:type="dxa"/>
            <w:tcBorders>
              <w:top w:val="nil"/>
              <w:left w:val="nil"/>
              <w:bottom w:val="single" w:sz="4" w:space="0" w:color="auto"/>
              <w:right w:val="single" w:sz="4" w:space="0" w:color="auto"/>
            </w:tcBorders>
            <w:shd w:val="clear" w:color="auto" w:fill="DAEEF3" w:themeFill="accent5" w:themeFillTint="33"/>
            <w:vAlign w:val="center"/>
          </w:tcPr>
          <w:p w14:paraId="64253F5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21.7</w:t>
            </w:r>
            <w:r w:rsidRPr="00AF3A24">
              <w:rPr>
                <w:rFonts w:asciiTheme="minorHAnsi" w:hAnsiTheme="minorHAnsi"/>
                <w:bCs/>
                <w:color w:val="000000"/>
                <w:sz w:val="16"/>
                <w:szCs w:val="16"/>
              </w:rPr>
              <w:br/>
              <w:t>(17.2 - 26.3)</w:t>
            </w:r>
          </w:p>
        </w:tc>
        <w:tc>
          <w:tcPr>
            <w:tcW w:w="693" w:type="dxa"/>
            <w:tcBorders>
              <w:top w:val="nil"/>
              <w:left w:val="nil"/>
              <w:bottom w:val="single" w:sz="4" w:space="0" w:color="auto"/>
              <w:right w:val="nil"/>
            </w:tcBorders>
            <w:shd w:val="clear" w:color="auto" w:fill="DAEEF3" w:themeFill="accent5" w:themeFillTint="33"/>
            <w:vAlign w:val="center"/>
          </w:tcPr>
          <w:p w14:paraId="03FBA75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tc>
        <w:tc>
          <w:tcPr>
            <w:tcW w:w="1495" w:type="dxa"/>
            <w:tcBorders>
              <w:top w:val="nil"/>
              <w:left w:val="nil"/>
              <w:bottom w:val="single" w:sz="4" w:space="0" w:color="auto"/>
              <w:right w:val="single" w:sz="4" w:space="0" w:color="auto"/>
            </w:tcBorders>
            <w:shd w:val="clear" w:color="auto" w:fill="DAEEF3" w:themeFill="accent5" w:themeFillTint="33"/>
            <w:vAlign w:val="center"/>
          </w:tcPr>
          <w:p w14:paraId="684FEAC1"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w:t>
            </w:r>
            <w:r w:rsidRPr="00AF3A24">
              <w:rPr>
                <w:rFonts w:asciiTheme="minorHAnsi" w:hAnsiTheme="minorHAnsi"/>
                <w:bCs/>
                <w:color w:val="000000"/>
                <w:sz w:val="16"/>
                <w:szCs w:val="16"/>
              </w:rPr>
              <w:br/>
              <w:t>(6.7 - 12.8)</w:t>
            </w:r>
          </w:p>
        </w:tc>
        <w:tc>
          <w:tcPr>
            <w:tcW w:w="821" w:type="dxa"/>
            <w:tcBorders>
              <w:top w:val="nil"/>
              <w:left w:val="nil"/>
              <w:bottom w:val="single" w:sz="4" w:space="0" w:color="auto"/>
              <w:right w:val="nil"/>
            </w:tcBorders>
            <w:shd w:val="clear" w:color="auto" w:fill="DAEEF3" w:themeFill="accent5" w:themeFillTint="33"/>
            <w:vAlign w:val="center"/>
          </w:tcPr>
          <w:p w14:paraId="5CEDDDC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top w:val="nil"/>
              <w:left w:val="nil"/>
              <w:bottom w:val="single" w:sz="4" w:space="0" w:color="auto"/>
              <w:right w:val="single" w:sz="4" w:space="0" w:color="auto"/>
            </w:tcBorders>
            <w:shd w:val="clear" w:color="auto" w:fill="DAEEF3" w:themeFill="accent5" w:themeFillTint="33"/>
            <w:vAlign w:val="center"/>
          </w:tcPr>
          <w:p w14:paraId="2C6127A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352E8D21" w14:textId="77777777" w:rsidTr="00E32510">
        <w:tc>
          <w:tcPr>
            <w:tcW w:w="1417" w:type="dxa"/>
            <w:vMerge w:val="restart"/>
            <w:tcBorders>
              <w:top w:val="single" w:sz="4" w:space="0" w:color="auto"/>
            </w:tcBorders>
            <w:shd w:val="clear" w:color="auto" w:fill="DAEEF3" w:themeFill="accent5" w:themeFillTint="33"/>
            <w:vAlign w:val="center"/>
          </w:tcPr>
          <w:p w14:paraId="68E3EE5E" w14:textId="77777777" w:rsidR="00E1507C" w:rsidRPr="00AF3A24" w:rsidRDefault="00E1507C" w:rsidP="00E32510">
            <w:pPr>
              <w:spacing w:before="0" w:line="240" w:lineRule="auto"/>
              <w:ind w:left="78"/>
              <w:jc w:val="left"/>
              <w:rPr>
                <w:rFonts w:asciiTheme="minorHAnsi" w:hAnsiTheme="minorHAnsi" w:cstheme="minorHAnsi"/>
                <w:sz w:val="16"/>
                <w:szCs w:val="18"/>
              </w:rPr>
            </w:pPr>
            <w:r w:rsidRPr="00AF3A24">
              <w:rPr>
                <w:rFonts w:asciiTheme="minorHAnsi" w:hAnsiTheme="minorHAnsi" w:cstheme="minorHAnsi"/>
                <w:sz w:val="16"/>
                <w:szCs w:val="18"/>
              </w:rPr>
              <w:t>By Geography</w:t>
            </w:r>
          </w:p>
        </w:tc>
        <w:tc>
          <w:tcPr>
            <w:tcW w:w="984" w:type="dxa"/>
            <w:tcBorders>
              <w:top w:val="single" w:sz="4" w:space="0" w:color="auto"/>
              <w:bottom w:val="nil"/>
            </w:tcBorders>
            <w:shd w:val="clear" w:color="auto" w:fill="DAEEF3" w:themeFill="accent5" w:themeFillTint="33"/>
            <w:vAlign w:val="center"/>
          </w:tcPr>
          <w:p w14:paraId="0B3C8948"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689" w:type="dxa"/>
            <w:tcBorders>
              <w:bottom w:val="nil"/>
              <w:right w:val="nil"/>
            </w:tcBorders>
            <w:shd w:val="clear" w:color="auto" w:fill="DAEEF3" w:themeFill="accent5" w:themeFillTint="33"/>
            <w:vAlign w:val="center"/>
          </w:tcPr>
          <w:p w14:paraId="2C6B4FAC"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p>
        </w:tc>
        <w:tc>
          <w:tcPr>
            <w:tcW w:w="1156" w:type="dxa"/>
            <w:tcBorders>
              <w:left w:val="nil"/>
              <w:bottom w:val="nil"/>
              <w:right w:val="single" w:sz="4" w:space="0" w:color="auto"/>
            </w:tcBorders>
            <w:shd w:val="clear" w:color="auto" w:fill="DAEEF3" w:themeFill="accent5" w:themeFillTint="33"/>
            <w:vAlign w:val="center"/>
          </w:tcPr>
          <w:p w14:paraId="2BDC3C06"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50.6</w:t>
            </w:r>
            <w:r w:rsidRPr="00AF3A24">
              <w:rPr>
                <w:rFonts w:asciiTheme="minorHAnsi" w:hAnsiTheme="minorHAnsi"/>
                <w:bCs/>
                <w:color w:val="000000"/>
                <w:sz w:val="16"/>
                <w:szCs w:val="16"/>
              </w:rPr>
              <w:br/>
              <w:t>(40.3 - 61.0)</w:t>
            </w:r>
          </w:p>
        </w:tc>
        <w:tc>
          <w:tcPr>
            <w:tcW w:w="688" w:type="dxa"/>
            <w:tcBorders>
              <w:left w:val="nil"/>
              <w:bottom w:val="nil"/>
              <w:right w:val="nil"/>
            </w:tcBorders>
            <w:shd w:val="clear" w:color="auto" w:fill="DAEEF3" w:themeFill="accent5" w:themeFillTint="33"/>
            <w:vAlign w:val="center"/>
          </w:tcPr>
          <w:p w14:paraId="3AF7710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352" w:type="dxa"/>
            <w:tcBorders>
              <w:left w:val="nil"/>
              <w:bottom w:val="nil"/>
              <w:right w:val="single" w:sz="4" w:space="0" w:color="auto"/>
            </w:tcBorders>
            <w:shd w:val="clear" w:color="auto" w:fill="DAEEF3" w:themeFill="accent5" w:themeFillTint="33"/>
            <w:vAlign w:val="center"/>
          </w:tcPr>
          <w:p w14:paraId="41B89C0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693" w:type="dxa"/>
            <w:tcBorders>
              <w:left w:val="nil"/>
              <w:bottom w:val="nil"/>
              <w:right w:val="nil"/>
            </w:tcBorders>
            <w:shd w:val="clear" w:color="auto" w:fill="DAEEF3" w:themeFill="accent5" w:themeFillTint="33"/>
            <w:vAlign w:val="center"/>
          </w:tcPr>
          <w:p w14:paraId="6247452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95" w:type="dxa"/>
            <w:tcBorders>
              <w:left w:val="nil"/>
              <w:bottom w:val="nil"/>
              <w:right w:val="single" w:sz="4" w:space="0" w:color="auto"/>
            </w:tcBorders>
            <w:shd w:val="clear" w:color="auto" w:fill="DAEEF3" w:themeFill="accent5" w:themeFillTint="33"/>
            <w:vAlign w:val="center"/>
          </w:tcPr>
          <w:p w14:paraId="633516B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821" w:type="dxa"/>
            <w:tcBorders>
              <w:left w:val="nil"/>
              <w:bottom w:val="nil"/>
              <w:right w:val="nil"/>
            </w:tcBorders>
            <w:shd w:val="clear" w:color="auto" w:fill="DAEEF3" w:themeFill="accent5" w:themeFillTint="33"/>
            <w:vAlign w:val="center"/>
          </w:tcPr>
          <w:p w14:paraId="06B4C4F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229" w:type="dxa"/>
            <w:tcBorders>
              <w:left w:val="nil"/>
              <w:bottom w:val="nil"/>
              <w:right w:val="single" w:sz="4" w:space="0" w:color="auto"/>
            </w:tcBorders>
            <w:shd w:val="clear" w:color="auto" w:fill="DAEEF3" w:themeFill="accent5" w:themeFillTint="33"/>
            <w:vAlign w:val="center"/>
          </w:tcPr>
          <w:p w14:paraId="5FF42B5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3A182B7F" w14:textId="77777777" w:rsidTr="00E32510">
        <w:tc>
          <w:tcPr>
            <w:tcW w:w="1417" w:type="dxa"/>
            <w:vMerge/>
            <w:tcBorders>
              <w:bottom w:val="single" w:sz="4" w:space="0" w:color="auto"/>
            </w:tcBorders>
            <w:shd w:val="clear" w:color="auto" w:fill="DAEEF3" w:themeFill="accent5" w:themeFillTint="33"/>
          </w:tcPr>
          <w:p w14:paraId="55E9087F" w14:textId="77777777" w:rsidR="003868A2" w:rsidRPr="00AF3A24" w:rsidRDefault="003868A2" w:rsidP="00E32510">
            <w:pPr>
              <w:spacing w:before="0" w:line="240" w:lineRule="auto"/>
              <w:ind w:left="78"/>
              <w:jc w:val="center"/>
              <w:rPr>
                <w:rFonts w:asciiTheme="minorHAnsi" w:hAnsiTheme="minorHAnsi" w:cstheme="minorHAnsi"/>
                <w:sz w:val="18"/>
                <w:szCs w:val="18"/>
              </w:rPr>
            </w:pPr>
          </w:p>
        </w:tc>
        <w:tc>
          <w:tcPr>
            <w:tcW w:w="984" w:type="dxa"/>
            <w:tcBorders>
              <w:top w:val="nil"/>
              <w:bottom w:val="single" w:sz="4" w:space="0" w:color="auto"/>
            </w:tcBorders>
            <w:shd w:val="clear" w:color="auto" w:fill="DAEEF3" w:themeFill="accent5" w:themeFillTint="33"/>
            <w:vAlign w:val="center"/>
          </w:tcPr>
          <w:p w14:paraId="67F7E459"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689" w:type="dxa"/>
            <w:tcBorders>
              <w:top w:val="nil"/>
              <w:bottom w:val="single" w:sz="4" w:space="0" w:color="auto"/>
              <w:right w:val="nil"/>
            </w:tcBorders>
            <w:shd w:val="clear" w:color="auto" w:fill="DAEEF3" w:themeFill="accent5" w:themeFillTint="33"/>
            <w:vAlign w:val="center"/>
          </w:tcPr>
          <w:p w14:paraId="2C001FF9"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934</w:t>
            </w:r>
          </w:p>
        </w:tc>
        <w:tc>
          <w:tcPr>
            <w:tcW w:w="1156" w:type="dxa"/>
            <w:tcBorders>
              <w:top w:val="nil"/>
              <w:left w:val="nil"/>
              <w:bottom w:val="single" w:sz="4" w:space="0" w:color="auto"/>
              <w:right w:val="single" w:sz="4" w:space="0" w:color="auto"/>
            </w:tcBorders>
            <w:shd w:val="clear" w:color="auto" w:fill="DAEEF3" w:themeFill="accent5" w:themeFillTint="33"/>
            <w:vAlign w:val="center"/>
          </w:tcPr>
          <w:p w14:paraId="1BD74DAE"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42.9</w:t>
            </w:r>
            <w:r w:rsidRPr="00AF3A24">
              <w:rPr>
                <w:rFonts w:asciiTheme="minorHAnsi" w:hAnsiTheme="minorHAnsi"/>
                <w:bCs/>
                <w:color w:val="000000"/>
                <w:sz w:val="16"/>
                <w:szCs w:val="16"/>
              </w:rPr>
              <w:br/>
              <w:t>(40.3 - 45.5)</w:t>
            </w:r>
          </w:p>
        </w:tc>
        <w:tc>
          <w:tcPr>
            <w:tcW w:w="688" w:type="dxa"/>
            <w:tcBorders>
              <w:top w:val="nil"/>
              <w:left w:val="nil"/>
              <w:bottom w:val="single" w:sz="4" w:space="0" w:color="auto"/>
              <w:right w:val="nil"/>
            </w:tcBorders>
            <w:shd w:val="clear" w:color="auto" w:fill="DAEEF3" w:themeFill="accent5" w:themeFillTint="33"/>
            <w:vAlign w:val="center"/>
          </w:tcPr>
          <w:p w14:paraId="2DCBC4DC"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365</w:t>
            </w:r>
          </w:p>
        </w:tc>
        <w:tc>
          <w:tcPr>
            <w:tcW w:w="1352" w:type="dxa"/>
            <w:tcBorders>
              <w:top w:val="nil"/>
              <w:left w:val="nil"/>
              <w:bottom w:val="single" w:sz="4" w:space="0" w:color="auto"/>
              <w:right w:val="single" w:sz="4" w:space="0" w:color="auto"/>
            </w:tcBorders>
            <w:shd w:val="clear" w:color="auto" w:fill="DAEEF3" w:themeFill="accent5" w:themeFillTint="33"/>
            <w:vAlign w:val="center"/>
          </w:tcPr>
          <w:p w14:paraId="7D4BEBAF"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18.8</w:t>
            </w:r>
            <w:r w:rsidRPr="00AF3A24">
              <w:rPr>
                <w:rFonts w:asciiTheme="minorHAnsi" w:hAnsiTheme="minorHAnsi"/>
                <w:bCs/>
                <w:color w:val="000000"/>
                <w:sz w:val="16"/>
                <w:szCs w:val="16"/>
              </w:rPr>
              <w:br/>
              <w:t>(16.5 - 21.0)</w:t>
            </w:r>
          </w:p>
        </w:tc>
        <w:tc>
          <w:tcPr>
            <w:tcW w:w="693" w:type="dxa"/>
            <w:tcBorders>
              <w:top w:val="nil"/>
              <w:left w:val="nil"/>
              <w:bottom w:val="single" w:sz="4" w:space="0" w:color="auto"/>
              <w:right w:val="nil"/>
            </w:tcBorders>
            <w:shd w:val="clear" w:color="auto" w:fill="DAEEF3" w:themeFill="accent5" w:themeFillTint="33"/>
            <w:vAlign w:val="center"/>
          </w:tcPr>
          <w:p w14:paraId="649D8884"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233</w:t>
            </w:r>
          </w:p>
        </w:tc>
        <w:tc>
          <w:tcPr>
            <w:tcW w:w="1495" w:type="dxa"/>
            <w:tcBorders>
              <w:top w:val="nil"/>
              <w:left w:val="nil"/>
              <w:bottom w:val="single" w:sz="4" w:space="0" w:color="auto"/>
              <w:right w:val="single" w:sz="4" w:space="0" w:color="auto"/>
            </w:tcBorders>
            <w:shd w:val="clear" w:color="auto" w:fill="DAEEF3" w:themeFill="accent5" w:themeFillTint="33"/>
            <w:vAlign w:val="center"/>
          </w:tcPr>
          <w:p w14:paraId="0A8B182F"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11.0</w:t>
            </w:r>
            <w:r w:rsidRPr="00AF3A24">
              <w:rPr>
                <w:rFonts w:asciiTheme="minorHAnsi" w:hAnsiTheme="minorHAnsi"/>
                <w:bCs/>
                <w:color w:val="000000"/>
                <w:sz w:val="16"/>
                <w:szCs w:val="16"/>
              </w:rPr>
              <w:br/>
              <w:t>(9.4 - 12.5)</w:t>
            </w:r>
          </w:p>
        </w:tc>
        <w:tc>
          <w:tcPr>
            <w:tcW w:w="821" w:type="dxa"/>
            <w:tcBorders>
              <w:top w:val="nil"/>
              <w:left w:val="nil"/>
              <w:bottom w:val="single" w:sz="4" w:space="0" w:color="auto"/>
              <w:right w:val="nil"/>
            </w:tcBorders>
            <w:shd w:val="clear" w:color="auto" w:fill="DAEEF3" w:themeFill="accent5" w:themeFillTint="33"/>
            <w:vAlign w:val="center"/>
          </w:tcPr>
          <w:p w14:paraId="152B6997"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72</w:t>
            </w:r>
          </w:p>
        </w:tc>
        <w:tc>
          <w:tcPr>
            <w:tcW w:w="1229" w:type="dxa"/>
            <w:tcBorders>
              <w:top w:val="nil"/>
              <w:left w:val="nil"/>
              <w:bottom w:val="single" w:sz="4" w:space="0" w:color="auto"/>
              <w:right w:val="single" w:sz="4" w:space="0" w:color="auto"/>
            </w:tcBorders>
            <w:shd w:val="clear" w:color="auto" w:fill="DAEEF3" w:themeFill="accent5" w:themeFillTint="33"/>
            <w:vAlign w:val="center"/>
          </w:tcPr>
          <w:p w14:paraId="3D7E8745"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r w:rsidRPr="00AF3A24">
              <w:rPr>
                <w:rFonts w:asciiTheme="minorHAnsi" w:hAnsiTheme="minorHAnsi"/>
                <w:bCs/>
                <w:color w:val="000000"/>
                <w:sz w:val="16"/>
                <w:szCs w:val="16"/>
              </w:rPr>
              <w:br/>
              <w:t>(3.3 - 5.8)</w:t>
            </w:r>
          </w:p>
        </w:tc>
      </w:tr>
    </w:tbl>
    <w:p w14:paraId="4C498146" w14:textId="77777777" w:rsidR="003868A2" w:rsidRPr="00AF3A24" w:rsidRDefault="003868A2" w:rsidP="003868A2">
      <w:pPr>
        <w:spacing w:before="0" w:line="240" w:lineRule="auto"/>
        <w:ind w:left="284"/>
        <w:rPr>
          <w:rFonts w:asciiTheme="minorHAnsi" w:hAnsiTheme="minorHAnsi" w:cstheme="minorHAnsi"/>
          <w:sz w:val="16"/>
        </w:rPr>
      </w:pPr>
      <w:r w:rsidRPr="00AF3A24">
        <w:rPr>
          <w:rFonts w:asciiTheme="minorHAnsi" w:hAnsiTheme="minorHAnsi" w:cstheme="minorHAnsi"/>
          <w:sz w:val="16"/>
        </w:rPr>
        <w:t>Notes:</w:t>
      </w:r>
    </w:p>
    <w:p w14:paraId="3AF147FA" w14:textId="77777777" w:rsidR="003868A2" w:rsidRPr="00AF3A24" w:rsidRDefault="003868A2" w:rsidP="00D75319">
      <w:pPr>
        <w:pStyle w:val="ListParagraph"/>
        <w:numPr>
          <w:ilvl w:val="0"/>
          <w:numId w:val="16"/>
        </w:numPr>
        <w:spacing w:line="240" w:lineRule="auto"/>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55630AB9" w14:textId="77777777" w:rsidR="003868A2" w:rsidRPr="00AF3A24" w:rsidRDefault="003868A2" w:rsidP="00D75319">
      <w:pPr>
        <w:pStyle w:val="ListParagraph"/>
        <w:numPr>
          <w:ilvl w:val="0"/>
          <w:numId w:val="16"/>
        </w:numPr>
        <w:spacing w:line="240" w:lineRule="auto"/>
        <w:rPr>
          <w:rFonts w:asciiTheme="minorHAnsi" w:hAnsiTheme="minorHAnsi" w:cstheme="minorHAnsi"/>
          <w:sz w:val="16"/>
        </w:rPr>
      </w:pPr>
      <w:r w:rsidRPr="00AF3A24">
        <w:rPr>
          <w:rFonts w:asciiTheme="minorHAnsi" w:hAnsiTheme="minorHAnsi" w:cstheme="minorHAnsi"/>
          <w:sz w:val="16"/>
        </w:rPr>
        <w:t>Due to small cell sizes / denominators (n&lt;30), some activities have been combined with others to enable their inclusion in the analyses.</w:t>
      </w:r>
    </w:p>
    <w:p w14:paraId="539F514B" w14:textId="77777777" w:rsidR="003868A2" w:rsidRPr="00AF3A24" w:rsidRDefault="003868A2" w:rsidP="00D75319">
      <w:pPr>
        <w:pStyle w:val="ListParagraph"/>
        <w:numPr>
          <w:ilvl w:val="0"/>
          <w:numId w:val="16"/>
        </w:numPr>
        <w:spacing w:line="240" w:lineRule="auto"/>
        <w:rPr>
          <w:rFonts w:asciiTheme="minorHAnsi" w:hAnsiTheme="minorHAnsi" w:cstheme="minorHAnsi"/>
          <w:sz w:val="16"/>
        </w:rPr>
      </w:pPr>
      <w:r w:rsidRPr="00AF3A24">
        <w:rPr>
          <w:rFonts w:asciiTheme="minorHAnsi" w:hAnsiTheme="minorHAnsi" w:cstheme="minorHAnsi"/>
          <w:sz w:val="16"/>
        </w:rPr>
        <w:t xml:space="preserve">Lotto includes ‘Strike’, ‘Powerball’, ‘Big Wednesday’ and ‘Keno’. </w:t>
      </w:r>
    </w:p>
    <w:p w14:paraId="21FE8E47" w14:textId="39B1C2F3" w:rsidR="003868A2" w:rsidRPr="0011049C" w:rsidRDefault="003868A2" w:rsidP="00D75319">
      <w:pPr>
        <w:pStyle w:val="ListParagraph"/>
        <w:numPr>
          <w:ilvl w:val="0"/>
          <w:numId w:val="16"/>
        </w:numPr>
        <w:spacing w:line="240" w:lineRule="auto"/>
        <w:rPr>
          <w:rFonts w:asciiTheme="minorHAnsi" w:hAnsiTheme="minorHAnsi" w:cstheme="minorHAnsi"/>
          <w:sz w:val="16"/>
          <w:szCs w:val="16"/>
        </w:rPr>
      </w:pPr>
      <w:r w:rsidRPr="0011049C">
        <w:rPr>
          <w:rFonts w:asciiTheme="minorHAnsi" w:hAnsiTheme="minorHAnsi" w:cstheme="minorHAnsi"/>
          <w:sz w:val="16"/>
          <w:szCs w:val="16"/>
        </w:rPr>
        <w:t xml:space="preserve">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w:t>
      </w:r>
      <w:r w:rsidRPr="006A59F8">
        <w:rPr>
          <w:rFonts w:asciiTheme="minorHAnsi" w:hAnsiTheme="minorHAnsi" w:cstheme="minorHAnsi"/>
          <w:sz w:val="16"/>
          <w:szCs w:val="16"/>
        </w:rPr>
        <w:t>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sidRPr="0011049C">
        <w:rPr>
          <w:rFonts w:asciiTheme="minorHAnsi" w:hAnsiTheme="minorHAnsi" w:cstheme="minorHAnsi"/>
          <w:sz w:val="16"/>
          <w:szCs w:val="16"/>
        </w:rPr>
        <w:t>.</w:t>
      </w:r>
    </w:p>
    <w:p w14:paraId="3DA50014" w14:textId="77777777" w:rsidR="003868A2" w:rsidRDefault="003868A2" w:rsidP="003868A2">
      <w:pPr>
        <w:spacing w:before="0" w:after="200" w:line="276" w:lineRule="auto"/>
        <w:jc w:val="left"/>
        <w:rPr>
          <w:rFonts w:asciiTheme="minorHAnsi" w:hAnsiTheme="minorHAnsi" w:cstheme="minorHAnsi"/>
          <w:highlight w:val="yellow"/>
        </w:rPr>
      </w:pPr>
    </w:p>
    <w:p w14:paraId="7E00C146" w14:textId="77777777" w:rsidR="00942B22" w:rsidRPr="00AF3A24" w:rsidRDefault="00942B22" w:rsidP="003868A2">
      <w:pPr>
        <w:spacing w:before="0" w:after="200" w:line="276" w:lineRule="auto"/>
        <w:jc w:val="left"/>
        <w:rPr>
          <w:rFonts w:asciiTheme="minorHAnsi" w:hAnsiTheme="minorHAnsi" w:cstheme="minorHAnsi"/>
          <w:highlight w:val="yellow"/>
        </w:rPr>
      </w:pPr>
    </w:p>
    <w:tbl>
      <w:tblPr>
        <w:tblStyle w:val="TableGrid"/>
        <w:tblW w:w="8505" w:type="dxa"/>
        <w:tblInd w:w="-459" w:type="dxa"/>
        <w:tblLayout w:type="fixed"/>
        <w:tblLook w:val="04A0" w:firstRow="1" w:lastRow="0" w:firstColumn="1" w:lastColumn="0" w:noHBand="0" w:noVBand="1"/>
      </w:tblPr>
      <w:tblGrid>
        <w:gridCol w:w="1418"/>
        <w:gridCol w:w="984"/>
        <w:gridCol w:w="717"/>
        <w:gridCol w:w="1134"/>
        <w:gridCol w:w="709"/>
        <w:gridCol w:w="1417"/>
        <w:gridCol w:w="709"/>
        <w:gridCol w:w="1417"/>
      </w:tblGrid>
      <w:tr w:rsidR="003868A2" w:rsidRPr="00AF3A24" w14:paraId="1243F0BA" w14:textId="77777777" w:rsidTr="00E32510">
        <w:trPr>
          <w:trHeight w:val="386"/>
        </w:trPr>
        <w:tc>
          <w:tcPr>
            <w:tcW w:w="2402" w:type="dxa"/>
            <w:gridSpan w:val="2"/>
            <w:vMerge w:val="restart"/>
            <w:shd w:val="clear" w:color="auto" w:fill="92CDDC" w:themeFill="accent5" w:themeFillTint="99"/>
            <w:vAlign w:val="center"/>
          </w:tcPr>
          <w:p w14:paraId="7E039B9A" w14:textId="77777777" w:rsidR="003868A2" w:rsidRPr="00AF3A24" w:rsidRDefault="003868A2" w:rsidP="00E32510">
            <w:pPr>
              <w:spacing w:before="0" w:line="240" w:lineRule="auto"/>
              <w:jc w:val="center"/>
              <w:rPr>
                <w:rFonts w:asciiTheme="minorHAnsi" w:hAnsiTheme="minorHAnsi" w:cstheme="minorHAnsi"/>
                <w:b/>
                <w:sz w:val="18"/>
                <w:szCs w:val="18"/>
              </w:rPr>
            </w:pPr>
          </w:p>
        </w:tc>
        <w:tc>
          <w:tcPr>
            <w:tcW w:w="6103" w:type="dxa"/>
            <w:gridSpan w:val="6"/>
            <w:tcBorders>
              <w:bottom w:val="single" w:sz="4" w:space="0" w:color="auto"/>
            </w:tcBorders>
            <w:shd w:val="clear" w:color="auto" w:fill="92CDDC" w:themeFill="accent5" w:themeFillTint="99"/>
            <w:vAlign w:val="center"/>
          </w:tcPr>
          <w:p w14:paraId="6B7568D7" w14:textId="77777777" w:rsidR="003868A2" w:rsidRPr="00AF3A24" w:rsidRDefault="003868A2" w:rsidP="00E32510">
            <w:pPr>
              <w:spacing w:before="0" w:line="276" w:lineRule="auto"/>
              <w:jc w:val="center"/>
              <w:rPr>
                <w:rFonts w:asciiTheme="minorHAnsi" w:hAnsiTheme="minorHAnsi" w:cstheme="minorHAnsi"/>
                <w:b/>
                <w:sz w:val="18"/>
                <w:szCs w:val="18"/>
              </w:rPr>
            </w:pPr>
            <w:r w:rsidRPr="00AF3A24">
              <w:rPr>
                <w:rFonts w:asciiTheme="minorHAnsi" w:hAnsiTheme="minorHAnsi" w:cstheme="minorHAnsi"/>
                <w:b/>
                <w:sz w:val="18"/>
                <w:szCs w:val="18"/>
              </w:rPr>
              <w:t>PREFERRED GAMBLING ACTIVITY (CONTINUED)</w:t>
            </w:r>
          </w:p>
        </w:tc>
      </w:tr>
      <w:tr w:rsidR="003868A2" w:rsidRPr="00AF3A24" w14:paraId="2EC6BCF9" w14:textId="77777777" w:rsidTr="00E32510">
        <w:trPr>
          <w:trHeight w:val="386"/>
        </w:trPr>
        <w:tc>
          <w:tcPr>
            <w:tcW w:w="2402" w:type="dxa"/>
            <w:gridSpan w:val="2"/>
            <w:vMerge/>
            <w:shd w:val="clear" w:color="auto" w:fill="92CDDC" w:themeFill="accent5" w:themeFillTint="99"/>
          </w:tcPr>
          <w:p w14:paraId="5376C358" w14:textId="77777777" w:rsidR="003868A2" w:rsidRPr="00AF3A24" w:rsidRDefault="003868A2" w:rsidP="00E32510">
            <w:pPr>
              <w:spacing w:before="0" w:line="240" w:lineRule="auto"/>
              <w:jc w:val="center"/>
              <w:rPr>
                <w:rFonts w:asciiTheme="minorHAnsi" w:hAnsiTheme="minorHAnsi" w:cstheme="minorHAnsi"/>
                <w:b/>
                <w:sz w:val="18"/>
                <w:szCs w:val="18"/>
              </w:rPr>
            </w:pPr>
          </w:p>
        </w:tc>
        <w:tc>
          <w:tcPr>
            <w:tcW w:w="1851" w:type="dxa"/>
            <w:gridSpan w:val="2"/>
            <w:tcBorders>
              <w:bottom w:val="single" w:sz="4" w:space="0" w:color="auto"/>
            </w:tcBorders>
            <w:shd w:val="clear" w:color="auto" w:fill="92CDDC" w:themeFill="accent5" w:themeFillTint="99"/>
            <w:vAlign w:val="center"/>
          </w:tcPr>
          <w:p w14:paraId="0E30F484"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Casino tables or machines</w:t>
            </w:r>
          </w:p>
        </w:tc>
        <w:tc>
          <w:tcPr>
            <w:tcW w:w="2126" w:type="dxa"/>
            <w:gridSpan w:val="2"/>
            <w:tcBorders>
              <w:bottom w:val="single" w:sz="4" w:space="0" w:color="auto"/>
            </w:tcBorders>
            <w:shd w:val="clear" w:color="auto" w:fill="92CDDC" w:themeFill="accent5" w:themeFillTint="99"/>
            <w:vAlign w:val="center"/>
          </w:tcPr>
          <w:p w14:paraId="072134DD"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Non-casino gaming machines</w:t>
            </w:r>
          </w:p>
        </w:tc>
        <w:tc>
          <w:tcPr>
            <w:tcW w:w="2126" w:type="dxa"/>
            <w:gridSpan w:val="2"/>
            <w:tcBorders>
              <w:bottom w:val="single" w:sz="4" w:space="0" w:color="auto"/>
            </w:tcBorders>
            <w:shd w:val="clear" w:color="auto" w:fill="92CDDC" w:themeFill="accent5" w:themeFillTint="99"/>
            <w:vAlign w:val="center"/>
          </w:tcPr>
          <w:p w14:paraId="1FF5ABA6" w14:textId="77777777" w:rsidR="003868A2" w:rsidRPr="00AF3A24" w:rsidRDefault="003868A2" w:rsidP="00E32510">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Other form of gambling (including Internet-based gambling &amp; Housie)</w:t>
            </w:r>
          </w:p>
        </w:tc>
      </w:tr>
      <w:tr w:rsidR="003868A2" w:rsidRPr="00AF3A24" w14:paraId="6624F58F" w14:textId="77777777" w:rsidTr="00E32510">
        <w:trPr>
          <w:trHeight w:val="386"/>
        </w:trPr>
        <w:tc>
          <w:tcPr>
            <w:tcW w:w="2402" w:type="dxa"/>
            <w:gridSpan w:val="2"/>
            <w:vMerge/>
            <w:tcBorders>
              <w:bottom w:val="single" w:sz="4" w:space="0" w:color="auto"/>
            </w:tcBorders>
            <w:shd w:val="clear" w:color="auto" w:fill="92CDDC" w:themeFill="accent5" w:themeFillTint="99"/>
          </w:tcPr>
          <w:p w14:paraId="194C62BE" w14:textId="77777777" w:rsidR="003868A2" w:rsidRPr="00AF3A24" w:rsidRDefault="003868A2" w:rsidP="00E32510">
            <w:pPr>
              <w:spacing w:before="0" w:line="240" w:lineRule="auto"/>
              <w:jc w:val="center"/>
              <w:rPr>
                <w:rFonts w:asciiTheme="minorHAnsi" w:hAnsiTheme="minorHAnsi" w:cstheme="minorHAnsi"/>
                <w:sz w:val="18"/>
                <w:szCs w:val="18"/>
              </w:rPr>
            </w:pPr>
          </w:p>
        </w:tc>
        <w:tc>
          <w:tcPr>
            <w:tcW w:w="717" w:type="dxa"/>
            <w:tcBorders>
              <w:bottom w:val="single" w:sz="4" w:space="0" w:color="auto"/>
            </w:tcBorders>
            <w:shd w:val="clear" w:color="auto" w:fill="92CDDC" w:themeFill="accent5" w:themeFillTint="99"/>
            <w:vAlign w:val="center"/>
          </w:tcPr>
          <w:p w14:paraId="2274D50A"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134" w:type="dxa"/>
            <w:tcBorders>
              <w:bottom w:val="single" w:sz="4" w:space="0" w:color="auto"/>
            </w:tcBorders>
            <w:shd w:val="clear" w:color="auto" w:fill="92CDDC" w:themeFill="accent5" w:themeFillTint="99"/>
            <w:vAlign w:val="center"/>
          </w:tcPr>
          <w:p w14:paraId="771D9514"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44ED262A"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58DDE383"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536DF2A7"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3C02D73F"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c>
          <w:tcPr>
            <w:tcW w:w="709" w:type="dxa"/>
            <w:tcBorders>
              <w:bottom w:val="single" w:sz="4" w:space="0" w:color="auto"/>
            </w:tcBorders>
            <w:shd w:val="clear" w:color="auto" w:fill="92CDDC" w:themeFill="accent5" w:themeFillTint="99"/>
            <w:vAlign w:val="center"/>
          </w:tcPr>
          <w:p w14:paraId="540858E9"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n</w:t>
            </w:r>
          </w:p>
        </w:tc>
        <w:tc>
          <w:tcPr>
            <w:tcW w:w="1417" w:type="dxa"/>
            <w:tcBorders>
              <w:bottom w:val="single" w:sz="4" w:space="0" w:color="auto"/>
            </w:tcBorders>
            <w:shd w:val="clear" w:color="auto" w:fill="92CDDC" w:themeFill="accent5" w:themeFillTint="99"/>
            <w:vAlign w:val="center"/>
          </w:tcPr>
          <w:p w14:paraId="5F47D85B"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w:t>
            </w:r>
          </w:p>
          <w:p w14:paraId="6244029C" w14:textId="77777777" w:rsidR="003868A2" w:rsidRPr="001837AA" w:rsidRDefault="003868A2" w:rsidP="00E32510">
            <w:pPr>
              <w:spacing w:before="0" w:line="240" w:lineRule="auto"/>
              <w:jc w:val="center"/>
              <w:rPr>
                <w:rFonts w:asciiTheme="minorHAnsi" w:hAnsiTheme="minorHAnsi" w:cstheme="minorHAnsi"/>
                <w:b/>
                <w:sz w:val="18"/>
                <w:szCs w:val="18"/>
              </w:rPr>
            </w:pPr>
            <w:r w:rsidRPr="001837AA">
              <w:rPr>
                <w:rFonts w:asciiTheme="minorHAnsi" w:hAnsiTheme="minorHAnsi" w:cstheme="minorHAnsi"/>
                <w:b/>
                <w:sz w:val="18"/>
                <w:szCs w:val="18"/>
              </w:rPr>
              <w:t>(95% CI)</w:t>
            </w:r>
          </w:p>
        </w:tc>
      </w:tr>
      <w:tr w:rsidR="003868A2" w:rsidRPr="00AF3A24" w14:paraId="0D3983DB" w14:textId="77777777" w:rsidTr="00E32510">
        <w:tc>
          <w:tcPr>
            <w:tcW w:w="2402" w:type="dxa"/>
            <w:gridSpan w:val="2"/>
            <w:tcBorders>
              <w:top w:val="nil"/>
              <w:left w:val="single" w:sz="8" w:space="0" w:color="auto"/>
              <w:bottom w:val="nil"/>
              <w:right w:val="single" w:sz="8" w:space="0" w:color="auto"/>
            </w:tcBorders>
            <w:shd w:val="clear" w:color="auto" w:fill="DAEEF3" w:themeFill="accent5" w:themeFillTint="33"/>
            <w:vAlign w:val="center"/>
          </w:tcPr>
          <w:p w14:paraId="32ED5574" w14:textId="77777777" w:rsidR="003868A2" w:rsidRPr="00AF3A24" w:rsidRDefault="003868A2" w:rsidP="00E32510">
            <w:pPr>
              <w:spacing w:before="0" w:line="240" w:lineRule="auto"/>
              <w:jc w:val="left"/>
              <w:rPr>
                <w:rFonts w:asciiTheme="minorHAnsi" w:hAnsiTheme="minorHAnsi" w:cstheme="minorHAnsi"/>
                <w:sz w:val="16"/>
                <w:szCs w:val="16"/>
              </w:rPr>
            </w:pPr>
            <w:r w:rsidRPr="00AF3A24">
              <w:rPr>
                <w:rFonts w:asciiTheme="minorHAnsi" w:hAnsiTheme="minorHAnsi" w:cstheme="minorHAnsi"/>
                <w:b/>
                <w:sz w:val="16"/>
                <w:szCs w:val="16"/>
              </w:rPr>
              <w:t>Total</w:t>
            </w:r>
          </w:p>
        </w:tc>
        <w:tc>
          <w:tcPr>
            <w:tcW w:w="717" w:type="dxa"/>
            <w:tcBorders>
              <w:top w:val="nil"/>
              <w:left w:val="single" w:sz="8" w:space="0" w:color="auto"/>
              <w:bottom w:val="nil"/>
              <w:right w:val="nil"/>
            </w:tcBorders>
            <w:shd w:val="clear" w:color="auto" w:fill="DAEEF3" w:themeFill="accent5" w:themeFillTint="33"/>
            <w:vAlign w:val="center"/>
          </w:tcPr>
          <w:p w14:paraId="55F4093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174</w:t>
            </w:r>
          </w:p>
        </w:tc>
        <w:tc>
          <w:tcPr>
            <w:tcW w:w="1134" w:type="dxa"/>
            <w:tcBorders>
              <w:top w:val="nil"/>
              <w:left w:val="nil"/>
              <w:bottom w:val="nil"/>
              <w:right w:val="single" w:sz="4" w:space="0" w:color="auto"/>
            </w:tcBorders>
            <w:shd w:val="clear" w:color="auto" w:fill="DAEEF3" w:themeFill="accent5" w:themeFillTint="33"/>
            <w:vAlign w:val="center"/>
          </w:tcPr>
          <w:p w14:paraId="0E11BD00"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9.3</w:t>
            </w:r>
            <w:r w:rsidRPr="00AF3A24">
              <w:rPr>
                <w:rFonts w:asciiTheme="minorHAnsi" w:hAnsiTheme="minorHAnsi" w:cstheme="minorHAnsi"/>
                <w:sz w:val="16"/>
                <w:szCs w:val="16"/>
              </w:rPr>
              <w:br/>
              <w:t>(7.8 - 10.9)</w:t>
            </w:r>
          </w:p>
        </w:tc>
        <w:tc>
          <w:tcPr>
            <w:tcW w:w="709" w:type="dxa"/>
            <w:tcBorders>
              <w:top w:val="single" w:sz="4" w:space="0" w:color="auto"/>
              <w:left w:val="nil"/>
              <w:bottom w:val="single" w:sz="4" w:space="0" w:color="auto"/>
              <w:right w:val="nil"/>
            </w:tcBorders>
            <w:shd w:val="clear" w:color="auto" w:fill="DAEEF3" w:themeFill="accent5" w:themeFillTint="33"/>
            <w:vAlign w:val="center"/>
          </w:tcPr>
          <w:p w14:paraId="598C69D0"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201</w:t>
            </w:r>
          </w:p>
        </w:tc>
        <w:tc>
          <w:tcPr>
            <w:tcW w:w="1417" w:type="dxa"/>
            <w:tcBorders>
              <w:top w:val="nil"/>
              <w:left w:val="nil"/>
              <w:bottom w:val="nil"/>
              <w:right w:val="single" w:sz="4" w:space="0" w:color="auto"/>
            </w:tcBorders>
            <w:shd w:val="clear" w:color="auto" w:fill="DAEEF3" w:themeFill="accent5" w:themeFillTint="33"/>
            <w:vAlign w:val="center"/>
          </w:tcPr>
          <w:p w14:paraId="7AC42EF8"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8.5</w:t>
            </w:r>
            <w:r w:rsidRPr="00AF3A24">
              <w:rPr>
                <w:rFonts w:asciiTheme="minorHAnsi" w:hAnsiTheme="minorHAnsi" w:cstheme="minorHAnsi"/>
                <w:sz w:val="16"/>
                <w:szCs w:val="16"/>
              </w:rPr>
              <w:br/>
              <w:t>(7.0 - 10.0)</w:t>
            </w:r>
          </w:p>
        </w:tc>
        <w:tc>
          <w:tcPr>
            <w:tcW w:w="709" w:type="dxa"/>
            <w:tcBorders>
              <w:top w:val="single" w:sz="4" w:space="0" w:color="auto"/>
              <w:left w:val="nil"/>
              <w:bottom w:val="single" w:sz="4" w:space="0" w:color="auto"/>
              <w:right w:val="nil"/>
            </w:tcBorders>
            <w:shd w:val="clear" w:color="auto" w:fill="DAEEF3" w:themeFill="accent5" w:themeFillTint="33"/>
            <w:vAlign w:val="center"/>
          </w:tcPr>
          <w:p w14:paraId="534ADB3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97</w:t>
            </w:r>
          </w:p>
        </w:tc>
        <w:tc>
          <w:tcPr>
            <w:tcW w:w="1417" w:type="dxa"/>
            <w:tcBorders>
              <w:top w:val="nil"/>
              <w:left w:val="nil"/>
              <w:bottom w:val="nil"/>
              <w:right w:val="single" w:sz="4" w:space="0" w:color="auto"/>
            </w:tcBorders>
            <w:shd w:val="clear" w:color="auto" w:fill="DAEEF3" w:themeFill="accent5" w:themeFillTint="33"/>
            <w:vAlign w:val="center"/>
          </w:tcPr>
          <w:p w14:paraId="79C81E26"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4.1</w:t>
            </w:r>
            <w:r w:rsidRPr="00AF3A24">
              <w:rPr>
                <w:rFonts w:asciiTheme="minorHAnsi" w:hAnsiTheme="minorHAnsi" w:cstheme="minorHAnsi"/>
                <w:sz w:val="16"/>
                <w:szCs w:val="16"/>
              </w:rPr>
              <w:br/>
              <w:t>(3.1 - 5.2)</w:t>
            </w:r>
          </w:p>
        </w:tc>
      </w:tr>
      <w:tr w:rsidR="003868A2" w:rsidRPr="00AF3A24" w14:paraId="4A022DAC" w14:textId="77777777" w:rsidTr="00E1507C">
        <w:trPr>
          <w:trHeight w:val="437"/>
        </w:trPr>
        <w:tc>
          <w:tcPr>
            <w:tcW w:w="1418" w:type="dxa"/>
            <w:vMerge w:val="restart"/>
            <w:tcBorders>
              <w:left w:val="single" w:sz="8" w:space="0" w:color="auto"/>
              <w:right w:val="single" w:sz="8" w:space="0" w:color="auto"/>
            </w:tcBorders>
            <w:shd w:val="clear" w:color="auto" w:fill="DAEEF3" w:themeFill="accent5" w:themeFillTint="33"/>
            <w:vAlign w:val="center"/>
          </w:tcPr>
          <w:p w14:paraId="72841956" w14:textId="77777777" w:rsidR="003868A2" w:rsidRPr="00AF3A24" w:rsidRDefault="003868A2" w:rsidP="00E32510">
            <w:pPr>
              <w:spacing w:before="0" w:line="240" w:lineRule="auto"/>
              <w:jc w:val="left"/>
              <w:rPr>
                <w:rFonts w:asciiTheme="minorHAnsi" w:hAnsiTheme="minorHAnsi"/>
                <w:bCs/>
                <w:color w:val="000000"/>
                <w:sz w:val="16"/>
                <w:szCs w:val="16"/>
              </w:rPr>
            </w:pPr>
            <w:r w:rsidRPr="00AF3A24">
              <w:rPr>
                <w:rFonts w:asciiTheme="minorHAnsi" w:hAnsiTheme="minorHAnsi" w:cstheme="minorHAnsi"/>
                <w:sz w:val="16"/>
                <w:szCs w:val="18"/>
              </w:rPr>
              <w:t xml:space="preserve">By </w:t>
            </w:r>
            <w:r w:rsidRPr="00AF3A24">
              <w:rPr>
                <w:rFonts w:asciiTheme="minorHAnsi" w:hAnsiTheme="minorHAnsi" w:cstheme="minorHAnsi"/>
                <w:sz w:val="16"/>
                <w:szCs w:val="16"/>
              </w:rPr>
              <w:t>Gender</w:t>
            </w:r>
          </w:p>
        </w:tc>
        <w:tc>
          <w:tcPr>
            <w:tcW w:w="984" w:type="dxa"/>
            <w:tcBorders>
              <w:left w:val="single" w:sz="8" w:space="0" w:color="auto"/>
              <w:bottom w:val="nil"/>
              <w:right w:val="single" w:sz="8" w:space="0" w:color="auto"/>
            </w:tcBorders>
            <w:shd w:val="clear" w:color="auto" w:fill="DAEEF3" w:themeFill="accent5" w:themeFillTint="33"/>
            <w:vAlign w:val="center"/>
          </w:tcPr>
          <w:p w14:paraId="50CCDB99"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17" w:type="dxa"/>
            <w:tcBorders>
              <w:left w:val="single" w:sz="8" w:space="0" w:color="auto"/>
              <w:bottom w:val="nil"/>
              <w:right w:val="nil"/>
            </w:tcBorders>
            <w:shd w:val="clear" w:color="auto" w:fill="DAEEF3" w:themeFill="accent5" w:themeFillTint="33"/>
            <w:vAlign w:val="center"/>
          </w:tcPr>
          <w:p w14:paraId="5E115106"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99</w:t>
            </w:r>
          </w:p>
        </w:tc>
        <w:tc>
          <w:tcPr>
            <w:tcW w:w="1134" w:type="dxa"/>
            <w:tcBorders>
              <w:left w:val="nil"/>
              <w:bottom w:val="nil"/>
              <w:right w:val="single" w:sz="4" w:space="0" w:color="auto"/>
            </w:tcBorders>
            <w:shd w:val="clear" w:color="auto" w:fill="DAEEF3" w:themeFill="accent5" w:themeFillTint="33"/>
            <w:vAlign w:val="center"/>
          </w:tcPr>
          <w:p w14:paraId="595E4837"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8.9</w:t>
            </w:r>
            <w:r w:rsidRPr="00AF3A24">
              <w:rPr>
                <w:rFonts w:asciiTheme="minorHAnsi" w:hAnsiTheme="minorHAnsi"/>
                <w:bCs/>
                <w:color w:val="000000"/>
                <w:sz w:val="16"/>
                <w:szCs w:val="16"/>
              </w:rPr>
              <w:br/>
              <w:t>(6.8 - 10.9)</w:t>
            </w:r>
          </w:p>
        </w:tc>
        <w:tc>
          <w:tcPr>
            <w:tcW w:w="709" w:type="dxa"/>
            <w:tcBorders>
              <w:left w:val="nil"/>
              <w:bottom w:val="nil"/>
              <w:right w:val="nil"/>
            </w:tcBorders>
            <w:shd w:val="clear" w:color="auto" w:fill="DAEEF3" w:themeFill="accent5" w:themeFillTint="33"/>
            <w:vAlign w:val="center"/>
          </w:tcPr>
          <w:p w14:paraId="11055B8C"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132</w:t>
            </w:r>
          </w:p>
        </w:tc>
        <w:tc>
          <w:tcPr>
            <w:tcW w:w="1417" w:type="dxa"/>
            <w:tcBorders>
              <w:left w:val="nil"/>
              <w:bottom w:val="nil"/>
              <w:right w:val="single" w:sz="4" w:space="0" w:color="auto"/>
            </w:tcBorders>
            <w:shd w:val="clear" w:color="auto" w:fill="DAEEF3" w:themeFill="accent5" w:themeFillTint="33"/>
            <w:vAlign w:val="center"/>
          </w:tcPr>
          <w:p w14:paraId="1595BD1D"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w:t>
            </w:r>
            <w:r w:rsidRPr="00AF3A24">
              <w:rPr>
                <w:rFonts w:asciiTheme="minorHAnsi" w:hAnsiTheme="minorHAnsi"/>
                <w:bCs/>
                <w:color w:val="000000"/>
                <w:sz w:val="16"/>
                <w:szCs w:val="16"/>
              </w:rPr>
              <w:br/>
              <w:t>(7.8 - 12.2)</w:t>
            </w:r>
          </w:p>
        </w:tc>
        <w:tc>
          <w:tcPr>
            <w:tcW w:w="709" w:type="dxa"/>
            <w:tcBorders>
              <w:left w:val="nil"/>
              <w:bottom w:val="nil"/>
              <w:right w:val="nil"/>
            </w:tcBorders>
            <w:shd w:val="clear" w:color="auto" w:fill="DAEEF3" w:themeFill="accent5" w:themeFillTint="33"/>
            <w:vAlign w:val="center"/>
          </w:tcPr>
          <w:p w14:paraId="2C84BE4E"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w:t>
            </w:r>
          </w:p>
        </w:tc>
        <w:tc>
          <w:tcPr>
            <w:tcW w:w="1417" w:type="dxa"/>
            <w:tcBorders>
              <w:left w:val="nil"/>
              <w:bottom w:val="nil"/>
              <w:right w:val="single" w:sz="4" w:space="0" w:color="auto"/>
            </w:tcBorders>
            <w:shd w:val="clear" w:color="auto" w:fill="DAEEF3" w:themeFill="accent5" w:themeFillTint="33"/>
            <w:vAlign w:val="center"/>
          </w:tcPr>
          <w:p w14:paraId="7B8575B9"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w:t>
            </w:r>
            <w:r w:rsidRPr="00AF3A24">
              <w:rPr>
                <w:rFonts w:asciiTheme="minorHAnsi" w:hAnsiTheme="minorHAnsi"/>
                <w:bCs/>
                <w:color w:val="000000"/>
                <w:sz w:val="16"/>
                <w:szCs w:val="16"/>
              </w:rPr>
              <w:br/>
              <w:t>(2.2 - 4.1)</w:t>
            </w:r>
          </w:p>
        </w:tc>
      </w:tr>
      <w:tr w:rsidR="003868A2" w:rsidRPr="00AF3A24" w14:paraId="66F391D4" w14:textId="77777777" w:rsidTr="00E1507C">
        <w:trPr>
          <w:trHeight w:val="437"/>
        </w:trPr>
        <w:tc>
          <w:tcPr>
            <w:tcW w:w="1418" w:type="dxa"/>
            <w:vMerge/>
            <w:tcBorders>
              <w:left w:val="single" w:sz="8" w:space="0" w:color="auto"/>
              <w:bottom w:val="single" w:sz="4" w:space="0" w:color="auto"/>
              <w:right w:val="single" w:sz="8" w:space="0" w:color="auto"/>
            </w:tcBorders>
            <w:shd w:val="clear" w:color="auto" w:fill="DAEEF3" w:themeFill="accent5" w:themeFillTint="33"/>
            <w:vAlign w:val="center"/>
          </w:tcPr>
          <w:p w14:paraId="509EF5E0" w14:textId="77777777" w:rsidR="003868A2" w:rsidRPr="00AF3A24" w:rsidRDefault="003868A2" w:rsidP="00E32510">
            <w:pPr>
              <w:spacing w:before="0" w:line="240" w:lineRule="auto"/>
              <w:jc w:val="left"/>
              <w:rPr>
                <w:rFonts w:asciiTheme="minorHAnsi" w:hAnsiTheme="minorHAnsi"/>
                <w:bCs/>
                <w:color w:val="000000"/>
                <w:sz w:val="16"/>
                <w:szCs w:val="16"/>
              </w:rPr>
            </w:pPr>
          </w:p>
        </w:tc>
        <w:tc>
          <w:tcPr>
            <w:tcW w:w="984" w:type="dxa"/>
            <w:tcBorders>
              <w:top w:val="nil"/>
              <w:left w:val="single" w:sz="8" w:space="0" w:color="auto"/>
              <w:bottom w:val="single" w:sz="4" w:space="0" w:color="auto"/>
              <w:right w:val="single" w:sz="8" w:space="0" w:color="auto"/>
            </w:tcBorders>
            <w:shd w:val="clear" w:color="auto" w:fill="DAEEF3" w:themeFill="accent5" w:themeFillTint="33"/>
            <w:vAlign w:val="center"/>
          </w:tcPr>
          <w:p w14:paraId="7D4B7CC5"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17" w:type="dxa"/>
            <w:tcBorders>
              <w:top w:val="nil"/>
              <w:left w:val="single" w:sz="8" w:space="0" w:color="auto"/>
              <w:bottom w:val="single" w:sz="4" w:space="0" w:color="auto"/>
              <w:right w:val="nil"/>
            </w:tcBorders>
            <w:shd w:val="clear" w:color="auto" w:fill="DAEEF3" w:themeFill="accent5" w:themeFillTint="33"/>
            <w:vAlign w:val="center"/>
          </w:tcPr>
          <w:p w14:paraId="53FE8F12"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75</w:t>
            </w:r>
          </w:p>
        </w:tc>
        <w:tc>
          <w:tcPr>
            <w:tcW w:w="1134" w:type="dxa"/>
            <w:tcBorders>
              <w:top w:val="nil"/>
              <w:left w:val="nil"/>
              <w:bottom w:val="single" w:sz="4" w:space="0" w:color="auto"/>
              <w:right w:val="single" w:sz="4" w:space="0" w:color="auto"/>
            </w:tcBorders>
            <w:shd w:val="clear" w:color="auto" w:fill="DAEEF3" w:themeFill="accent5" w:themeFillTint="33"/>
            <w:vAlign w:val="center"/>
          </w:tcPr>
          <w:p w14:paraId="67C388F8"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9.7</w:t>
            </w:r>
            <w:r w:rsidRPr="00AF3A24">
              <w:rPr>
                <w:rFonts w:asciiTheme="minorHAnsi" w:hAnsiTheme="minorHAnsi"/>
                <w:bCs/>
                <w:color w:val="000000"/>
                <w:sz w:val="16"/>
                <w:szCs w:val="16"/>
              </w:rPr>
              <w:br/>
              <w:t>(7.2 - 12.2)</w:t>
            </w:r>
          </w:p>
        </w:tc>
        <w:tc>
          <w:tcPr>
            <w:tcW w:w="709" w:type="dxa"/>
            <w:tcBorders>
              <w:top w:val="nil"/>
              <w:left w:val="nil"/>
              <w:bottom w:val="single" w:sz="4" w:space="0" w:color="auto"/>
              <w:right w:val="nil"/>
            </w:tcBorders>
            <w:shd w:val="clear" w:color="auto" w:fill="DAEEF3" w:themeFill="accent5" w:themeFillTint="33"/>
            <w:vAlign w:val="center"/>
          </w:tcPr>
          <w:p w14:paraId="536A6D5B"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34F21F0A"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7.1</w:t>
            </w:r>
            <w:r w:rsidRPr="00AF3A24">
              <w:rPr>
                <w:rFonts w:asciiTheme="minorHAnsi" w:hAnsiTheme="minorHAnsi"/>
                <w:bCs/>
                <w:color w:val="000000"/>
                <w:sz w:val="16"/>
                <w:szCs w:val="16"/>
              </w:rPr>
              <w:br/>
              <w:t>(5.1 - 9.0)</w:t>
            </w:r>
          </w:p>
        </w:tc>
        <w:tc>
          <w:tcPr>
            <w:tcW w:w="709" w:type="dxa"/>
            <w:tcBorders>
              <w:top w:val="nil"/>
              <w:left w:val="nil"/>
              <w:bottom w:val="single" w:sz="4" w:space="0" w:color="auto"/>
              <w:right w:val="nil"/>
            </w:tcBorders>
            <w:shd w:val="clear" w:color="auto" w:fill="DAEEF3" w:themeFill="accent5" w:themeFillTint="33"/>
            <w:vAlign w:val="center"/>
          </w:tcPr>
          <w:p w14:paraId="479D9A73"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043B0320"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r w:rsidRPr="00AF3A24">
              <w:rPr>
                <w:rFonts w:asciiTheme="minorHAnsi" w:hAnsiTheme="minorHAnsi"/>
                <w:bCs/>
                <w:color w:val="000000"/>
                <w:sz w:val="16"/>
                <w:szCs w:val="16"/>
              </w:rPr>
              <w:br/>
              <w:t>(3.2 - 7.1)</w:t>
            </w:r>
          </w:p>
        </w:tc>
      </w:tr>
      <w:tr w:rsidR="00E1507C" w:rsidRPr="00AF3A24" w14:paraId="37DA6BA9" w14:textId="77777777" w:rsidTr="00E1507C">
        <w:trPr>
          <w:trHeight w:val="437"/>
        </w:trPr>
        <w:tc>
          <w:tcPr>
            <w:tcW w:w="1418" w:type="dxa"/>
            <w:vMerge w:val="restart"/>
            <w:tcBorders>
              <w:left w:val="single" w:sz="8" w:space="0" w:color="auto"/>
              <w:right w:val="single" w:sz="8" w:space="0" w:color="auto"/>
            </w:tcBorders>
            <w:shd w:val="clear" w:color="auto" w:fill="DAEEF3" w:themeFill="accent5" w:themeFillTint="33"/>
            <w:vAlign w:val="center"/>
          </w:tcPr>
          <w:p w14:paraId="292E5C7E" w14:textId="77777777" w:rsidR="00E1507C" w:rsidRPr="00AF3A24" w:rsidRDefault="00E1507C" w:rsidP="00E32510">
            <w:pPr>
              <w:spacing w:before="0" w:line="240" w:lineRule="auto"/>
              <w:jc w:val="left"/>
              <w:rPr>
                <w:rFonts w:asciiTheme="minorHAnsi" w:hAnsiTheme="minorHAnsi" w:cstheme="minorHAnsi"/>
                <w:sz w:val="16"/>
                <w:szCs w:val="16"/>
                <w:highlight w:val="cyan"/>
              </w:rPr>
            </w:pPr>
            <w:r w:rsidRPr="00AF3A24">
              <w:rPr>
                <w:rFonts w:asciiTheme="minorHAnsi" w:hAnsiTheme="minorHAnsi" w:cstheme="minorHAnsi"/>
                <w:sz w:val="16"/>
                <w:szCs w:val="18"/>
              </w:rPr>
              <w:t>By Age-group</w:t>
            </w:r>
          </w:p>
        </w:tc>
        <w:tc>
          <w:tcPr>
            <w:tcW w:w="984" w:type="dxa"/>
            <w:tcBorders>
              <w:left w:val="single" w:sz="8" w:space="0" w:color="auto"/>
              <w:bottom w:val="nil"/>
              <w:right w:val="single" w:sz="8" w:space="0" w:color="auto"/>
            </w:tcBorders>
            <w:shd w:val="clear" w:color="auto" w:fill="DAEEF3" w:themeFill="accent5" w:themeFillTint="33"/>
            <w:vAlign w:val="center"/>
          </w:tcPr>
          <w:p w14:paraId="729F0584" w14:textId="77777777" w:rsidR="00E1507C" w:rsidRPr="00AF3A24" w:rsidRDefault="00E1507C" w:rsidP="00E32510">
            <w:pPr>
              <w:spacing w:before="0" w:line="240" w:lineRule="auto"/>
              <w:ind w:left="78"/>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17" w:type="dxa"/>
            <w:tcBorders>
              <w:left w:val="single" w:sz="8" w:space="0" w:color="auto"/>
              <w:bottom w:val="nil"/>
              <w:right w:val="nil"/>
            </w:tcBorders>
            <w:shd w:val="clear" w:color="auto" w:fill="DAEEF3" w:themeFill="accent5" w:themeFillTint="33"/>
            <w:vAlign w:val="center"/>
          </w:tcPr>
          <w:p w14:paraId="59A39E8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left w:val="nil"/>
              <w:bottom w:val="nil"/>
              <w:right w:val="single" w:sz="4" w:space="0" w:color="auto"/>
            </w:tcBorders>
            <w:shd w:val="clear" w:color="auto" w:fill="DAEEF3" w:themeFill="accent5" w:themeFillTint="33"/>
            <w:vAlign w:val="center"/>
          </w:tcPr>
          <w:p w14:paraId="75065BF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bottom w:val="nil"/>
              <w:right w:val="nil"/>
            </w:tcBorders>
            <w:shd w:val="clear" w:color="auto" w:fill="DAEEF3" w:themeFill="accent5" w:themeFillTint="33"/>
            <w:vAlign w:val="center"/>
          </w:tcPr>
          <w:p w14:paraId="1002FD4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5DBB720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bottom w:val="nil"/>
              <w:right w:val="nil"/>
            </w:tcBorders>
            <w:shd w:val="clear" w:color="auto" w:fill="DAEEF3" w:themeFill="accent5" w:themeFillTint="33"/>
            <w:vAlign w:val="center"/>
          </w:tcPr>
          <w:p w14:paraId="7B1212D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7F6A9B7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59DB4076"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516106FD" w14:textId="77777777" w:rsidR="00E1507C" w:rsidRPr="00AF3A24" w:rsidRDefault="00E1507C" w:rsidP="00E32510">
            <w:pPr>
              <w:spacing w:before="0" w:line="240" w:lineRule="auto"/>
              <w:jc w:val="left"/>
              <w:rPr>
                <w:rFonts w:asciiTheme="minorHAnsi" w:hAnsiTheme="minorHAnsi" w:cstheme="minorHAnsi"/>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1255F486"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17" w:type="dxa"/>
            <w:tcBorders>
              <w:top w:val="nil"/>
              <w:left w:val="single" w:sz="8" w:space="0" w:color="auto"/>
              <w:bottom w:val="nil"/>
              <w:right w:val="nil"/>
            </w:tcBorders>
            <w:shd w:val="clear" w:color="auto" w:fill="DAEEF3" w:themeFill="accent5" w:themeFillTint="33"/>
            <w:vAlign w:val="center"/>
          </w:tcPr>
          <w:p w14:paraId="06927FA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52</w:t>
            </w:r>
          </w:p>
        </w:tc>
        <w:tc>
          <w:tcPr>
            <w:tcW w:w="1134" w:type="dxa"/>
            <w:tcBorders>
              <w:top w:val="nil"/>
              <w:left w:val="nil"/>
              <w:bottom w:val="nil"/>
              <w:right w:val="single" w:sz="4" w:space="0" w:color="auto"/>
            </w:tcBorders>
            <w:shd w:val="clear" w:color="auto" w:fill="DAEEF3" w:themeFill="accent5" w:themeFillTint="33"/>
            <w:vAlign w:val="center"/>
          </w:tcPr>
          <w:p w14:paraId="3D376A9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13.8</w:t>
            </w:r>
            <w:r w:rsidRPr="00AF3A24">
              <w:rPr>
                <w:rFonts w:asciiTheme="minorHAnsi" w:hAnsiTheme="minorHAnsi" w:cstheme="minorHAnsi"/>
                <w:sz w:val="16"/>
                <w:szCs w:val="16"/>
              </w:rPr>
              <w:br/>
              <w:t>(9.7 - 18.0)</w:t>
            </w:r>
          </w:p>
        </w:tc>
        <w:tc>
          <w:tcPr>
            <w:tcW w:w="709" w:type="dxa"/>
            <w:tcBorders>
              <w:top w:val="nil"/>
              <w:left w:val="nil"/>
              <w:bottom w:val="nil"/>
              <w:right w:val="nil"/>
            </w:tcBorders>
            <w:shd w:val="clear" w:color="auto" w:fill="DAEEF3" w:themeFill="accent5" w:themeFillTint="33"/>
            <w:vAlign w:val="center"/>
          </w:tcPr>
          <w:p w14:paraId="12008BDB"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38</w:t>
            </w:r>
          </w:p>
        </w:tc>
        <w:tc>
          <w:tcPr>
            <w:tcW w:w="1417" w:type="dxa"/>
            <w:tcBorders>
              <w:top w:val="nil"/>
              <w:left w:val="nil"/>
              <w:bottom w:val="nil"/>
              <w:right w:val="single" w:sz="4" w:space="0" w:color="auto"/>
            </w:tcBorders>
            <w:shd w:val="clear" w:color="auto" w:fill="DAEEF3" w:themeFill="accent5" w:themeFillTint="33"/>
            <w:vAlign w:val="center"/>
          </w:tcPr>
          <w:p w14:paraId="3A020D1A"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8.1</w:t>
            </w:r>
            <w:r w:rsidRPr="00AF3A24">
              <w:rPr>
                <w:rFonts w:asciiTheme="minorHAnsi" w:hAnsiTheme="minorHAnsi" w:cstheme="minorHAnsi"/>
                <w:sz w:val="16"/>
                <w:szCs w:val="16"/>
              </w:rPr>
              <w:br/>
              <w:t>(5.0 - 11.3)</w:t>
            </w:r>
          </w:p>
        </w:tc>
        <w:tc>
          <w:tcPr>
            <w:tcW w:w="709" w:type="dxa"/>
            <w:tcBorders>
              <w:top w:val="nil"/>
              <w:left w:val="nil"/>
              <w:bottom w:val="nil"/>
              <w:right w:val="nil"/>
            </w:tcBorders>
            <w:shd w:val="clear" w:color="auto" w:fill="DAEEF3" w:themeFill="accent5" w:themeFillTint="33"/>
            <w:vAlign w:val="center"/>
          </w:tcPr>
          <w:p w14:paraId="7BBD6F4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2D6369B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19846327"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4B44C46F" w14:textId="77777777" w:rsidR="00E1507C" w:rsidRPr="00AF3A24" w:rsidRDefault="00E1507C" w:rsidP="00E32510">
            <w:pPr>
              <w:spacing w:before="0" w:line="240" w:lineRule="auto"/>
              <w:jc w:val="left"/>
              <w:rPr>
                <w:rFonts w:asciiTheme="minorHAnsi" w:hAnsiTheme="minorHAnsi" w:cstheme="minorHAnsi"/>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2830C0C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17" w:type="dxa"/>
            <w:tcBorders>
              <w:top w:val="nil"/>
              <w:left w:val="single" w:sz="8" w:space="0" w:color="auto"/>
              <w:bottom w:val="nil"/>
              <w:right w:val="nil"/>
            </w:tcBorders>
            <w:shd w:val="clear" w:color="auto" w:fill="DAEEF3" w:themeFill="accent5" w:themeFillTint="33"/>
            <w:vAlign w:val="center"/>
          </w:tcPr>
          <w:p w14:paraId="71613037"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34</w:t>
            </w:r>
          </w:p>
        </w:tc>
        <w:tc>
          <w:tcPr>
            <w:tcW w:w="1134" w:type="dxa"/>
            <w:tcBorders>
              <w:top w:val="nil"/>
              <w:left w:val="nil"/>
              <w:bottom w:val="nil"/>
              <w:right w:val="single" w:sz="4" w:space="0" w:color="auto"/>
            </w:tcBorders>
            <w:shd w:val="clear" w:color="auto" w:fill="DAEEF3" w:themeFill="accent5" w:themeFillTint="33"/>
            <w:vAlign w:val="center"/>
          </w:tcPr>
          <w:p w14:paraId="3883B39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8.6</w:t>
            </w:r>
            <w:r w:rsidRPr="00AF3A24">
              <w:rPr>
                <w:rFonts w:asciiTheme="minorHAnsi" w:hAnsiTheme="minorHAnsi" w:cstheme="minorHAnsi"/>
                <w:sz w:val="16"/>
                <w:szCs w:val="16"/>
              </w:rPr>
              <w:br/>
              <w:t>(5.1 - 12.1)</w:t>
            </w:r>
          </w:p>
        </w:tc>
        <w:tc>
          <w:tcPr>
            <w:tcW w:w="709" w:type="dxa"/>
            <w:tcBorders>
              <w:top w:val="nil"/>
              <w:left w:val="nil"/>
              <w:bottom w:val="nil"/>
              <w:right w:val="nil"/>
            </w:tcBorders>
            <w:shd w:val="clear" w:color="auto" w:fill="DAEEF3" w:themeFill="accent5" w:themeFillTint="33"/>
            <w:vAlign w:val="center"/>
          </w:tcPr>
          <w:p w14:paraId="2F8D098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50B2AAC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714E530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64D34ED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0107EC9"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06DC88DE" w14:textId="77777777" w:rsidR="00E1507C" w:rsidRPr="00AF3A24" w:rsidRDefault="00E1507C" w:rsidP="00E32510">
            <w:pPr>
              <w:spacing w:before="0" w:line="240" w:lineRule="auto"/>
              <w:jc w:val="left"/>
              <w:rPr>
                <w:rFonts w:asciiTheme="minorHAnsi" w:hAnsiTheme="minorHAnsi" w:cstheme="minorHAnsi"/>
                <w:sz w:val="16"/>
                <w:szCs w:val="16"/>
                <w:highlight w:val="cyan"/>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557B5AE1"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17" w:type="dxa"/>
            <w:tcBorders>
              <w:top w:val="nil"/>
              <w:left w:val="single" w:sz="8" w:space="0" w:color="auto"/>
              <w:bottom w:val="nil"/>
              <w:right w:val="nil"/>
            </w:tcBorders>
            <w:shd w:val="clear" w:color="auto" w:fill="DAEEF3" w:themeFill="accent5" w:themeFillTint="33"/>
            <w:vAlign w:val="center"/>
          </w:tcPr>
          <w:p w14:paraId="785A465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3A49B1A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38312E1B"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33</w:t>
            </w:r>
          </w:p>
        </w:tc>
        <w:tc>
          <w:tcPr>
            <w:tcW w:w="1417" w:type="dxa"/>
            <w:tcBorders>
              <w:top w:val="nil"/>
              <w:left w:val="nil"/>
              <w:bottom w:val="nil"/>
              <w:right w:val="single" w:sz="4" w:space="0" w:color="auto"/>
            </w:tcBorders>
            <w:shd w:val="clear" w:color="auto" w:fill="DAEEF3" w:themeFill="accent5" w:themeFillTint="33"/>
            <w:vAlign w:val="center"/>
          </w:tcPr>
          <w:p w14:paraId="51C2A4DD"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7.1</w:t>
            </w:r>
            <w:r w:rsidRPr="00AF3A24">
              <w:rPr>
                <w:rFonts w:asciiTheme="minorHAnsi" w:hAnsiTheme="minorHAnsi" w:cstheme="minorHAnsi"/>
                <w:sz w:val="16"/>
                <w:szCs w:val="16"/>
              </w:rPr>
              <w:br/>
              <w:t>(3.8 - 10.5)</w:t>
            </w:r>
          </w:p>
        </w:tc>
        <w:tc>
          <w:tcPr>
            <w:tcW w:w="709" w:type="dxa"/>
            <w:tcBorders>
              <w:top w:val="nil"/>
              <w:left w:val="nil"/>
              <w:bottom w:val="nil"/>
              <w:right w:val="nil"/>
            </w:tcBorders>
            <w:shd w:val="clear" w:color="auto" w:fill="DAEEF3" w:themeFill="accent5" w:themeFillTint="33"/>
            <w:vAlign w:val="center"/>
          </w:tcPr>
          <w:p w14:paraId="333B911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0F3930C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76054CF"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33DCA59C" w14:textId="77777777" w:rsidR="00E1507C" w:rsidRPr="00AF3A24" w:rsidRDefault="00E1507C" w:rsidP="00E32510">
            <w:pPr>
              <w:spacing w:before="0" w:line="240" w:lineRule="auto"/>
              <w:jc w:val="left"/>
              <w:rPr>
                <w:rFonts w:asciiTheme="minorHAnsi" w:hAnsiTheme="minorHAnsi" w:cstheme="minorHAnsi"/>
                <w:sz w:val="16"/>
                <w:szCs w:val="16"/>
                <w:highlight w:val="cyan"/>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32CA1B2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17" w:type="dxa"/>
            <w:tcBorders>
              <w:top w:val="nil"/>
              <w:left w:val="single" w:sz="8" w:space="0" w:color="auto"/>
              <w:bottom w:val="nil"/>
              <w:right w:val="nil"/>
            </w:tcBorders>
            <w:shd w:val="clear" w:color="auto" w:fill="DAEEF3" w:themeFill="accent5" w:themeFillTint="33"/>
            <w:vAlign w:val="center"/>
          </w:tcPr>
          <w:p w14:paraId="0E816E7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1677419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781B20F4"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42</w:t>
            </w:r>
          </w:p>
        </w:tc>
        <w:tc>
          <w:tcPr>
            <w:tcW w:w="1417" w:type="dxa"/>
            <w:tcBorders>
              <w:top w:val="nil"/>
              <w:left w:val="nil"/>
              <w:bottom w:val="nil"/>
              <w:right w:val="single" w:sz="4" w:space="0" w:color="auto"/>
            </w:tcBorders>
            <w:shd w:val="clear" w:color="auto" w:fill="DAEEF3" w:themeFill="accent5" w:themeFillTint="33"/>
            <w:vAlign w:val="center"/>
          </w:tcPr>
          <w:p w14:paraId="43CC2335"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9.7</w:t>
            </w:r>
            <w:r w:rsidRPr="00AF3A24">
              <w:rPr>
                <w:rFonts w:asciiTheme="minorHAnsi" w:hAnsiTheme="minorHAnsi" w:cstheme="minorHAnsi"/>
                <w:sz w:val="16"/>
                <w:szCs w:val="16"/>
              </w:rPr>
              <w:br/>
              <w:t>(6.2 - 13.3)</w:t>
            </w:r>
          </w:p>
        </w:tc>
        <w:tc>
          <w:tcPr>
            <w:tcW w:w="709" w:type="dxa"/>
            <w:tcBorders>
              <w:top w:val="nil"/>
              <w:left w:val="nil"/>
              <w:bottom w:val="nil"/>
              <w:right w:val="nil"/>
            </w:tcBorders>
            <w:shd w:val="clear" w:color="auto" w:fill="DAEEF3" w:themeFill="accent5" w:themeFillTint="33"/>
            <w:vAlign w:val="center"/>
          </w:tcPr>
          <w:p w14:paraId="096F77C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451F63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038F1E10" w14:textId="77777777" w:rsidTr="00E1507C">
        <w:trPr>
          <w:trHeight w:val="437"/>
        </w:trPr>
        <w:tc>
          <w:tcPr>
            <w:tcW w:w="1418" w:type="dxa"/>
            <w:vMerge/>
            <w:tcBorders>
              <w:left w:val="single" w:sz="8" w:space="0" w:color="auto"/>
              <w:bottom w:val="nil"/>
              <w:right w:val="single" w:sz="8" w:space="0" w:color="auto"/>
            </w:tcBorders>
            <w:shd w:val="clear" w:color="auto" w:fill="DAEEF3" w:themeFill="accent5" w:themeFillTint="33"/>
            <w:vAlign w:val="center"/>
          </w:tcPr>
          <w:p w14:paraId="35A24A17" w14:textId="77777777" w:rsidR="00E1507C" w:rsidRPr="00AF3A24" w:rsidRDefault="00E1507C" w:rsidP="00E32510">
            <w:pPr>
              <w:spacing w:before="0" w:line="240" w:lineRule="auto"/>
              <w:jc w:val="left"/>
              <w:rPr>
                <w:rFonts w:asciiTheme="minorHAnsi" w:hAnsiTheme="minorHAnsi" w:cstheme="minorHAnsi"/>
                <w:sz w:val="16"/>
                <w:szCs w:val="16"/>
                <w:highlight w:val="cyan"/>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2E01135F"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17" w:type="dxa"/>
            <w:tcBorders>
              <w:top w:val="nil"/>
              <w:left w:val="single" w:sz="8" w:space="0" w:color="auto"/>
              <w:bottom w:val="nil"/>
              <w:right w:val="nil"/>
            </w:tcBorders>
            <w:shd w:val="clear" w:color="auto" w:fill="DAEEF3" w:themeFill="accent5" w:themeFillTint="33"/>
            <w:vAlign w:val="center"/>
          </w:tcPr>
          <w:p w14:paraId="7A50F42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0EB2A747"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76C80A0F"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35</w:t>
            </w:r>
          </w:p>
        </w:tc>
        <w:tc>
          <w:tcPr>
            <w:tcW w:w="1417" w:type="dxa"/>
            <w:tcBorders>
              <w:top w:val="nil"/>
              <w:left w:val="nil"/>
              <w:bottom w:val="nil"/>
              <w:right w:val="single" w:sz="4" w:space="0" w:color="auto"/>
            </w:tcBorders>
            <w:shd w:val="clear" w:color="auto" w:fill="DAEEF3" w:themeFill="accent5" w:themeFillTint="33"/>
            <w:vAlign w:val="center"/>
          </w:tcPr>
          <w:p w14:paraId="7336D549" w14:textId="77777777" w:rsidR="00E1507C" w:rsidRPr="00AF3A24" w:rsidRDefault="00E1507C"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10.8</w:t>
            </w:r>
            <w:r w:rsidRPr="00AF3A24">
              <w:rPr>
                <w:rFonts w:asciiTheme="minorHAnsi" w:hAnsiTheme="minorHAnsi" w:cstheme="minorHAnsi"/>
                <w:sz w:val="16"/>
                <w:szCs w:val="16"/>
              </w:rPr>
              <w:br/>
              <w:t>(6.5 - 15.1)</w:t>
            </w:r>
          </w:p>
        </w:tc>
        <w:tc>
          <w:tcPr>
            <w:tcW w:w="709" w:type="dxa"/>
            <w:tcBorders>
              <w:top w:val="nil"/>
              <w:left w:val="nil"/>
              <w:bottom w:val="nil"/>
              <w:right w:val="nil"/>
            </w:tcBorders>
            <w:shd w:val="clear" w:color="auto" w:fill="DAEEF3" w:themeFill="accent5" w:themeFillTint="33"/>
            <w:vAlign w:val="center"/>
          </w:tcPr>
          <w:p w14:paraId="19A14AD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5BC083D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7CEA9682" w14:textId="77777777" w:rsidTr="00E1507C">
        <w:trPr>
          <w:trHeight w:val="437"/>
        </w:trPr>
        <w:tc>
          <w:tcPr>
            <w:tcW w:w="1418" w:type="dxa"/>
            <w:vMerge w:val="restart"/>
            <w:tcBorders>
              <w:left w:val="single" w:sz="8" w:space="0" w:color="auto"/>
              <w:right w:val="single" w:sz="8" w:space="0" w:color="auto"/>
            </w:tcBorders>
            <w:shd w:val="clear" w:color="auto" w:fill="DAEEF3" w:themeFill="accent5" w:themeFillTint="33"/>
            <w:vAlign w:val="center"/>
          </w:tcPr>
          <w:p w14:paraId="2480F374" w14:textId="77777777" w:rsidR="003868A2" w:rsidRPr="00AF3A24" w:rsidRDefault="003868A2" w:rsidP="00E32510">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8"/>
              </w:rPr>
              <w:t xml:space="preserve">By Ethnicity </w:t>
            </w:r>
          </w:p>
        </w:tc>
        <w:tc>
          <w:tcPr>
            <w:tcW w:w="984" w:type="dxa"/>
            <w:tcBorders>
              <w:left w:val="single" w:sz="8" w:space="0" w:color="auto"/>
              <w:bottom w:val="nil"/>
              <w:right w:val="single" w:sz="8" w:space="0" w:color="auto"/>
            </w:tcBorders>
            <w:shd w:val="clear" w:color="auto" w:fill="DAEEF3" w:themeFill="accent5" w:themeFillTint="33"/>
            <w:vAlign w:val="center"/>
          </w:tcPr>
          <w:p w14:paraId="02085FFE"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17" w:type="dxa"/>
            <w:tcBorders>
              <w:left w:val="single" w:sz="8" w:space="0" w:color="auto"/>
              <w:bottom w:val="nil"/>
              <w:right w:val="nil"/>
            </w:tcBorders>
            <w:shd w:val="clear" w:color="auto" w:fill="DAEEF3" w:themeFill="accent5" w:themeFillTint="33"/>
            <w:vAlign w:val="center"/>
          </w:tcPr>
          <w:p w14:paraId="16574541"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41</w:t>
            </w:r>
          </w:p>
        </w:tc>
        <w:tc>
          <w:tcPr>
            <w:tcW w:w="1134" w:type="dxa"/>
            <w:tcBorders>
              <w:left w:val="nil"/>
              <w:bottom w:val="nil"/>
              <w:right w:val="single" w:sz="4" w:space="0" w:color="auto"/>
            </w:tcBorders>
            <w:shd w:val="clear" w:color="auto" w:fill="DAEEF3" w:themeFill="accent5" w:themeFillTint="33"/>
            <w:vAlign w:val="center"/>
          </w:tcPr>
          <w:p w14:paraId="2D08880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9.6</w:t>
            </w:r>
          </w:p>
          <w:p w14:paraId="3B56AAD0"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(6.0 - 13.2)</w:t>
            </w:r>
          </w:p>
        </w:tc>
        <w:tc>
          <w:tcPr>
            <w:tcW w:w="709" w:type="dxa"/>
            <w:tcBorders>
              <w:left w:val="nil"/>
              <w:bottom w:val="nil"/>
              <w:right w:val="nil"/>
            </w:tcBorders>
            <w:shd w:val="clear" w:color="auto" w:fill="DAEEF3" w:themeFill="accent5" w:themeFillTint="33"/>
            <w:vAlign w:val="center"/>
          </w:tcPr>
          <w:p w14:paraId="06E3D198"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58</w:t>
            </w:r>
          </w:p>
        </w:tc>
        <w:tc>
          <w:tcPr>
            <w:tcW w:w="1417" w:type="dxa"/>
            <w:tcBorders>
              <w:left w:val="nil"/>
              <w:bottom w:val="nil"/>
              <w:right w:val="single" w:sz="4" w:space="0" w:color="auto"/>
            </w:tcBorders>
            <w:shd w:val="clear" w:color="auto" w:fill="DAEEF3" w:themeFill="accent5" w:themeFillTint="33"/>
            <w:vAlign w:val="center"/>
          </w:tcPr>
          <w:p w14:paraId="6CEC7A80"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11.3</w:t>
            </w:r>
          </w:p>
          <w:p w14:paraId="472468E0"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(7.6 - 14.9)</w:t>
            </w:r>
          </w:p>
        </w:tc>
        <w:tc>
          <w:tcPr>
            <w:tcW w:w="709" w:type="dxa"/>
            <w:tcBorders>
              <w:left w:val="nil"/>
              <w:bottom w:val="nil"/>
              <w:right w:val="nil"/>
            </w:tcBorders>
            <w:shd w:val="clear" w:color="auto" w:fill="DAEEF3" w:themeFill="accent5" w:themeFillTint="33"/>
            <w:vAlign w:val="center"/>
          </w:tcPr>
          <w:p w14:paraId="5AD83443"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30</w:t>
            </w:r>
          </w:p>
        </w:tc>
        <w:tc>
          <w:tcPr>
            <w:tcW w:w="1417" w:type="dxa"/>
            <w:tcBorders>
              <w:left w:val="nil"/>
              <w:bottom w:val="nil"/>
              <w:right w:val="single" w:sz="4" w:space="0" w:color="auto"/>
            </w:tcBorders>
            <w:shd w:val="clear" w:color="auto" w:fill="DAEEF3" w:themeFill="accent5" w:themeFillTint="33"/>
          </w:tcPr>
          <w:p w14:paraId="3359D4D8"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4.3</w:t>
            </w:r>
          </w:p>
          <w:p w14:paraId="18472888"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(2.5 - 6.1)</w:t>
            </w:r>
          </w:p>
        </w:tc>
      </w:tr>
      <w:tr w:rsidR="00E1507C" w:rsidRPr="00AF3A24" w14:paraId="1CB68806"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4E9D06C4" w14:textId="77777777" w:rsidR="00E1507C" w:rsidRPr="00AF3A24" w:rsidRDefault="00E1507C" w:rsidP="00E32510">
            <w:pPr>
              <w:spacing w:before="0" w:line="240" w:lineRule="auto"/>
              <w:jc w:val="left"/>
              <w:rPr>
                <w:rFonts w:asciiTheme="minorHAnsi" w:hAnsiTheme="minorHAnsi" w:cstheme="minorHAnsi"/>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79196BAF"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17" w:type="dxa"/>
            <w:tcBorders>
              <w:top w:val="nil"/>
              <w:left w:val="single" w:sz="8" w:space="0" w:color="auto"/>
              <w:bottom w:val="nil"/>
              <w:right w:val="nil"/>
            </w:tcBorders>
            <w:shd w:val="clear" w:color="auto" w:fill="DAEEF3" w:themeFill="accent5" w:themeFillTint="33"/>
            <w:vAlign w:val="center"/>
          </w:tcPr>
          <w:p w14:paraId="5F451AA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791C38B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4AB9436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405B04B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7ED06220"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B5165A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2C092512"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218D106B" w14:textId="77777777" w:rsidR="00E1507C" w:rsidRPr="00AF3A24" w:rsidRDefault="00E1507C" w:rsidP="00E32510">
            <w:pPr>
              <w:spacing w:before="0" w:line="240" w:lineRule="auto"/>
              <w:jc w:val="left"/>
              <w:rPr>
                <w:rFonts w:asciiTheme="minorHAnsi" w:hAnsiTheme="minorHAnsi" w:cstheme="minorHAnsi"/>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3BBBA23A"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17" w:type="dxa"/>
            <w:tcBorders>
              <w:top w:val="nil"/>
              <w:left w:val="single" w:sz="8" w:space="0" w:color="auto"/>
              <w:bottom w:val="nil"/>
              <w:right w:val="nil"/>
            </w:tcBorders>
            <w:shd w:val="clear" w:color="auto" w:fill="DAEEF3" w:themeFill="accent5" w:themeFillTint="33"/>
            <w:vAlign w:val="center"/>
          </w:tcPr>
          <w:p w14:paraId="284B5E3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6E6B3BD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22E2FC8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78FF5A1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77309014"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D143A3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4551B892" w14:textId="77777777" w:rsidTr="00E1507C">
        <w:trPr>
          <w:trHeight w:val="437"/>
        </w:trPr>
        <w:tc>
          <w:tcPr>
            <w:tcW w:w="1418" w:type="dxa"/>
            <w:vMerge/>
            <w:tcBorders>
              <w:left w:val="single" w:sz="8" w:space="0" w:color="auto"/>
              <w:bottom w:val="nil"/>
              <w:right w:val="single" w:sz="8" w:space="0" w:color="auto"/>
            </w:tcBorders>
            <w:shd w:val="clear" w:color="auto" w:fill="DAEEF3" w:themeFill="accent5" w:themeFillTint="33"/>
            <w:vAlign w:val="center"/>
          </w:tcPr>
          <w:p w14:paraId="75DFF103" w14:textId="77777777" w:rsidR="003868A2" w:rsidRPr="00AF3A24" w:rsidRDefault="003868A2" w:rsidP="00E32510">
            <w:pPr>
              <w:spacing w:before="0" w:line="240" w:lineRule="auto"/>
              <w:jc w:val="left"/>
              <w:rPr>
                <w:rFonts w:asciiTheme="minorHAnsi" w:hAnsiTheme="minorHAnsi" w:cstheme="minorHAnsi"/>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2B2DF940"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17" w:type="dxa"/>
            <w:tcBorders>
              <w:top w:val="nil"/>
              <w:left w:val="single" w:sz="8" w:space="0" w:color="auto"/>
              <w:bottom w:val="nil"/>
              <w:right w:val="nil"/>
            </w:tcBorders>
            <w:shd w:val="clear" w:color="auto" w:fill="DAEEF3" w:themeFill="accent5" w:themeFillTint="33"/>
            <w:vAlign w:val="center"/>
          </w:tcPr>
          <w:p w14:paraId="1DBFDB27"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135</w:t>
            </w:r>
          </w:p>
        </w:tc>
        <w:tc>
          <w:tcPr>
            <w:tcW w:w="1134" w:type="dxa"/>
            <w:tcBorders>
              <w:top w:val="nil"/>
              <w:left w:val="nil"/>
              <w:bottom w:val="nil"/>
              <w:right w:val="single" w:sz="4" w:space="0" w:color="auto"/>
            </w:tcBorders>
            <w:shd w:val="clear" w:color="auto" w:fill="DAEEF3" w:themeFill="accent5" w:themeFillTint="33"/>
            <w:vAlign w:val="center"/>
          </w:tcPr>
          <w:p w14:paraId="644724E8"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9.5</w:t>
            </w:r>
          </w:p>
          <w:p w14:paraId="185FCBE6"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(7.5 - 11.4)</w:t>
            </w:r>
          </w:p>
        </w:tc>
        <w:tc>
          <w:tcPr>
            <w:tcW w:w="709" w:type="dxa"/>
            <w:tcBorders>
              <w:top w:val="nil"/>
              <w:left w:val="nil"/>
              <w:bottom w:val="nil"/>
              <w:right w:val="nil"/>
            </w:tcBorders>
            <w:shd w:val="clear" w:color="auto" w:fill="DAEEF3" w:themeFill="accent5" w:themeFillTint="33"/>
            <w:vAlign w:val="center"/>
          </w:tcPr>
          <w:p w14:paraId="2E1DF472"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166</w:t>
            </w:r>
          </w:p>
        </w:tc>
        <w:tc>
          <w:tcPr>
            <w:tcW w:w="1417" w:type="dxa"/>
            <w:tcBorders>
              <w:top w:val="nil"/>
              <w:left w:val="nil"/>
              <w:bottom w:val="nil"/>
              <w:right w:val="single" w:sz="4" w:space="0" w:color="auto"/>
            </w:tcBorders>
            <w:shd w:val="clear" w:color="auto" w:fill="DAEEF3" w:themeFill="accent5" w:themeFillTint="33"/>
            <w:vAlign w:val="center"/>
          </w:tcPr>
          <w:p w14:paraId="4E37949A"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8.2</w:t>
            </w:r>
          </w:p>
          <w:p w14:paraId="454CB3F5"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(6.5 - 9.9)</w:t>
            </w:r>
          </w:p>
        </w:tc>
        <w:tc>
          <w:tcPr>
            <w:tcW w:w="709" w:type="dxa"/>
            <w:tcBorders>
              <w:top w:val="nil"/>
              <w:left w:val="nil"/>
              <w:bottom w:val="nil"/>
              <w:right w:val="nil"/>
            </w:tcBorders>
            <w:shd w:val="clear" w:color="auto" w:fill="DAEEF3" w:themeFill="accent5" w:themeFillTint="33"/>
            <w:vAlign w:val="center"/>
          </w:tcPr>
          <w:p w14:paraId="2AA099F1"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62</w:t>
            </w:r>
          </w:p>
        </w:tc>
        <w:tc>
          <w:tcPr>
            <w:tcW w:w="1417" w:type="dxa"/>
            <w:tcBorders>
              <w:top w:val="nil"/>
              <w:left w:val="nil"/>
              <w:bottom w:val="nil"/>
              <w:right w:val="single" w:sz="4" w:space="0" w:color="auto"/>
            </w:tcBorders>
            <w:shd w:val="clear" w:color="auto" w:fill="DAEEF3" w:themeFill="accent5" w:themeFillTint="33"/>
          </w:tcPr>
          <w:p w14:paraId="6E3E8784"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4.0</w:t>
            </w:r>
          </w:p>
          <w:p w14:paraId="6FE1D267" w14:textId="77777777" w:rsidR="003868A2" w:rsidRPr="00AF3A24" w:rsidRDefault="003868A2" w:rsidP="00E32510">
            <w:pPr>
              <w:spacing w:before="0" w:line="240" w:lineRule="auto"/>
              <w:jc w:val="center"/>
              <w:rPr>
                <w:rFonts w:asciiTheme="minorHAnsi" w:hAnsiTheme="minorHAnsi" w:cstheme="minorHAnsi"/>
                <w:sz w:val="16"/>
                <w:szCs w:val="16"/>
              </w:rPr>
            </w:pPr>
            <w:r w:rsidRPr="00AF3A24">
              <w:rPr>
                <w:rFonts w:asciiTheme="minorHAnsi" w:hAnsiTheme="minorHAnsi" w:cstheme="minorHAnsi"/>
                <w:sz w:val="16"/>
                <w:szCs w:val="16"/>
              </w:rPr>
              <w:t>(2.7 - 5.4)</w:t>
            </w:r>
          </w:p>
        </w:tc>
      </w:tr>
      <w:tr w:rsidR="00E1507C" w:rsidRPr="00AF3A24" w14:paraId="47A91674" w14:textId="77777777" w:rsidTr="00E1507C">
        <w:trPr>
          <w:trHeight w:val="437"/>
        </w:trPr>
        <w:tc>
          <w:tcPr>
            <w:tcW w:w="1418" w:type="dxa"/>
            <w:vMerge w:val="restart"/>
            <w:tcBorders>
              <w:left w:val="single" w:sz="8" w:space="0" w:color="auto"/>
              <w:right w:val="single" w:sz="8" w:space="0" w:color="auto"/>
            </w:tcBorders>
            <w:shd w:val="clear" w:color="auto" w:fill="DAEEF3" w:themeFill="accent5" w:themeFillTint="33"/>
            <w:vAlign w:val="center"/>
          </w:tcPr>
          <w:p w14:paraId="6B229C51" w14:textId="77777777" w:rsidR="00E1507C" w:rsidRPr="00AF3A24" w:rsidRDefault="00E1507C" w:rsidP="00E32510">
            <w:pPr>
              <w:spacing w:before="0" w:line="240" w:lineRule="auto"/>
              <w:jc w:val="left"/>
              <w:rPr>
                <w:rFonts w:asciiTheme="minorHAnsi" w:hAnsiTheme="minorHAnsi"/>
                <w:bCs/>
                <w:color w:val="000000"/>
                <w:sz w:val="16"/>
                <w:szCs w:val="16"/>
              </w:rPr>
            </w:pPr>
            <w:r w:rsidRPr="00AF3A24">
              <w:rPr>
                <w:rFonts w:asciiTheme="minorHAnsi" w:hAnsiTheme="minorHAnsi" w:cstheme="minorHAnsi"/>
                <w:sz w:val="16"/>
                <w:szCs w:val="18"/>
              </w:rPr>
              <w:t>By Neighbourhood Deprivation (NZDep2006)</w:t>
            </w:r>
          </w:p>
        </w:tc>
        <w:tc>
          <w:tcPr>
            <w:tcW w:w="984" w:type="dxa"/>
            <w:tcBorders>
              <w:left w:val="single" w:sz="8" w:space="0" w:color="auto"/>
              <w:bottom w:val="nil"/>
              <w:right w:val="single" w:sz="8" w:space="0" w:color="auto"/>
            </w:tcBorders>
            <w:shd w:val="clear" w:color="auto" w:fill="DAEEF3" w:themeFill="accent5" w:themeFillTint="33"/>
            <w:vAlign w:val="center"/>
          </w:tcPr>
          <w:p w14:paraId="29D3C31E"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17" w:type="dxa"/>
            <w:tcBorders>
              <w:left w:val="single" w:sz="8" w:space="0" w:color="auto"/>
              <w:bottom w:val="nil"/>
              <w:right w:val="nil"/>
            </w:tcBorders>
            <w:shd w:val="clear" w:color="auto" w:fill="DAEEF3" w:themeFill="accent5" w:themeFillTint="33"/>
            <w:vAlign w:val="center"/>
          </w:tcPr>
          <w:p w14:paraId="3BF11AC2"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134" w:type="dxa"/>
            <w:tcBorders>
              <w:left w:val="nil"/>
              <w:bottom w:val="nil"/>
              <w:right w:val="single" w:sz="4" w:space="0" w:color="auto"/>
            </w:tcBorders>
            <w:shd w:val="clear" w:color="auto" w:fill="DAEEF3" w:themeFill="accent5" w:themeFillTint="33"/>
            <w:vAlign w:val="center"/>
          </w:tcPr>
          <w:p w14:paraId="2B9C5B8B"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11.9</w:t>
            </w:r>
            <w:r w:rsidRPr="00AF3A24">
              <w:rPr>
                <w:rFonts w:asciiTheme="minorHAnsi" w:hAnsiTheme="minorHAnsi"/>
                <w:bCs/>
                <w:color w:val="000000"/>
                <w:sz w:val="16"/>
                <w:szCs w:val="16"/>
              </w:rPr>
              <w:br/>
              <w:t>(7.8 - 15.9)</w:t>
            </w:r>
          </w:p>
        </w:tc>
        <w:tc>
          <w:tcPr>
            <w:tcW w:w="709" w:type="dxa"/>
            <w:tcBorders>
              <w:left w:val="nil"/>
              <w:bottom w:val="nil"/>
              <w:right w:val="nil"/>
            </w:tcBorders>
            <w:shd w:val="clear" w:color="auto" w:fill="DAEEF3" w:themeFill="accent5" w:themeFillTint="33"/>
            <w:vAlign w:val="center"/>
          </w:tcPr>
          <w:p w14:paraId="2870BFE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087E198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68A5C3A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3A50C52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0801284D"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3CCF4871" w14:textId="77777777" w:rsidR="00E1507C" w:rsidRPr="00AF3A24" w:rsidRDefault="00E1507C" w:rsidP="00E32510">
            <w:pPr>
              <w:spacing w:before="0" w:line="240" w:lineRule="auto"/>
              <w:jc w:val="left"/>
              <w:rPr>
                <w:rFonts w:asciiTheme="minorHAnsi" w:hAnsiTheme="minorHAnsi"/>
                <w:bCs/>
                <w:color w:val="000000"/>
                <w:sz w:val="16"/>
                <w:szCs w:val="16"/>
                <w:highlight w:val="cyan"/>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771AEAE4"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17" w:type="dxa"/>
            <w:tcBorders>
              <w:top w:val="nil"/>
              <w:left w:val="single" w:sz="8" w:space="0" w:color="auto"/>
              <w:bottom w:val="nil"/>
              <w:right w:val="nil"/>
            </w:tcBorders>
            <w:shd w:val="clear" w:color="auto" w:fill="DAEEF3" w:themeFill="accent5" w:themeFillTint="33"/>
            <w:vAlign w:val="center"/>
          </w:tcPr>
          <w:p w14:paraId="5EB236D8"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top w:val="nil"/>
              <w:left w:val="nil"/>
              <w:bottom w:val="nil"/>
              <w:right w:val="single" w:sz="4" w:space="0" w:color="auto"/>
            </w:tcBorders>
            <w:shd w:val="clear" w:color="auto" w:fill="DAEEF3" w:themeFill="accent5" w:themeFillTint="33"/>
            <w:vAlign w:val="center"/>
          </w:tcPr>
          <w:p w14:paraId="75EEECC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top w:val="nil"/>
              <w:left w:val="nil"/>
              <w:bottom w:val="nil"/>
              <w:right w:val="nil"/>
            </w:tcBorders>
            <w:shd w:val="clear" w:color="auto" w:fill="DAEEF3" w:themeFill="accent5" w:themeFillTint="33"/>
            <w:vAlign w:val="center"/>
          </w:tcPr>
          <w:p w14:paraId="69FEBF92"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p>
        </w:tc>
        <w:tc>
          <w:tcPr>
            <w:tcW w:w="1417" w:type="dxa"/>
            <w:tcBorders>
              <w:top w:val="nil"/>
              <w:left w:val="nil"/>
              <w:bottom w:val="nil"/>
              <w:right w:val="single" w:sz="4" w:space="0" w:color="auto"/>
            </w:tcBorders>
            <w:shd w:val="clear" w:color="auto" w:fill="DAEEF3" w:themeFill="accent5" w:themeFillTint="33"/>
            <w:vAlign w:val="center"/>
          </w:tcPr>
          <w:p w14:paraId="6D083B3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w:t>
            </w:r>
            <w:r w:rsidRPr="00AF3A24">
              <w:rPr>
                <w:rFonts w:asciiTheme="minorHAnsi" w:hAnsiTheme="minorHAnsi"/>
                <w:bCs/>
                <w:color w:val="000000"/>
                <w:sz w:val="16"/>
                <w:szCs w:val="16"/>
              </w:rPr>
              <w:br/>
              <w:t>(4.5 - 12.5)</w:t>
            </w:r>
          </w:p>
        </w:tc>
        <w:tc>
          <w:tcPr>
            <w:tcW w:w="709" w:type="dxa"/>
            <w:tcBorders>
              <w:top w:val="nil"/>
              <w:left w:val="nil"/>
              <w:bottom w:val="nil"/>
              <w:right w:val="nil"/>
            </w:tcBorders>
            <w:shd w:val="clear" w:color="auto" w:fill="DAEEF3" w:themeFill="accent5" w:themeFillTint="33"/>
            <w:vAlign w:val="center"/>
          </w:tcPr>
          <w:p w14:paraId="6FD5DFB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7AF444D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5F4E095F"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2F73B6C4" w14:textId="77777777" w:rsidR="00E1507C" w:rsidRPr="00AF3A24" w:rsidRDefault="00E1507C" w:rsidP="00E32510">
            <w:pPr>
              <w:spacing w:before="0" w:line="240" w:lineRule="auto"/>
              <w:jc w:val="left"/>
              <w:rPr>
                <w:rFonts w:asciiTheme="minorHAnsi" w:hAnsiTheme="minorHAnsi"/>
                <w:bCs/>
                <w:color w:val="000000"/>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053737C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17" w:type="dxa"/>
            <w:tcBorders>
              <w:top w:val="nil"/>
              <w:left w:val="single" w:sz="8" w:space="0" w:color="auto"/>
              <w:bottom w:val="nil"/>
              <w:right w:val="nil"/>
            </w:tcBorders>
            <w:shd w:val="clear" w:color="auto" w:fill="DAEEF3" w:themeFill="accent5" w:themeFillTint="33"/>
            <w:vAlign w:val="center"/>
          </w:tcPr>
          <w:p w14:paraId="32646899"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w:t>
            </w:r>
          </w:p>
        </w:tc>
        <w:tc>
          <w:tcPr>
            <w:tcW w:w="1134" w:type="dxa"/>
            <w:tcBorders>
              <w:top w:val="nil"/>
              <w:left w:val="nil"/>
              <w:bottom w:val="nil"/>
              <w:right w:val="single" w:sz="4" w:space="0" w:color="auto"/>
            </w:tcBorders>
            <w:shd w:val="clear" w:color="auto" w:fill="DAEEF3" w:themeFill="accent5" w:themeFillTint="33"/>
            <w:vAlign w:val="center"/>
          </w:tcPr>
          <w:p w14:paraId="510D871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7.3</w:t>
            </w:r>
            <w:r w:rsidRPr="00AF3A24">
              <w:rPr>
                <w:rFonts w:asciiTheme="minorHAnsi" w:hAnsiTheme="minorHAnsi"/>
                <w:bCs/>
                <w:color w:val="000000"/>
                <w:sz w:val="16"/>
                <w:szCs w:val="16"/>
              </w:rPr>
              <w:br/>
              <w:t>(4.3 - 10.2)</w:t>
            </w:r>
          </w:p>
        </w:tc>
        <w:tc>
          <w:tcPr>
            <w:tcW w:w="709" w:type="dxa"/>
            <w:tcBorders>
              <w:top w:val="nil"/>
              <w:left w:val="nil"/>
              <w:bottom w:val="nil"/>
              <w:right w:val="nil"/>
            </w:tcBorders>
            <w:shd w:val="clear" w:color="auto" w:fill="DAEEF3" w:themeFill="accent5" w:themeFillTint="33"/>
            <w:vAlign w:val="center"/>
          </w:tcPr>
          <w:p w14:paraId="0F04E244"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p>
        </w:tc>
        <w:tc>
          <w:tcPr>
            <w:tcW w:w="1417" w:type="dxa"/>
            <w:tcBorders>
              <w:top w:val="nil"/>
              <w:left w:val="nil"/>
              <w:bottom w:val="nil"/>
              <w:right w:val="single" w:sz="4" w:space="0" w:color="auto"/>
            </w:tcBorders>
            <w:shd w:val="clear" w:color="auto" w:fill="DAEEF3" w:themeFill="accent5" w:themeFillTint="33"/>
            <w:vAlign w:val="center"/>
          </w:tcPr>
          <w:p w14:paraId="4968FACF"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w:t>
            </w:r>
            <w:r w:rsidRPr="00AF3A24">
              <w:rPr>
                <w:rFonts w:asciiTheme="minorHAnsi" w:hAnsiTheme="minorHAnsi"/>
                <w:bCs/>
                <w:color w:val="000000"/>
                <w:sz w:val="16"/>
                <w:szCs w:val="16"/>
              </w:rPr>
              <w:br/>
              <w:t>(3.8 - 9.2)</w:t>
            </w:r>
          </w:p>
        </w:tc>
        <w:tc>
          <w:tcPr>
            <w:tcW w:w="709" w:type="dxa"/>
            <w:tcBorders>
              <w:top w:val="nil"/>
              <w:left w:val="nil"/>
              <w:bottom w:val="nil"/>
              <w:right w:val="nil"/>
            </w:tcBorders>
            <w:shd w:val="clear" w:color="auto" w:fill="DAEEF3" w:themeFill="accent5" w:themeFillTint="33"/>
            <w:vAlign w:val="center"/>
          </w:tcPr>
          <w:p w14:paraId="5B6AA233"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24DD77E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E1507C" w:rsidRPr="00AF3A24" w14:paraId="378F22FA" w14:textId="77777777" w:rsidTr="00E1507C">
        <w:trPr>
          <w:trHeight w:val="437"/>
        </w:trPr>
        <w:tc>
          <w:tcPr>
            <w:tcW w:w="1418" w:type="dxa"/>
            <w:vMerge/>
            <w:tcBorders>
              <w:left w:val="single" w:sz="8" w:space="0" w:color="auto"/>
              <w:right w:val="single" w:sz="8" w:space="0" w:color="auto"/>
            </w:tcBorders>
            <w:shd w:val="clear" w:color="auto" w:fill="DAEEF3" w:themeFill="accent5" w:themeFillTint="33"/>
            <w:vAlign w:val="center"/>
          </w:tcPr>
          <w:p w14:paraId="4FCA78A6" w14:textId="77777777" w:rsidR="00E1507C" w:rsidRPr="00AF3A24" w:rsidRDefault="00E1507C" w:rsidP="00E32510">
            <w:pPr>
              <w:spacing w:before="0" w:line="240" w:lineRule="auto"/>
              <w:jc w:val="left"/>
              <w:rPr>
                <w:rFonts w:asciiTheme="minorHAnsi" w:hAnsiTheme="minorHAnsi"/>
                <w:bCs/>
                <w:color w:val="000000"/>
                <w:sz w:val="16"/>
                <w:szCs w:val="16"/>
              </w:rPr>
            </w:pPr>
          </w:p>
        </w:tc>
        <w:tc>
          <w:tcPr>
            <w:tcW w:w="984" w:type="dxa"/>
            <w:tcBorders>
              <w:top w:val="nil"/>
              <w:left w:val="single" w:sz="8" w:space="0" w:color="auto"/>
              <w:bottom w:val="nil"/>
              <w:right w:val="single" w:sz="8" w:space="0" w:color="auto"/>
            </w:tcBorders>
            <w:shd w:val="clear" w:color="auto" w:fill="DAEEF3" w:themeFill="accent5" w:themeFillTint="33"/>
            <w:vAlign w:val="center"/>
          </w:tcPr>
          <w:p w14:paraId="25834ACD"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17" w:type="dxa"/>
            <w:tcBorders>
              <w:top w:val="nil"/>
              <w:left w:val="single" w:sz="8" w:space="0" w:color="auto"/>
              <w:bottom w:val="nil"/>
              <w:right w:val="nil"/>
            </w:tcBorders>
            <w:shd w:val="clear" w:color="auto" w:fill="DAEEF3" w:themeFill="accent5" w:themeFillTint="33"/>
            <w:vAlign w:val="center"/>
          </w:tcPr>
          <w:p w14:paraId="38D973CA"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134" w:type="dxa"/>
            <w:tcBorders>
              <w:top w:val="nil"/>
              <w:left w:val="nil"/>
              <w:bottom w:val="nil"/>
              <w:right w:val="single" w:sz="4" w:space="0" w:color="auto"/>
            </w:tcBorders>
            <w:shd w:val="clear" w:color="auto" w:fill="DAEEF3" w:themeFill="accent5" w:themeFillTint="33"/>
            <w:vAlign w:val="center"/>
          </w:tcPr>
          <w:p w14:paraId="093BD3A5"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11.9</w:t>
            </w:r>
            <w:r w:rsidRPr="00AF3A24">
              <w:rPr>
                <w:rFonts w:asciiTheme="minorHAnsi" w:hAnsiTheme="minorHAnsi"/>
                <w:bCs/>
                <w:color w:val="000000"/>
                <w:sz w:val="16"/>
                <w:szCs w:val="16"/>
              </w:rPr>
              <w:br/>
              <w:t>(7.9 - 15.9)</w:t>
            </w:r>
          </w:p>
        </w:tc>
        <w:tc>
          <w:tcPr>
            <w:tcW w:w="709" w:type="dxa"/>
            <w:tcBorders>
              <w:top w:val="nil"/>
              <w:left w:val="nil"/>
              <w:bottom w:val="nil"/>
              <w:right w:val="nil"/>
            </w:tcBorders>
            <w:shd w:val="clear" w:color="auto" w:fill="DAEEF3" w:themeFill="accent5" w:themeFillTint="33"/>
            <w:vAlign w:val="center"/>
          </w:tcPr>
          <w:p w14:paraId="57330A73"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p>
        </w:tc>
        <w:tc>
          <w:tcPr>
            <w:tcW w:w="1417" w:type="dxa"/>
            <w:tcBorders>
              <w:top w:val="nil"/>
              <w:left w:val="nil"/>
              <w:bottom w:val="nil"/>
              <w:right w:val="single" w:sz="4" w:space="0" w:color="auto"/>
            </w:tcBorders>
            <w:shd w:val="clear" w:color="auto" w:fill="DAEEF3" w:themeFill="accent5" w:themeFillTint="33"/>
            <w:vAlign w:val="center"/>
          </w:tcPr>
          <w:p w14:paraId="5C24CFBE" w14:textId="77777777" w:rsidR="00E1507C" w:rsidRPr="00AF3A24" w:rsidRDefault="00E1507C"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10.9</w:t>
            </w:r>
            <w:r w:rsidRPr="00AF3A24">
              <w:rPr>
                <w:rFonts w:asciiTheme="minorHAnsi" w:hAnsiTheme="minorHAnsi"/>
                <w:bCs/>
                <w:color w:val="000000"/>
                <w:sz w:val="16"/>
                <w:szCs w:val="16"/>
              </w:rPr>
              <w:br/>
              <w:t>(7.2 - 14.6)</w:t>
            </w:r>
          </w:p>
        </w:tc>
        <w:tc>
          <w:tcPr>
            <w:tcW w:w="709" w:type="dxa"/>
            <w:tcBorders>
              <w:top w:val="nil"/>
              <w:left w:val="nil"/>
              <w:bottom w:val="nil"/>
              <w:right w:val="nil"/>
            </w:tcBorders>
            <w:shd w:val="clear" w:color="auto" w:fill="DAEEF3" w:themeFill="accent5" w:themeFillTint="33"/>
            <w:vAlign w:val="center"/>
          </w:tcPr>
          <w:p w14:paraId="0B42906E"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top w:val="nil"/>
              <w:left w:val="nil"/>
              <w:bottom w:val="nil"/>
              <w:right w:val="single" w:sz="4" w:space="0" w:color="auto"/>
            </w:tcBorders>
            <w:shd w:val="clear" w:color="auto" w:fill="DAEEF3" w:themeFill="accent5" w:themeFillTint="33"/>
            <w:vAlign w:val="center"/>
          </w:tcPr>
          <w:p w14:paraId="13AB8EBA"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2F5CCD07" w14:textId="77777777" w:rsidTr="00E1507C">
        <w:trPr>
          <w:trHeight w:val="437"/>
        </w:trPr>
        <w:tc>
          <w:tcPr>
            <w:tcW w:w="1418" w:type="dxa"/>
            <w:vMerge/>
            <w:tcBorders>
              <w:left w:val="single" w:sz="8" w:space="0" w:color="auto"/>
              <w:bottom w:val="single" w:sz="4" w:space="0" w:color="auto"/>
              <w:right w:val="single" w:sz="8" w:space="0" w:color="auto"/>
            </w:tcBorders>
            <w:shd w:val="clear" w:color="auto" w:fill="DAEEF3" w:themeFill="accent5" w:themeFillTint="33"/>
            <w:vAlign w:val="center"/>
          </w:tcPr>
          <w:p w14:paraId="093DAD83" w14:textId="77777777" w:rsidR="003868A2" w:rsidRPr="00AF3A24" w:rsidRDefault="003868A2" w:rsidP="00E32510">
            <w:pPr>
              <w:spacing w:before="0" w:line="240" w:lineRule="auto"/>
              <w:jc w:val="left"/>
              <w:rPr>
                <w:rFonts w:asciiTheme="minorHAnsi" w:hAnsiTheme="minorHAnsi"/>
                <w:bCs/>
                <w:color w:val="000000"/>
                <w:sz w:val="16"/>
                <w:szCs w:val="16"/>
              </w:rPr>
            </w:pPr>
          </w:p>
        </w:tc>
        <w:tc>
          <w:tcPr>
            <w:tcW w:w="984" w:type="dxa"/>
            <w:tcBorders>
              <w:top w:val="nil"/>
              <w:left w:val="single" w:sz="8" w:space="0" w:color="auto"/>
              <w:bottom w:val="single" w:sz="4" w:space="0" w:color="auto"/>
              <w:right w:val="single" w:sz="8" w:space="0" w:color="auto"/>
            </w:tcBorders>
            <w:shd w:val="clear" w:color="auto" w:fill="DAEEF3" w:themeFill="accent5" w:themeFillTint="33"/>
            <w:vAlign w:val="center"/>
          </w:tcPr>
          <w:p w14:paraId="1E362228"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17" w:type="dxa"/>
            <w:tcBorders>
              <w:top w:val="nil"/>
              <w:left w:val="single" w:sz="8" w:space="0" w:color="auto"/>
              <w:bottom w:val="single" w:sz="4" w:space="0" w:color="auto"/>
              <w:right w:val="nil"/>
            </w:tcBorders>
            <w:shd w:val="clear" w:color="auto" w:fill="DAEEF3" w:themeFill="accent5" w:themeFillTint="33"/>
            <w:vAlign w:val="center"/>
          </w:tcPr>
          <w:p w14:paraId="1DC9086A"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134" w:type="dxa"/>
            <w:tcBorders>
              <w:top w:val="nil"/>
              <w:left w:val="nil"/>
              <w:bottom w:val="single" w:sz="4" w:space="0" w:color="auto"/>
              <w:right w:val="single" w:sz="4" w:space="0" w:color="auto"/>
            </w:tcBorders>
            <w:shd w:val="clear" w:color="auto" w:fill="DAEEF3" w:themeFill="accent5" w:themeFillTint="33"/>
            <w:vAlign w:val="center"/>
          </w:tcPr>
          <w:p w14:paraId="4454809B"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9.2</w:t>
            </w:r>
            <w:r w:rsidRPr="00AF3A24">
              <w:rPr>
                <w:rFonts w:asciiTheme="minorHAnsi" w:hAnsiTheme="minorHAnsi"/>
                <w:bCs/>
                <w:color w:val="000000"/>
                <w:sz w:val="16"/>
                <w:szCs w:val="16"/>
              </w:rPr>
              <w:br/>
              <w:t>(5.9 - 12.6)</w:t>
            </w:r>
          </w:p>
        </w:tc>
        <w:tc>
          <w:tcPr>
            <w:tcW w:w="709" w:type="dxa"/>
            <w:tcBorders>
              <w:top w:val="nil"/>
              <w:left w:val="nil"/>
              <w:bottom w:val="single" w:sz="4" w:space="0" w:color="auto"/>
              <w:right w:val="nil"/>
            </w:tcBorders>
            <w:shd w:val="clear" w:color="auto" w:fill="DAEEF3" w:themeFill="accent5" w:themeFillTint="33"/>
            <w:vAlign w:val="center"/>
          </w:tcPr>
          <w:p w14:paraId="78D699B0"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5BD2FDE8"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10.9</w:t>
            </w:r>
            <w:r w:rsidRPr="00AF3A24">
              <w:rPr>
                <w:rFonts w:asciiTheme="minorHAnsi" w:hAnsiTheme="minorHAnsi"/>
                <w:bCs/>
                <w:color w:val="000000"/>
                <w:sz w:val="16"/>
                <w:szCs w:val="16"/>
              </w:rPr>
              <w:br/>
              <w:t>(7.6 - 14.1)</w:t>
            </w:r>
          </w:p>
        </w:tc>
        <w:tc>
          <w:tcPr>
            <w:tcW w:w="709" w:type="dxa"/>
            <w:tcBorders>
              <w:top w:val="nil"/>
              <w:left w:val="nil"/>
              <w:bottom w:val="single" w:sz="4" w:space="0" w:color="auto"/>
              <w:right w:val="nil"/>
            </w:tcBorders>
            <w:shd w:val="clear" w:color="auto" w:fill="DAEEF3" w:themeFill="accent5" w:themeFillTint="33"/>
            <w:vAlign w:val="center"/>
          </w:tcPr>
          <w:p w14:paraId="4863889E"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2D7CFF59"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r w:rsidRPr="00AF3A24">
              <w:rPr>
                <w:rFonts w:asciiTheme="minorHAnsi" w:hAnsiTheme="minorHAnsi"/>
                <w:bCs/>
                <w:color w:val="000000"/>
                <w:sz w:val="16"/>
                <w:szCs w:val="16"/>
              </w:rPr>
              <w:br/>
              <w:t>(2.4 - 5.7)</w:t>
            </w:r>
          </w:p>
        </w:tc>
      </w:tr>
      <w:tr w:rsidR="00E1507C" w:rsidRPr="00AF3A24" w14:paraId="2F501241" w14:textId="77777777" w:rsidTr="00E1507C">
        <w:trPr>
          <w:trHeight w:val="437"/>
        </w:trPr>
        <w:tc>
          <w:tcPr>
            <w:tcW w:w="1418" w:type="dxa"/>
            <w:vMerge w:val="restart"/>
            <w:tcBorders>
              <w:left w:val="single" w:sz="8" w:space="0" w:color="auto"/>
              <w:right w:val="single" w:sz="8" w:space="0" w:color="auto"/>
            </w:tcBorders>
            <w:shd w:val="clear" w:color="auto" w:fill="DAEEF3" w:themeFill="accent5" w:themeFillTint="33"/>
            <w:vAlign w:val="center"/>
          </w:tcPr>
          <w:p w14:paraId="16325B44" w14:textId="77777777" w:rsidR="00E1507C" w:rsidRPr="00AF3A24" w:rsidRDefault="00E1507C" w:rsidP="00E32510">
            <w:pPr>
              <w:spacing w:before="0" w:line="240" w:lineRule="auto"/>
              <w:jc w:val="left"/>
              <w:rPr>
                <w:rFonts w:asciiTheme="minorHAnsi" w:hAnsiTheme="minorHAnsi"/>
                <w:bCs/>
                <w:color w:val="000000"/>
                <w:sz w:val="16"/>
                <w:szCs w:val="16"/>
                <w:highlight w:val="cyan"/>
              </w:rPr>
            </w:pPr>
            <w:r w:rsidRPr="00AF3A24">
              <w:rPr>
                <w:rFonts w:asciiTheme="minorHAnsi" w:hAnsiTheme="minorHAnsi" w:cstheme="minorHAnsi"/>
                <w:sz w:val="16"/>
                <w:szCs w:val="18"/>
              </w:rPr>
              <w:t>By Geography</w:t>
            </w:r>
          </w:p>
        </w:tc>
        <w:tc>
          <w:tcPr>
            <w:tcW w:w="984" w:type="dxa"/>
            <w:tcBorders>
              <w:left w:val="single" w:sz="8" w:space="0" w:color="auto"/>
              <w:bottom w:val="nil"/>
              <w:right w:val="single" w:sz="8" w:space="0" w:color="auto"/>
            </w:tcBorders>
            <w:shd w:val="clear" w:color="auto" w:fill="DAEEF3" w:themeFill="accent5" w:themeFillTint="33"/>
            <w:vAlign w:val="center"/>
          </w:tcPr>
          <w:p w14:paraId="24E3EB63" w14:textId="77777777" w:rsidR="00E1507C" w:rsidRPr="00AF3A24" w:rsidRDefault="00E1507C"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17" w:type="dxa"/>
            <w:tcBorders>
              <w:left w:val="single" w:sz="8" w:space="0" w:color="auto"/>
              <w:bottom w:val="nil"/>
              <w:right w:val="nil"/>
            </w:tcBorders>
            <w:shd w:val="clear" w:color="auto" w:fill="DAEEF3" w:themeFill="accent5" w:themeFillTint="33"/>
            <w:vAlign w:val="center"/>
          </w:tcPr>
          <w:p w14:paraId="56CA0AD5"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134" w:type="dxa"/>
            <w:tcBorders>
              <w:left w:val="nil"/>
              <w:bottom w:val="nil"/>
              <w:right w:val="single" w:sz="4" w:space="0" w:color="auto"/>
            </w:tcBorders>
            <w:shd w:val="clear" w:color="auto" w:fill="DAEEF3" w:themeFill="accent5" w:themeFillTint="33"/>
            <w:vAlign w:val="center"/>
          </w:tcPr>
          <w:p w14:paraId="200E6D5D"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64865669"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10ADDAE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09" w:type="dxa"/>
            <w:tcBorders>
              <w:left w:val="nil"/>
              <w:bottom w:val="nil"/>
              <w:right w:val="nil"/>
            </w:tcBorders>
            <w:shd w:val="clear" w:color="auto" w:fill="DAEEF3" w:themeFill="accent5" w:themeFillTint="33"/>
            <w:vAlign w:val="center"/>
          </w:tcPr>
          <w:p w14:paraId="78B2B051"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417" w:type="dxa"/>
            <w:tcBorders>
              <w:left w:val="nil"/>
              <w:bottom w:val="nil"/>
              <w:right w:val="single" w:sz="4" w:space="0" w:color="auto"/>
            </w:tcBorders>
            <w:shd w:val="clear" w:color="auto" w:fill="DAEEF3" w:themeFill="accent5" w:themeFillTint="33"/>
            <w:vAlign w:val="center"/>
          </w:tcPr>
          <w:p w14:paraId="7A2317AC"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3868A2" w:rsidRPr="00AF3A24" w14:paraId="48B3E662" w14:textId="77777777" w:rsidTr="00E1507C">
        <w:trPr>
          <w:trHeight w:val="437"/>
        </w:trPr>
        <w:tc>
          <w:tcPr>
            <w:tcW w:w="1418" w:type="dxa"/>
            <w:vMerge/>
            <w:tcBorders>
              <w:left w:val="single" w:sz="8" w:space="0" w:color="auto"/>
              <w:bottom w:val="single" w:sz="4" w:space="0" w:color="auto"/>
              <w:right w:val="single" w:sz="8" w:space="0" w:color="auto"/>
            </w:tcBorders>
            <w:shd w:val="clear" w:color="auto" w:fill="DAEEF3" w:themeFill="accent5" w:themeFillTint="33"/>
            <w:vAlign w:val="center"/>
          </w:tcPr>
          <w:p w14:paraId="2DD90954" w14:textId="77777777" w:rsidR="003868A2" w:rsidRPr="00AF3A24" w:rsidRDefault="003868A2" w:rsidP="00E32510">
            <w:pPr>
              <w:spacing w:before="0" w:line="240" w:lineRule="auto"/>
              <w:jc w:val="left"/>
              <w:rPr>
                <w:rFonts w:asciiTheme="minorHAnsi" w:hAnsiTheme="minorHAnsi"/>
                <w:bCs/>
                <w:color w:val="000000"/>
                <w:sz w:val="16"/>
                <w:szCs w:val="16"/>
              </w:rPr>
            </w:pPr>
          </w:p>
        </w:tc>
        <w:tc>
          <w:tcPr>
            <w:tcW w:w="984" w:type="dxa"/>
            <w:tcBorders>
              <w:top w:val="nil"/>
              <w:left w:val="single" w:sz="8" w:space="0" w:color="auto"/>
              <w:bottom w:val="single" w:sz="4" w:space="0" w:color="auto"/>
              <w:right w:val="single" w:sz="8" w:space="0" w:color="auto"/>
            </w:tcBorders>
            <w:shd w:val="clear" w:color="auto" w:fill="DAEEF3" w:themeFill="accent5" w:themeFillTint="33"/>
            <w:vAlign w:val="center"/>
          </w:tcPr>
          <w:p w14:paraId="7A479A74" w14:textId="77777777" w:rsidR="003868A2" w:rsidRPr="00AF3A24" w:rsidRDefault="003868A2" w:rsidP="00E32510">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17" w:type="dxa"/>
            <w:tcBorders>
              <w:top w:val="nil"/>
              <w:left w:val="single" w:sz="8" w:space="0" w:color="auto"/>
              <w:bottom w:val="single" w:sz="4" w:space="0" w:color="auto"/>
              <w:right w:val="nil"/>
            </w:tcBorders>
            <w:shd w:val="clear" w:color="auto" w:fill="DAEEF3" w:themeFill="accent5" w:themeFillTint="33"/>
            <w:vAlign w:val="center"/>
          </w:tcPr>
          <w:p w14:paraId="27FD4429"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161</w:t>
            </w:r>
          </w:p>
        </w:tc>
        <w:tc>
          <w:tcPr>
            <w:tcW w:w="1134" w:type="dxa"/>
            <w:tcBorders>
              <w:top w:val="nil"/>
              <w:left w:val="nil"/>
              <w:bottom w:val="single" w:sz="4" w:space="0" w:color="auto"/>
              <w:right w:val="single" w:sz="4" w:space="0" w:color="auto"/>
            </w:tcBorders>
            <w:shd w:val="clear" w:color="auto" w:fill="DAEEF3" w:themeFill="accent5" w:themeFillTint="33"/>
            <w:vAlign w:val="center"/>
          </w:tcPr>
          <w:p w14:paraId="3A2CA1A7"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w:t>
            </w:r>
            <w:r w:rsidRPr="00AF3A24">
              <w:rPr>
                <w:rFonts w:asciiTheme="minorHAnsi" w:hAnsiTheme="minorHAnsi"/>
                <w:bCs/>
                <w:color w:val="000000"/>
                <w:sz w:val="16"/>
                <w:szCs w:val="16"/>
              </w:rPr>
              <w:br/>
              <w:t>(8.1 - 11.5)</w:t>
            </w:r>
          </w:p>
        </w:tc>
        <w:tc>
          <w:tcPr>
            <w:tcW w:w="709" w:type="dxa"/>
            <w:tcBorders>
              <w:top w:val="nil"/>
              <w:left w:val="nil"/>
              <w:bottom w:val="single" w:sz="4" w:space="0" w:color="auto"/>
              <w:right w:val="nil"/>
            </w:tcBorders>
            <w:shd w:val="clear" w:color="auto" w:fill="DAEEF3" w:themeFill="accent5" w:themeFillTint="33"/>
            <w:vAlign w:val="center"/>
          </w:tcPr>
          <w:p w14:paraId="5D424574"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188</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526F5F69"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8.8</w:t>
            </w:r>
            <w:r w:rsidRPr="00AF3A24">
              <w:rPr>
                <w:rFonts w:asciiTheme="minorHAnsi" w:hAnsiTheme="minorHAnsi"/>
                <w:bCs/>
                <w:color w:val="000000"/>
                <w:sz w:val="16"/>
                <w:szCs w:val="16"/>
              </w:rPr>
              <w:br/>
              <w:t>(7.2 - 10.4)</w:t>
            </w:r>
          </w:p>
        </w:tc>
        <w:tc>
          <w:tcPr>
            <w:tcW w:w="709" w:type="dxa"/>
            <w:tcBorders>
              <w:top w:val="nil"/>
              <w:left w:val="nil"/>
              <w:bottom w:val="single" w:sz="4" w:space="0" w:color="auto"/>
              <w:right w:val="nil"/>
            </w:tcBorders>
            <w:shd w:val="clear" w:color="auto" w:fill="DAEEF3" w:themeFill="accent5" w:themeFillTint="33"/>
            <w:vAlign w:val="center"/>
          </w:tcPr>
          <w:p w14:paraId="15AC2B0B"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tc>
        <w:tc>
          <w:tcPr>
            <w:tcW w:w="1417" w:type="dxa"/>
            <w:tcBorders>
              <w:top w:val="nil"/>
              <w:left w:val="nil"/>
              <w:bottom w:val="single" w:sz="4" w:space="0" w:color="auto"/>
              <w:right w:val="single" w:sz="4" w:space="0" w:color="auto"/>
            </w:tcBorders>
            <w:shd w:val="clear" w:color="auto" w:fill="DAEEF3" w:themeFill="accent5" w:themeFillTint="33"/>
            <w:vAlign w:val="center"/>
          </w:tcPr>
          <w:p w14:paraId="08FC0E0E" w14:textId="77777777" w:rsidR="003868A2" w:rsidRPr="00AF3A24" w:rsidRDefault="003868A2" w:rsidP="00E32510">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r w:rsidRPr="00AF3A24">
              <w:rPr>
                <w:rFonts w:asciiTheme="minorHAnsi" w:hAnsiTheme="minorHAnsi"/>
                <w:bCs/>
                <w:color w:val="000000"/>
                <w:sz w:val="16"/>
                <w:szCs w:val="16"/>
              </w:rPr>
              <w:br/>
              <w:t>(3.1 - 5.4)</w:t>
            </w:r>
          </w:p>
        </w:tc>
      </w:tr>
    </w:tbl>
    <w:p w14:paraId="389A1964" w14:textId="77777777" w:rsidR="003868A2" w:rsidRPr="00AF3A24" w:rsidRDefault="003868A2" w:rsidP="003868A2">
      <w:pPr>
        <w:spacing w:before="0" w:after="200" w:line="276" w:lineRule="auto"/>
        <w:jc w:val="left"/>
        <w:rPr>
          <w:rFonts w:asciiTheme="minorHAnsi" w:hAnsiTheme="minorHAnsi" w:cstheme="minorHAnsi"/>
          <w:highlight w:val="yellow"/>
        </w:rPr>
      </w:pPr>
    </w:p>
    <w:p w14:paraId="0ACCD85D" w14:textId="77777777" w:rsidR="00764A4E" w:rsidRDefault="00764A4E">
      <w:pPr>
        <w:spacing w:before="0" w:after="200" w:line="276" w:lineRule="auto"/>
        <w:jc w:val="left"/>
        <w:rPr>
          <w:rFonts w:asciiTheme="minorHAnsi" w:hAnsiTheme="minorHAnsi" w:cstheme="minorHAnsi"/>
          <w:b/>
          <w:bCs/>
          <w:iCs/>
          <w:color w:val="1F497D"/>
        </w:rPr>
      </w:pPr>
    </w:p>
    <w:p w14:paraId="6F9522C0" w14:textId="77777777" w:rsidR="00764A4E" w:rsidRDefault="00764A4E">
      <w:pPr>
        <w:spacing w:before="0" w:after="200" w:line="276" w:lineRule="auto"/>
        <w:jc w:val="left"/>
        <w:rPr>
          <w:rFonts w:asciiTheme="minorHAnsi" w:hAnsiTheme="minorHAnsi" w:cstheme="minorHAnsi"/>
          <w:b/>
          <w:bCs/>
          <w:iCs/>
          <w:color w:val="1F497D"/>
        </w:rPr>
      </w:pPr>
      <w:r>
        <w:rPr>
          <w:rFonts w:asciiTheme="minorHAnsi" w:hAnsiTheme="minorHAnsi"/>
        </w:rPr>
        <w:br w:type="page"/>
      </w:r>
    </w:p>
    <w:p w14:paraId="47631E14" w14:textId="77777777" w:rsidR="00764A4E" w:rsidRPr="00FB0B7B" w:rsidRDefault="00764A4E" w:rsidP="008F7A58">
      <w:pPr>
        <w:pStyle w:val="FionasAppendixtitles"/>
        <w:ind w:left="1134"/>
      </w:pPr>
      <w:bookmarkStart w:id="289" w:name="_Ref399773938"/>
      <w:bookmarkStart w:id="290" w:name="_Toc403833216"/>
      <w:r w:rsidRPr="00FB0B7B">
        <w:lastRenderedPageBreak/>
        <w:t>Changes over time – comparison of 2002/03, 2006/07 and 2011/12 NZHS:  Prevalence of problem gambling</w:t>
      </w:r>
      <w:bookmarkEnd w:id="289"/>
      <w:bookmarkEnd w:id="290"/>
    </w:p>
    <w:p w14:paraId="4085C8B2" w14:textId="4CF06E1B" w:rsidR="00764A4E" w:rsidRPr="00AF3A24" w:rsidRDefault="00764A4E" w:rsidP="004A6BBC">
      <w:pPr>
        <w:pStyle w:val="Caption"/>
        <w:keepNext/>
        <w:tabs>
          <w:tab w:val="left" w:pos="993"/>
        </w:tabs>
        <w:spacing w:line="276" w:lineRule="auto"/>
        <w:ind w:left="993" w:hanging="993"/>
        <w:rPr>
          <w:rFonts w:asciiTheme="minorHAnsi" w:hAnsiTheme="minorHAnsi" w:cstheme="minorHAnsi"/>
          <w:i/>
        </w:rPr>
      </w:pPr>
      <w:bookmarkStart w:id="291" w:name="_Ref399773924"/>
      <w:bookmarkStart w:id="292" w:name="_Toc425426890"/>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23</w:t>
      </w:r>
      <w:r w:rsidRPr="00AF3A24">
        <w:rPr>
          <w:rFonts w:asciiTheme="minorHAnsi" w:hAnsiTheme="minorHAnsi"/>
          <w:i/>
        </w:rPr>
        <w:fldChar w:fldCharType="end"/>
      </w:r>
      <w:bookmarkEnd w:id="291"/>
      <w:r w:rsidRPr="00AF3A24">
        <w:rPr>
          <w:rFonts w:asciiTheme="minorHAnsi" w:hAnsiTheme="minorHAnsi"/>
          <w:i/>
        </w:rPr>
        <w:t>:</w:t>
      </w:r>
      <w:r>
        <w:rPr>
          <w:rFonts w:asciiTheme="minorHAnsi" w:hAnsiTheme="minorHAnsi" w:cstheme="minorHAnsi"/>
          <w:i/>
        </w:rPr>
        <w:t xml:space="preserve"> </w:t>
      </w:r>
      <w:r w:rsidR="004A6BBC">
        <w:rPr>
          <w:rFonts w:asciiTheme="minorHAnsi" w:hAnsiTheme="minorHAnsi" w:cstheme="minorHAnsi"/>
          <w:i/>
        </w:rPr>
        <w:tab/>
      </w:r>
      <w:r w:rsidRPr="00AF3A24">
        <w:rPr>
          <w:rFonts w:asciiTheme="minorHAnsi" w:hAnsiTheme="minorHAnsi" w:cstheme="minorHAnsi"/>
          <w:i/>
        </w:rPr>
        <w:t>Gambling Status (PGSI categorisation),</w:t>
      </w:r>
      <w:r>
        <w:rPr>
          <w:rFonts w:asciiTheme="minorHAnsi" w:hAnsiTheme="minorHAnsi" w:cstheme="minorHAnsi"/>
          <w:i/>
        </w:rPr>
        <w:t xml:space="preserve"> </w:t>
      </w:r>
      <w:r w:rsidRPr="00AF3A24">
        <w:rPr>
          <w:rFonts w:asciiTheme="minorHAnsi" w:hAnsiTheme="minorHAnsi" w:cstheme="minorHAnsi"/>
          <w:i/>
        </w:rPr>
        <w:t>by NZHS survey wave, total population aged 15 years and over</w:t>
      </w:r>
      <w:r w:rsidR="00310070">
        <w:rPr>
          <w:rFonts w:asciiTheme="minorHAnsi" w:hAnsiTheme="minorHAnsi" w:cstheme="minorHAnsi"/>
          <w:i/>
        </w:rPr>
        <w:t xml:space="preserve"> (adjusted prevalence</w:t>
      </w:r>
      <w:r w:rsidR="00AB25F0">
        <w:rPr>
          <w:rFonts w:asciiTheme="minorHAnsi" w:hAnsiTheme="minorHAnsi" w:cstheme="minorHAnsi"/>
          <w:i/>
        </w:rPr>
        <w:t>;</w:t>
      </w:r>
      <w:r w:rsidR="00AB25F0" w:rsidRPr="00AB25F0">
        <w:rPr>
          <w:rFonts w:asciiTheme="minorHAnsi" w:hAnsiTheme="minorHAnsi"/>
          <w:i/>
        </w:rPr>
        <w:t xml:space="preserve"> </w:t>
      </w:r>
      <w:r w:rsidR="00AB25F0">
        <w:rPr>
          <w:rFonts w:asciiTheme="minorHAnsi" w:hAnsiTheme="minorHAnsi"/>
          <w:i/>
        </w:rPr>
        <w:t>2002/03 NZHS N=12,529,</w:t>
      </w:r>
      <w:r w:rsidR="00AB25F0">
        <w:rPr>
          <w:rFonts w:asciiTheme="minorHAnsi" w:hAnsiTheme="minorHAnsi" w:cstheme="minorHAnsi"/>
          <w:i/>
        </w:rPr>
        <w:t xml:space="preserve"> </w:t>
      </w:r>
      <w:r w:rsidR="00AB25F0" w:rsidRPr="0072417E">
        <w:rPr>
          <w:rFonts w:asciiTheme="minorHAnsi" w:hAnsiTheme="minorHAnsi"/>
          <w:i/>
        </w:rPr>
        <w:t>2006/07 NZHS N=12,488, 2011/12 NZHS N=12,596</w:t>
      </w:r>
      <w:r w:rsidRPr="00AF3A24">
        <w:rPr>
          <w:rFonts w:asciiTheme="minorHAnsi" w:hAnsiTheme="minorHAnsi" w:cstheme="minorHAnsi"/>
          <w:i/>
        </w:rPr>
        <w:t xml:space="preserve">) </w:t>
      </w:r>
      <w:r w:rsidRPr="00AF3A24">
        <w:rPr>
          <w:rFonts w:asciiTheme="minorHAnsi" w:hAnsiTheme="minorHAnsi" w:cstheme="minorHAnsi"/>
          <w:i/>
          <w:vertAlign w:val="superscript"/>
        </w:rPr>
        <w:t>1</w:t>
      </w:r>
      <w:bookmarkEnd w:id="292"/>
    </w:p>
    <w:tbl>
      <w:tblPr>
        <w:tblStyle w:val="TableGrid"/>
        <w:tblW w:w="9247" w:type="dxa"/>
        <w:jc w:val="center"/>
        <w:tblLayout w:type="fixed"/>
        <w:tblLook w:val="04A0" w:firstRow="1" w:lastRow="0" w:firstColumn="1" w:lastColumn="0" w:noHBand="0" w:noVBand="1"/>
      </w:tblPr>
      <w:tblGrid>
        <w:gridCol w:w="2625"/>
        <w:gridCol w:w="720"/>
        <w:gridCol w:w="1080"/>
        <w:gridCol w:w="720"/>
        <w:gridCol w:w="1080"/>
        <w:gridCol w:w="720"/>
        <w:gridCol w:w="1080"/>
        <w:gridCol w:w="1222"/>
      </w:tblGrid>
      <w:tr w:rsidR="00764A4E" w:rsidRPr="00AF3A24" w14:paraId="66B4DFF8" w14:textId="77777777" w:rsidTr="00BB6784">
        <w:trPr>
          <w:trHeight w:val="386"/>
          <w:jc w:val="center"/>
        </w:trPr>
        <w:tc>
          <w:tcPr>
            <w:tcW w:w="2625" w:type="dxa"/>
            <w:vMerge w:val="restart"/>
            <w:shd w:val="clear" w:color="auto" w:fill="92CDDC" w:themeFill="accent5" w:themeFillTint="99"/>
            <w:vAlign w:val="center"/>
          </w:tcPr>
          <w:p w14:paraId="67712FED" w14:textId="77777777" w:rsidR="00764A4E" w:rsidRPr="00AF3A24" w:rsidRDefault="00764A4E" w:rsidP="00BB6784">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PGSI CATEGORISATION</w:t>
            </w:r>
          </w:p>
        </w:tc>
        <w:tc>
          <w:tcPr>
            <w:tcW w:w="5400" w:type="dxa"/>
            <w:gridSpan w:val="6"/>
            <w:tcBorders>
              <w:bottom w:val="single" w:sz="4" w:space="0" w:color="auto"/>
            </w:tcBorders>
            <w:shd w:val="clear" w:color="auto" w:fill="92CDDC" w:themeFill="accent5" w:themeFillTint="99"/>
            <w:vAlign w:val="center"/>
          </w:tcPr>
          <w:p w14:paraId="7C487A13"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NZHS SURVEY WAVE</w:t>
            </w:r>
          </w:p>
        </w:tc>
        <w:tc>
          <w:tcPr>
            <w:tcW w:w="1222" w:type="dxa"/>
            <w:vMerge w:val="restart"/>
            <w:shd w:val="clear" w:color="auto" w:fill="92CDDC" w:themeFill="accent5" w:themeFillTint="99"/>
            <w:vAlign w:val="center"/>
          </w:tcPr>
          <w:p w14:paraId="03802916"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2</w:t>
            </w:r>
          </w:p>
        </w:tc>
      </w:tr>
      <w:tr w:rsidR="00764A4E" w:rsidRPr="00AF3A24" w14:paraId="37BD36D2" w14:textId="77777777" w:rsidTr="00BB6784">
        <w:trPr>
          <w:trHeight w:val="386"/>
          <w:jc w:val="center"/>
        </w:trPr>
        <w:tc>
          <w:tcPr>
            <w:tcW w:w="2625" w:type="dxa"/>
            <w:vMerge/>
            <w:shd w:val="clear" w:color="auto" w:fill="92CDDC" w:themeFill="accent5" w:themeFillTint="99"/>
          </w:tcPr>
          <w:p w14:paraId="44012906" w14:textId="77777777" w:rsidR="00764A4E" w:rsidRPr="00AF3A24" w:rsidRDefault="00764A4E" w:rsidP="00BB6784">
            <w:pPr>
              <w:spacing w:before="0" w:line="240" w:lineRule="auto"/>
              <w:jc w:val="left"/>
              <w:rPr>
                <w:rFonts w:asciiTheme="minorHAnsi" w:hAnsiTheme="minorHAnsi" w:cstheme="minorHAnsi"/>
                <w:b/>
                <w:sz w:val="18"/>
                <w:szCs w:val="18"/>
              </w:rPr>
            </w:pPr>
          </w:p>
        </w:tc>
        <w:tc>
          <w:tcPr>
            <w:tcW w:w="1800" w:type="dxa"/>
            <w:gridSpan w:val="2"/>
            <w:tcBorders>
              <w:bottom w:val="single" w:sz="4" w:space="0" w:color="auto"/>
            </w:tcBorders>
            <w:shd w:val="clear" w:color="auto" w:fill="92CDDC" w:themeFill="accent5" w:themeFillTint="99"/>
            <w:vAlign w:val="center"/>
          </w:tcPr>
          <w:p w14:paraId="7B8FB5A6"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2002/03</w:t>
            </w:r>
          </w:p>
          <w:p w14:paraId="5338A5C7"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(N=12,529)</w:t>
            </w:r>
          </w:p>
        </w:tc>
        <w:tc>
          <w:tcPr>
            <w:tcW w:w="1800" w:type="dxa"/>
            <w:gridSpan w:val="2"/>
            <w:tcBorders>
              <w:bottom w:val="single" w:sz="4" w:space="0" w:color="auto"/>
            </w:tcBorders>
            <w:shd w:val="clear" w:color="auto" w:fill="92CDDC" w:themeFill="accent5" w:themeFillTint="99"/>
            <w:vAlign w:val="center"/>
          </w:tcPr>
          <w:p w14:paraId="3F3CA287"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2006/07</w:t>
            </w:r>
          </w:p>
          <w:p w14:paraId="1433E9B7"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(N=12,488)</w:t>
            </w:r>
          </w:p>
        </w:tc>
        <w:tc>
          <w:tcPr>
            <w:tcW w:w="1800" w:type="dxa"/>
            <w:gridSpan w:val="2"/>
            <w:tcBorders>
              <w:bottom w:val="single" w:sz="4" w:space="0" w:color="auto"/>
            </w:tcBorders>
            <w:shd w:val="clear" w:color="auto" w:fill="92CDDC" w:themeFill="accent5" w:themeFillTint="99"/>
            <w:vAlign w:val="center"/>
          </w:tcPr>
          <w:p w14:paraId="2699CEB3"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2011/12</w:t>
            </w:r>
          </w:p>
          <w:p w14:paraId="759B6BDC"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(N=12,596)</w:t>
            </w:r>
          </w:p>
        </w:tc>
        <w:tc>
          <w:tcPr>
            <w:tcW w:w="1222" w:type="dxa"/>
            <w:vMerge/>
            <w:shd w:val="clear" w:color="auto" w:fill="92CDDC" w:themeFill="accent5" w:themeFillTint="99"/>
            <w:vAlign w:val="center"/>
          </w:tcPr>
          <w:p w14:paraId="6685D805" w14:textId="77777777" w:rsidR="00764A4E" w:rsidRPr="00AF3A24" w:rsidRDefault="00764A4E" w:rsidP="00BB6784">
            <w:pPr>
              <w:spacing w:before="0" w:line="240" w:lineRule="auto"/>
              <w:jc w:val="center"/>
              <w:rPr>
                <w:rFonts w:asciiTheme="minorHAnsi" w:hAnsiTheme="minorHAnsi" w:cstheme="minorHAnsi"/>
                <w:b/>
                <w:sz w:val="18"/>
                <w:szCs w:val="18"/>
              </w:rPr>
            </w:pPr>
          </w:p>
        </w:tc>
      </w:tr>
      <w:tr w:rsidR="00764A4E" w:rsidRPr="00AF3A24" w14:paraId="26D28123" w14:textId="77777777" w:rsidTr="00BB6784">
        <w:trPr>
          <w:trHeight w:val="386"/>
          <w:jc w:val="center"/>
        </w:trPr>
        <w:tc>
          <w:tcPr>
            <w:tcW w:w="2625" w:type="dxa"/>
            <w:vMerge/>
            <w:tcBorders>
              <w:bottom w:val="single" w:sz="4" w:space="0" w:color="auto"/>
            </w:tcBorders>
            <w:shd w:val="clear" w:color="auto" w:fill="92CDDC" w:themeFill="accent5" w:themeFillTint="99"/>
          </w:tcPr>
          <w:p w14:paraId="70ECEB8E" w14:textId="77777777" w:rsidR="00764A4E" w:rsidRPr="00AF3A24" w:rsidRDefault="00764A4E" w:rsidP="00BB6784">
            <w:pPr>
              <w:spacing w:before="0" w:line="240" w:lineRule="auto"/>
              <w:jc w:val="left"/>
              <w:rPr>
                <w:rFonts w:asciiTheme="minorHAnsi" w:hAnsiTheme="minorHAnsi" w:cstheme="minorHAnsi"/>
                <w:b/>
                <w:sz w:val="18"/>
                <w:szCs w:val="18"/>
              </w:rPr>
            </w:pPr>
          </w:p>
        </w:tc>
        <w:tc>
          <w:tcPr>
            <w:tcW w:w="720" w:type="dxa"/>
            <w:tcBorders>
              <w:bottom w:val="single" w:sz="4" w:space="0" w:color="auto"/>
            </w:tcBorders>
            <w:shd w:val="clear" w:color="auto" w:fill="92CDDC" w:themeFill="accent5" w:themeFillTint="99"/>
            <w:vAlign w:val="center"/>
          </w:tcPr>
          <w:p w14:paraId="4C159B8C"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73FD3887"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46E77BF"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2CF4B906" w14:textId="77777777" w:rsidR="00764A4E" w:rsidRPr="00AF3A24" w:rsidRDefault="00764A4E" w:rsidP="00BB6784">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436ADE77" w14:textId="77777777" w:rsidR="00764A4E" w:rsidRPr="00B64C53" w:rsidRDefault="00764A4E" w:rsidP="00BB6784">
            <w:pPr>
              <w:spacing w:before="0" w:line="240" w:lineRule="auto"/>
              <w:jc w:val="center"/>
              <w:rPr>
                <w:rFonts w:asciiTheme="minorHAnsi" w:hAnsiTheme="minorHAnsi" w:cstheme="minorHAnsi"/>
                <w:b/>
                <w:sz w:val="18"/>
                <w:szCs w:val="18"/>
              </w:rPr>
            </w:pPr>
            <w:r w:rsidRPr="00B64C53">
              <w:rPr>
                <w:rFonts w:asciiTheme="minorHAnsi" w:hAnsiTheme="minorHAnsi" w:cstheme="minorHAnsi"/>
                <w:b/>
                <w:sz w:val="18"/>
                <w:szCs w:val="18"/>
              </w:rPr>
              <w:t>%</w:t>
            </w:r>
          </w:p>
          <w:p w14:paraId="75E5596A" w14:textId="77777777" w:rsidR="00764A4E" w:rsidRPr="00B64C53" w:rsidRDefault="00764A4E" w:rsidP="00BB6784">
            <w:pPr>
              <w:spacing w:before="0" w:line="240" w:lineRule="auto"/>
              <w:jc w:val="center"/>
              <w:rPr>
                <w:rFonts w:asciiTheme="minorHAnsi" w:hAnsiTheme="minorHAnsi" w:cstheme="minorHAnsi"/>
                <w:b/>
                <w:sz w:val="18"/>
                <w:szCs w:val="18"/>
              </w:rPr>
            </w:pPr>
            <w:r w:rsidRPr="00B64C53">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7AA41DB5" w14:textId="77777777" w:rsidR="00764A4E" w:rsidRPr="00B64C53" w:rsidRDefault="00764A4E" w:rsidP="00BB6784">
            <w:pPr>
              <w:spacing w:before="0" w:line="240" w:lineRule="auto"/>
              <w:jc w:val="center"/>
              <w:rPr>
                <w:rFonts w:asciiTheme="minorHAnsi" w:hAnsiTheme="minorHAnsi" w:cstheme="minorHAnsi"/>
                <w:b/>
                <w:sz w:val="18"/>
                <w:szCs w:val="18"/>
              </w:rPr>
            </w:pPr>
            <w:r w:rsidRPr="00B64C53">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05149FAB" w14:textId="77777777" w:rsidR="00764A4E" w:rsidRPr="00B64C53" w:rsidRDefault="00764A4E" w:rsidP="00BB6784">
            <w:pPr>
              <w:spacing w:before="0" w:line="240" w:lineRule="auto"/>
              <w:jc w:val="center"/>
              <w:rPr>
                <w:rFonts w:asciiTheme="minorHAnsi" w:hAnsiTheme="minorHAnsi" w:cstheme="minorHAnsi"/>
                <w:b/>
                <w:sz w:val="18"/>
                <w:szCs w:val="18"/>
              </w:rPr>
            </w:pPr>
            <w:r w:rsidRPr="00B64C53">
              <w:rPr>
                <w:rFonts w:asciiTheme="minorHAnsi" w:hAnsiTheme="minorHAnsi" w:cstheme="minorHAnsi"/>
                <w:b/>
                <w:sz w:val="18"/>
                <w:szCs w:val="18"/>
              </w:rPr>
              <w:t>%</w:t>
            </w:r>
          </w:p>
          <w:p w14:paraId="033E20CB" w14:textId="77777777" w:rsidR="00764A4E" w:rsidRPr="00B64C53" w:rsidRDefault="00764A4E" w:rsidP="00BB6784">
            <w:pPr>
              <w:spacing w:before="0" w:line="240" w:lineRule="auto"/>
              <w:jc w:val="center"/>
              <w:rPr>
                <w:rFonts w:asciiTheme="minorHAnsi" w:hAnsiTheme="minorHAnsi" w:cstheme="minorHAnsi"/>
                <w:b/>
                <w:sz w:val="18"/>
                <w:szCs w:val="18"/>
              </w:rPr>
            </w:pPr>
            <w:r w:rsidRPr="00B64C53">
              <w:rPr>
                <w:rFonts w:asciiTheme="minorHAnsi" w:hAnsiTheme="minorHAnsi" w:cstheme="minorHAnsi"/>
                <w:b/>
                <w:sz w:val="18"/>
                <w:szCs w:val="18"/>
              </w:rPr>
              <w:t>(95% CI)</w:t>
            </w:r>
          </w:p>
        </w:tc>
        <w:tc>
          <w:tcPr>
            <w:tcW w:w="1222" w:type="dxa"/>
            <w:vMerge/>
            <w:tcBorders>
              <w:bottom w:val="single" w:sz="4" w:space="0" w:color="auto"/>
            </w:tcBorders>
            <w:shd w:val="clear" w:color="auto" w:fill="92CDDC" w:themeFill="accent5" w:themeFillTint="99"/>
          </w:tcPr>
          <w:p w14:paraId="017CABAB" w14:textId="77777777" w:rsidR="00764A4E" w:rsidRPr="00AF3A24" w:rsidRDefault="00764A4E" w:rsidP="00BB6784">
            <w:pPr>
              <w:spacing w:before="0" w:line="240" w:lineRule="auto"/>
              <w:jc w:val="center"/>
              <w:rPr>
                <w:rFonts w:asciiTheme="minorHAnsi" w:hAnsiTheme="minorHAnsi" w:cstheme="minorHAnsi"/>
                <w:b/>
                <w:sz w:val="18"/>
                <w:szCs w:val="18"/>
              </w:rPr>
            </w:pPr>
          </w:p>
        </w:tc>
      </w:tr>
      <w:tr w:rsidR="00764A4E" w:rsidRPr="00AF3A24" w14:paraId="5127C149" w14:textId="77777777" w:rsidTr="00BB6784">
        <w:trPr>
          <w:jc w:val="center"/>
        </w:trPr>
        <w:tc>
          <w:tcPr>
            <w:tcW w:w="2625" w:type="dxa"/>
            <w:tcBorders>
              <w:top w:val="single" w:sz="4" w:space="0" w:color="auto"/>
              <w:bottom w:val="nil"/>
            </w:tcBorders>
            <w:shd w:val="clear" w:color="auto" w:fill="DAEEF3" w:themeFill="accent5" w:themeFillTint="33"/>
            <w:vAlign w:val="center"/>
          </w:tcPr>
          <w:p w14:paraId="74B0E729" w14:textId="77777777" w:rsidR="00764A4E" w:rsidRPr="00AF3A24" w:rsidRDefault="00764A4E" w:rsidP="00BB678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Non-gambler</w:t>
            </w:r>
          </w:p>
        </w:tc>
        <w:tc>
          <w:tcPr>
            <w:tcW w:w="1800" w:type="dxa"/>
            <w:gridSpan w:val="2"/>
            <w:tcBorders>
              <w:top w:val="single" w:sz="4" w:space="0" w:color="auto"/>
              <w:bottom w:val="nil"/>
              <w:right w:val="single" w:sz="4" w:space="0" w:color="auto"/>
            </w:tcBorders>
            <w:shd w:val="clear" w:color="auto" w:fill="DAEEF3" w:themeFill="accent5" w:themeFillTint="33"/>
          </w:tcPr>
          <w:p w14:paraId="41A0F995"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single" w:sz="4" w:space="0" w:color="auto"/>
              <w:left w:val="nil"/>
              <w:bottom w:val="nil"/>
              <w:right w:val="nil"/>
            </w:tcBorders>
            <w:shd w:val="clear" w:color="auto" w:fill="DAEEF3" w:themeFill="accent5" w:themeFillTint="33"/>
            <w:vAlign w:val="center"/>
          </w:tcPr>
          <w:p w14:paraId="579397BA"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4,264</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5430A92A"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39.7</w:t>
            </w:r>
          </w:p>
          <w:p w14:paraId="69D68DFE"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(38.1 - 41.4)</w:t>
            </w:r>
          </w:p>
        </w:tc>
        <w:tc>
          <w:tcPr>
            <w:tcW w:w="720" w:type="dxa"/>
            <w:tcBorders>
              <w:top w:val="single" w:sz="4" w:space="0" w:color="auto"/>
              <w:left w:val="nil"/>
              <w:bottom w:val="nil"/>
              <w:right w:val="nil"/>
            </w:tcBorders>
            <w:shd w:val="clear" w:color="auto" w:fill="DAEEF3" w:themeFill="accent5" w:themeFillTint="33"/>
            <w:vAlign w:val="center"/>
          </w:tcPr>
          <w:p w14:paraId="67122C07"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6,047</w:t>
            </w:r>
          </w:p>
        </w:tc>
        <w:tc>
          <w:tcPr>
            <w:tcW w:w="1080" w:type="dxa"/>
            <w:tcBorders>
              <w:top w:val="single" w:sz="4" w:space="0" w:color="auto"/>
              <w:left w:val="nil"/>
              <w:bottom w:val="nil"/>
              <w:right w:val="single" w:sz="4" w:space="0" w:color="auto"/>
            </w:tcBorders>
            <w:shd w:val="clear" w:color="auto" w:fill="DAEEF3" w:themeFill="accent5" w:themeFillTint="33"/>
            <w:vAlign w:val="center"/>
          </w:tcPr>
          <w:p w14:paraId="3F2FF1D1"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54.3</w:t>
            </w:r>
          </w:p>
          <w:p w14:paraId="2D5CC0A2"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(52.7 - 55.8)</w:t>
            </w:r>
          </w:p>
        </w:tc>
        <w:tc>
          <w:tcPr>
            <w:tcW w:w="1222" w:type="dxa"/>
            <w:vMerge w:val="restart"/>
            <w:tcBorders>
              <w:top w:val="single" w:sz="4" w:space="0" w:color="auto"/>
              <w:left w:val="nil"/>
              <w:right w:val="single" w:sz="4" w:space="0" w:color="auto"/>
            </w:tcBorders>
            <w:shd w:val="clear" w:color="auto" w:fill="DAEEF3" w:themeFill="accent5" w:themeFillTint="33"/>
            <w:vAlign w:val="center"/>
          </w:tcPr>
          <w:p w14:paraId="5A56DB4B" w14:textId="77777777" w:rsidR="00764A4E" w:rsidRPr="00AF3A24" w:rsidRDefault="00764A4E" w:rsidP="00BB6784">
            <w:pPr>
              <w:spacing w:before="0" w:line="240" w:lineRule="auto"/>
              <w:jc w:val="center"/>
              <w:rPr>
                <w:rFonts w:asciiTheme="minorHAnsi" w:hAnsiTheme="minorHAnsi"/>
                <w:b/>
                <w:bCs/>
                <w:color w:val="000000"/>
                <w:sz w:val="16"/>
                <w:szCs w:val="16"/>
              </w:rPr>
            </w:pPr>
            <w:r w:rsidRPr="00AF3A24">
              <w:rPr>
                <w:rFonts w:asciiTheme="minorHAnsi" w:hAnsiTheme="minorHAnsi"/>
                <w:bCs/>
                <w:color w:val="000000"/>
                <w:sz w:val="16"/>
                <w:szCs w:val="16"/>
              </w:rPr>
              <w:t>&lt;0.0001</w:t>
            </w:r>
          </w:p>
        </w:tc>
      </w:tr>
      <w:tr w:rsidR="00764A4E" w:rsidRPr="00AF3A24" w14:paraId="463906E7" w14:textId="77777777" w:rsidTr="00BB6784">
        <w:trPr>
          <w:jc w:val="center"/>
        </w:trPr>
        <w:tc>
          <w:tcPr>
            <w:tcW w:w="2625" w:type="dxa"/>
            <w:tcBorders>
              <w:top w:val="nil"/>
              <w:bottom w:val="nil"/>
            </w:tcBorders>
            <w:shd w:val="clear" w:color="auto" w:fill="DAEEF3" w:themeFill="accent5" w:themeFillTint="33"/>
            <w:vAlign w:val="center"/>
          </w:tcPr>
          <w:p w14:paraId="7D2EDCB7" w14:textId="77777777" w:rsidR="00764A4E" w:rsidRPr="00AF3A24" w:rsidRDefault="00764A4E" w:rsidP="00BB678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Non-problem / Recreational</w:t>
            </w:r>
          </w:p>
        </w:tc>
        <w:tc>
          <w:tcPr>
            <w:tcW w:w="1800" w:type="dxa"/>
            <w:gridSpan w:val="2"/>
            <w:tcBorders>
              <w:top w:val="nil"/>
              <w:bottom w:val="nil"/>
              <w:right w:val="single" w:sz="4" w:space="0" w:color="auto"/>
            </w:tcBorders>
            <w:shd w:val="clear" w:color="auto" w:fill="DAEEF3" w:themeFill="accent5" w:themeFillTint="33"/>
          </w:tcPr>
          <w:p w14:paraId="09D65876"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7F0C63A1"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7,397</w:t>
            </w:r>
          </w:p>
        </w:tc>
        <w:tc>
          <w:tcPr>
            <w:tcW w:w="1080" w:type="dxa"/>
            <w:tcBorders>
              <w:top w:val="nil"/>
              <w:left w:val="nil"/>
              <w:bottom w:val="nil"/>
              <w:right w:val="single" w:sz="4" w:space="0" w:color="auto"/>
            </w:tcBorders>
            <w:shd w:val="clear" w:color="auto" w:fill="DAEEF3" w:themeFill="accent5" w:themeFillTint="33"/>
            <w:vAlign w:val="center"/>
          </w:tcPr>
          <w:p w14:paraId="1957239B"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54.7</w:t>
            </w:r>
          </w:p>
          <w:p w14:paraId="3EFDBE8F"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(53.0 - 56.3)</w:t>
            </w:r>
          </w:p>
        </w:tc>
        <w:tc>
          <w:tcPr>
            <w:tcW w:w="720" w:type="dxa"/>
            <w:tcBorders>
              <w:top w:val="nil"/>
              <w:left w:val="nil"/>
              <w:bottom w:val="nil"/>
              <w:right w:val="nil"/>
            </w:tcBorders>
            <w:shd w:val="clear" w:color="auto" w:fill="DAEEF3" w:themeFill="accent5" w:themeFillTint="33"/>
            <w:vAlign w:val="center"/>
          </w:tcPr>
          <w:p w14:paraId="27845835"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6,092</w:t>
            </w:r>
          </w:p>
        </w:tc>
        <w:tc>
          <w:tcPr>
            <w:tcW w:w="1080" w:type="dxa"/>
            <w:tcBorders>
              <w:top w:val="nil"/>
              <w:left w:val="nil"/>
              <w:bottom w:val="nil"/>
              <w:right w:val="single" w:sz="4" w:space="0" w:color="auto"/>
            </w:tcBorders>
            <w:shd w:val="clear" w:color="auto" w:fill="DAEEF3" w:themeFill="accent5" w:themeFillTint="33"/>
            <w:vAlign w:val="center"/>
          </w:tcPr>
          <w:p w14:paraId="1B389E15"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42.3</w:t>
            </w:r>
          </w:p>
          <w:p w14:paraId="66154147"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(40.8 - 43.9)</w:t>
            </w:r>
          </w:p>
        </w:tc>
        <w:tc>
          <w:tcPr>
            <w:tcW w:w="1222" w:type="dxa"/>
            <w:vMerge/>
            <w:tcBorders>
              <w:left w:val="nil"/>
              <w:right w:val="single" w:sz="4" w:space="0" w:color="auto"/>
            </w:tcBorders>
            <w:shd w:val="clear" w:color="auto" w:fill="DAEEF3" w:themeFill="accent5" w:themeFillTint="33"/>
            <w:vAlign w:val="center"/>
          </w:tcPr>
          <w:p w14:paraId="58761CBB" w14:textId="77777777" w:rsidR="00764A4E" w:rsidRPr="00AF3A24" w:rsidRDefault="00764A4E" w:rsidP="00BB6784">
            <w:pPr>
              <w:spacing w:before="0" w:line="240" w:lineRule="auto"/>
              <w:jc w:val="center"/>
              <w:rPr>
                <w:rFonts w:asciiTheme="minorHAnsi" w:hAnsiTheme="minorHAnsi"/>
                <w:b/>
                <w:bCs/>
                <w:color w:val="000000"/>
                <w:sz w:val="16"/>
                <w:szCs w:val="16"/>
              </w:rPr>
            </w:pPr>
          </w:p>
        </w:tc>
      </w:tr>
      <w:tr w:rsidR="00764A4E" w:rsidRPr="00AF3A24" w14:paraId="7488FD75" w14:textId="77777777" w:rsidTr="00BB6784">
        <w:trPr>
          <w:jc w:val="center"/>
        </w:trPr>
        <w:tc>
          <w:tcPr>
            <w:tcW w:w="2625" w:type="dxa"/>
            <w:tcBorders>
              <w:top w:val="nil"/>
              <w:bottom w:val="nil"/>
            </w:tcBorders>
            <w:shd w:val="clear" w:color="auto" w:fill="DAEEF3" w:themeFill="accent5" w:themeFillTint="33"/>
            <w:vAlign w:val="center"/>
          </w:tcPr>
          <w:p w14:paraId="14CAA503" w14:textId="77777777" w:rsidR="00764A4E" w:rsidRPr="00AF3A24" w:rsidRDefault="00764A4E" w:rsidP="00BB678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Low-risk</w:t>
            </w:r>
          </w:p>
        </w:tc>
        <w:tc>
          <w:tcPr>
            <w:tcW w:w="1800" w:type="dxa"/>
            <w:gridSpan w:val="2"/>
            <w:tcBorders>
              <w:top w:val="nil"/>
              <w:bottom w:val="nil"/>
              <w:right w:val="single" w:sz="4" w:space="0" w:color="auto"/>
            </w:tcBorders>
            <w:shd w:val="clear" w:color="auto" w:fill="DAEEF3" w:themeFill="accent5" w:themeFillTint="33"/>
          </w:tcPr>
          <w:p w14:paraId="3D291671"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6C4EC949"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502</w:t>
            </w:r>
          </w:p>
        </w:tc>
        <w:tc>
          <w:tcPr>
            <w:tcW w:w="1080" w:type="dxa"/>
            <w:tcBorders>
              <w:top w:val="nil"/>
              <w:left w:val="nil"/>
              <w:bottom w:val="nil"/>
              <w:right w:val="single" w:sz="4" w:space="0" w:color="auto"/>
            </w:tcBorders>
            <w:shd w:val="clear" w:color="auto" w:fill="DAEEF3" w:themeFill="accent5" w:themeFillTint="33"/>
            <w:vAlign w:val="center"/>
          </w:tcPr>
          <w:p w14:paraId="258CE65D"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p>
          <w:p w14:paraId="296E468B"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(3.2 - 4.3)</w:t>
            </w:r>
          </w:p>
        </w:tc>
        <w:tc>
          <w:tcPr>
            <w:tcW w:w="720" w:type="dxa"/>
            <w:tcBorders>
              <w:top w:val="nil"/>
              <w:left w:val="nil"/>
              <w:bottom w:val="nil"/>
              <w:right w:val="nil"/>
            </w:tcBorders>
            <w:shd w:val="clear" w:color="auto" w:fill="DAEEF3" w:themeFill="accent5" w:themeFillTint="33"/>
            <w:vAlign w:val="center"/>
          </w:tcPr>
          <w:p w14:paraId="06950449"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w:t>
            </w:r>
          </w:p>
        </w:tc>
        <w:tc>
          <w:tcPr>
            <w:tcW w:w="1080" w:type="dxa"/>
            <w:tcBorders>
              <w:top w:val="nil"/>
              <w:left w:val="nil"/>
              <w:bottom w:val="nil"/>
              <w:right w:val="single" w:sz="4" w:space="0" w:color="auto"/>
            </w:tcBorders>
            <w:shd w:val="clear" w:color="auto" w:fill="DAEEF3" w:themeFill="accent5" w:themeFillTint="33"/>
            <w:vAlign w:val="center"/>
          </w:tcPr>
          <w:p w14:paraId="1DD22A6E"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p>
          <w:p w14:paraId="22B2837F"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(1.6 - 2.6)</w:t>
            </w:r>
          </w:p>
        </w:tc>
        <w:tc>
          <w:tcPr>
            <w:tcW w:w="1222" w:type="dxa"/>
            <w:vMerge/>
            <w:tcBorders>
              <w:left w:val="nil"/>
              <w:right w:val="single" w:sz="4" w:space="0" w:color="auto"/>
            </w:tcBorders>
            <w:shd w:val="clear" w:color="auto" w:fill="DAEEF3" w:themeFill="accent5" w:themeFillTint="33"/>
            <w:vAlign w:val="center"/>
          </w:tcPr>
          <w:p w14:paraId="356B6831" w14:textId="77777777" w:rsidR="00764A4E" w:rsidRPr="00AF3A24" w:rsidRDefault="00764A4E" w:rsidP="00BB6784">
            <w:pPr>
              <w:spacing w:before="0" w:line="240" w:lineRule="auto"/>
              <w:jc w:val="center"/>
              <w:rPr>
                <w:rFonts w:asciiTheme="minorHAnsi" w:hAnsiTheme="minorHAnsi"/>
                <w:b/>
                <w:bCs/>
                <w:color w:val="000000"/>
                <w:sz w:val="16"/>
                <w:szCs w:val="16"/>
              </w:rPr>
            </w:pPr>
          </w:p>
        </w:tc>
      </w:tr>
      <w:tr w:rsidR="00764A4E" w:rsidRPr="00AF3A24" w14:paraId="0AC007AE" w14:textId="77777777" w:rsidTr="00BB6784">
        <w:trPr>
          <w:jc w:val="center"/>
        </w:trPr>
        <w:tc>
          <w:tcPr>
            <w:tcW w:w="2625" w:type="dxa"/>
            <w:tcBorders>
              <w:top w:val="nil"/>
              <w:bottom w:val="nil"/>
            </w:tcBorders>
            <w:shd w:val="clear" w:color="auto" w:fill="DAEEF3" w:themeFill="accent5" w:themeFillTint="33"/>
            <w:vAlign w:val="center"/>
          </w:tcPr>
          <w:p w14:paraId="467073A7" w14:textId="77777777" w:rsidR="00764A4E" w:rsidRPr="00AF3A24" w:rsidRDefault="00764A4E" w:rsidP="00BB678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Moderate-risk</w:t>
            </w:r>
          </w:p>
        </w:tc>
        <w:tc>
          <w:tcPr>
            <w:tcW w:w="1800" w:type="dxa"/>
            <w:gridSpan w:val="2"/>
            <w:tcBorders>
              <w:top w:val="nil"/>
              <w:bottom w:val="nil"/>
              <w:right w:val="single" w:sz="4" w:space="0" w:color="auto"/>
            </w:tcBorders>
            <w:shd w:val="clear" w:color="auto" w:fill="DAEEF3" w:themeFill="accent5" w:themeFillTint="33"/>
          </w:tcPr>
          <w:p w14:paraId="6311BB23"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3A451604"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238</w:t>
            </w:r>
          </w:p>
        </w:tc>
        <w:tc>
          <w:tcPr>
            <w:tcW w:w="1080" w:type="dxa"/>
            <w:tcBorders>
              <w:top w:val="nil"/>
              <w:left w:val="nil"/>
              <w:bottom w:val="nil"/>
              <w:right w:val="single" w:sz="4" w:space="0" w:color="auto"/>
            </w:tcBorders>
            <w:shd w:val="clear" w:color="auto" w:fill="DAEEF3" w:themeFill="accent5" w:themeFillTint="33"/>
            <w:vAlign w:val="center"/>
          </w:tcPr>
          <w:p w14:paraId="076A6B4D"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1.4</w:t>
            </w:r>
          </w:p>
          <w:p w14:paraId="18A32644"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(1.0 - 1.8)</w:t>
            </w:r>
          </w:p>
        </w:tc>
        <w:tc>
          <w:tcPr>
            <w:tcW w:w="720" w:type="dxa"/>
            <w:tcBorders>
              <w:top w:val="nil"/>
              <w:left w:val="nil"/>
              <w:bottom w:val="nil"/>
              <w:right w:val="nil"/>
            </w:tcBorders>
            <w:shd w:val="clear" w:color="auto" w:fill="DAEEF3" w:themeFill="accent5" w:themeFillTint="33"/>
            <w:vAlign w:val="center"/>
          </w:tcPr>
          <w:p w14:paraId="45FFC882"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144</w:t>
            </w:r>
          </w:p>
        </w:tc>
        <w:tc>
          <w:tcPr>
            <w:tcW w:w="1080" w:type="dxa"/>
            <w:tcBorders>
              <w:top w:val="nil"/>
              <w:left w:val="nil"/>
              <w:bottom w:val="nil"/>
              <w:right w:val="single" w:sz="4" w:space="0" w:color="auto"/>
            </w:tcBorders>
            <w:shd w:val="clear" w:color="auto" w:fill="DAEEF3" w:themeFill="accent5" w:themeFillTint="33"/>
            <w:vAlign w:val="center"/>
          </w:tcPr>
          <w:p w14:paraId="00BBF9D9"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1.0</w:t>
            </w:r>
          </w:p>
          <w:p w14:paraId="466CAC69"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(0.8 - 1.3)</w:t>
            </w:r>
          </w:p>
        </w:tc>
        <w:tc>
          <w:tcPr>
            <w:tcW w:w="1222" w:type="dxa"/>
            <w:vMerge/>
            <w:tcBorders>
              <w:left w:val="nil"/>
              <w:right w:val="single" w:sz="4" w:space="0" w:color="auto"/>
            </w:tcBorders>
            <w:shd w:val="clear" w:color="auto" w:fill="DAEEF3" w:themeFill="accent5" w:themeFillTint="33"/>
            <w:vAlign w:val="center"/>
          </w:tcPr>
          <w:p w14:paraId="521F02EC" w14:textId="77777777" w:rsidR="00764A4E" w:rsidRPr="00AF3A24" w:rsidRDefault="00764A4E" w:rsidP="00BB6784">
            <w:pPr>
              <w:spacing w:before="0" w:line="240" w:lineRule="auto"/>
              <w:jc w:val="center"/>
              <w:rPr>
                <w:rFonts w:asciiTheme="minorHAnsi" w:hAnsiTheme="minorHAnsi"/>
                <w:b/>
                <w:bCs/>
                <w:color w:val="000000"/>
                <w:sz w:val="16"/>
                <w:szCs w:val="16"/>
              </w:rPr>
            </w:pPr>
          </w:p>
        </w:tc>
      </w:tr>
      <w:tr w:rsidR="00764A4E" w:rsidRPr="00AF3A24" w14:paraId="281F79F2" w14:textId="77777777" w:rsidTr="00BB6784">
        <w:trPr>
          <w:jc w:val="center"/>
        </w:trPr>
        <w:tc>
          <w:tcPr>
            <w:tcW w:w="2625" w:type="dxa"/>
            <w:tcBorders>
              <w:top w:val="nil"/>
              <w:bottom w:val="dashed" w:sz="4" w:space="0" w:color="auto"/>
            </w:tcBorders>
            <w:shd w:val="clear" w:color="auto" w:fill="DAEEF3" w:themeFill="accent5" w:themeFillTint="33"/>
            <w:vAlign w:val="center"/>
          </w:tcPr>
          <w:p w14:paraId="03F35FED" w14:textId="77777777" w:rsidR="00764A4E" w:rsidRPr="00AF3A24" w:rsidRDefault="00764A4E" w:rsidP="00BB6784">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Problem</w:t>
            </w:r>
          </w:p>
        </w:tc>
        <w:tc>
          <w:tcPr>
            <w:tcW w:w="1800" w:type="dxa"/>
            <w:gridSpan w:val="2"/>
            <w:tcBorders>
              <w:top w:val="nil"/>
              <w:bottom w:val="dashed" w:sz="4" w:space="0" w:color="auto"/>
              <w:right w:val="single" w:sz="4" w:space="0" w:color="auto"/>
            </w:tcBorders>
            <w:shd w:val="clear" w:color="auto" w:fill="DAEEF3" w:themeFill="accent5" w:themeFillTint="33"/>
          </w:tcPr>
          <w:p w14:paraId="2AB3C60A"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nil"/>
              <w:left w:val="nil"/>
              <w:bottom w:val="dashed" w:sz="4" w:space="0" w:color="auto"/>
              <w:right w:val="nil"/>
            </w:tcBorders>
            <w:shd w:val="clear" w:color="auto" w:fill="DAEEF3" w:themeFill="accent5" w:themeFillTint="33"/>
            <w:vAlign w:val="center"/>
          </w:tcPr>
          <w:p w14:paraId="4DC13749"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85</w:t>
            </w:r>
          </w:p>
        </w:tc>
        <w:tc>
          <w:tcPr>
            <w:tcW w:w="1080" w:type="dxa"/>
            <w:tcBorders>
              <w:top w:val="nil"/>
              <w:left w:val="nil"/>
              <w:bottom w:val="dashed" w:sz="4" w:space="0" w:color="auto"/>
              <w:right w:val="single" w:sz="4" w:space="0" w:color="auto"/>
            </w:tcBorders>
            <w:shd w:val="clear" w:color="auto" w:fill="DAEEF3" w:themeFill="accent5" w:themeFillTint="33"/>
            <w:vAlign w:val="center"/>
          </w:tcPr>
          <w:p w14:paraId="0872DA91"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0.4</w:t>
            </w:r>
          </w:p>
          <w:p w14:paraId="3937A77F"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(0.3 - 0.5)</w:t>
            </w:r>
          </w:p>
        </w:tc>
        <w:tc>
          <w:tcPr>
            <w:tcW w:w="720" w:type="dxa"/>
            <w:tcBorders>
              <w:top w:val="nil"/>
              <w:left w:val="nil"/>
              <w:bottom w:val="dashed" w:sz="4" w:space="0" w:color="auto"/>
              <w:right w:val="nil"/>
            </w:tcBorders>
            <w:shd w:val="clear" w:color="auto" w:fill="DAEEF3" w:themeFill="accent5" w:themeFillTint="33"/>
            <w:vAlign w:val="center"/>
          </w:tcPr>
          <w:p w14:paraId="27217D2B"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39</w:t>
            </w:r>
          </w:p>
        </w:tc>
        <w:tc>
          <w:tcPr>
            <w:tcW w:w="1080" w:type="dxa"/>
            <w:tcBorders>
              <w:top w:val="nil"/>
              <w:left w:val="nil"/>
              <w:bottom w:val="dashed" w:sz="4" w:space="0" w:color="auto"/>
              <w:right w:val="single" w:sz="4" w:space="0" w:color="auto"/>
            </w:tcBorders>
            <w:shd w:val="clear" w:color="auto" w:fill="DAEEF3" w:themeFill="accent5" w:themeFillTint="33"/>
            <w:vAlign w:val="center"/>
          </w:tcPr>
          <w:p w14:paraId="4ACB9FC8"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0.2</w:t>
            </w:r>
          </w:p>
          <w:p w14:paraId="00BD883D" w14:textId="77777777" w:rsidR="00764A4E" w:rsidRPr="00A71586" w:rsidRDefault="00764A4E" w:rsidP="00BB6784">
            <w:pPr>
              <w:spacing w:before="0" w:line="240" w:lineRule="auto"/>
              <w:jc w:val="center"/>
              <w:rPr>
                <w:rFonts w:asciiTheme="minorHAnsi" w:hAnsiTheme="minorHAnsi"/>
                <w:bCs/>
                <w:color w:val="000000"/>
                <w:sz w:val="16"/>
                <w:szCs w:val="16"/>
              </w:rPr>
            </w:pPr>
            <w:r w:rsidRPr="00A71586">
              <w:rPr>
                <w:rFonts w:asciiTheme="minorHAnsi" w:hAnsiTheme="minorHAnsi"/>
                <w:bCs/>
                <w:color w:val="000000"/>
                <w:sz w:val="16"/>
                <w:szCs w:val="16"/>
              </w:rPr>
              <w:t>(0.1 – 0.4)</w:t>
            </w:r>
          </w:p>
        </w:tc>
        <w:tc>
          <w:tcPr>
            <w:tcW w:w="1222" w:type="dxa"/>
            <w:vMerge/>
            <w:tcBorders>
              <w:left w:val="nil"/>
              <w:right w:val="single" w:sz="4" w:space="0" w:color="auto"/>
            </w:tcBorders>
            <w:shd w:val="clear" w:color="auto" w:fill="DAEEF3" w:themeFill="accent5" w:themeFillTint="33"/>
            <w:vAlign w:val="center"/>
          </w:tcPr>
          <w:p w14:paraId="022031B4" w14:textId="77777777" w:rsidR="00764A4E" w:rsidRPr="00AF3A24" w:rsidRDefault="00764A4E" w:rsidP="00BB6784">
            <w:pPr>
              <w:spacing w:before="0" w:line="240" w:lineRule="auto"/>
              <w:jc w:val="center"/>
              <w:rPr>
                <w:rFonts w:asciiTheme="minorHAnsi" w:hAnsiTheme="minorHAnsi"/>
                <w:b/>
                <w:bCs/>
                <w:color w:val="000000"/>
                <w:sz w:val="16"/>
                <w:szCs w:val="16"/>
              </w:rPr>
            </w:pPr>
          </w:p>
        </w:tc>
      </w:tr>
      <w:tr w:rsidR="00764A4E" w:rsidRPr="00AF3A24" w14:paraId="55A8B766" w14:textId="77777777" w:rsidTr="00BB6784">
        <w:trPr>
          <w:jc w:val="center"/>
        </w:trPr>
        <w:tc>
          <w:tcPr>
            <w:tcW w:w="2625" w:type="dxa"/>
            <w:tcBorders>
              <w:top w:val="dashed" w:sz="4" w:space="0" w:color="auto"/>
              <w:bottom w:val="single" w:sz="4" w:space="0" w:color="auto"/>
            </w:tcBorders>
            <w:shd w:val="clear" w:color="auto" w:fill="DAEEF3" w:themeFill="accent5" w:themeFillTint="33"/>
            <w:vAlign w:val="center"/>
          </w:tcPr>
          <w:p w14:paraId="5A95F6B0" w14:textId="77777777" w:rsidR="00764A4E" w:rsidRPr="00AF3A24" w:rsidRDefault="0019754F" w:rsidP="00BB6784">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Combined moderate-risk and p</w:t>
            </w:r>
            <w:r w:rsidR="00764A4E" w:rsidRPr="00AF3A24">
              <w:rPr>
                <w:rFonts w:asciiTheme="minorHAnsi" w:hAnsiTheme="minorHAnsi" w:cstheme="minorHAnsi"/>
                <w:sz w:val="16"/>
                <w:szCs w:val="16"/>
              </w:rPr>
              <w:t xml:space="preserve">roblem </w:t>
            </w:r>
          </w:p>
        </w:tc>
        <w:tc>
          <w:tcPr>
            <w:tcW w:w="1800" w:type="dxa"/>
            <w:gridSpan w:val="2"/>
            <w:tcBorders>
              <w:top w:val="dashed" w:sz="4" w:space="0" w:color="auto"/>
              <w:bottom w:val="single" w:sz="4" w:space="0" w:color="auto"/>
              <w:right w:val="single" w:sz="4" w:space="0" w:color="auto"/>
            </w:tcBorders>
            <w:shd w:val="clear" w:color="auto" w:fill="DAEEF3" w:themeFill="accent5" w:themeFillTint="33"/>
          </w:tcPr>
          <w:p w14:paraId="4625B137" w14:textId="77777777" w:rsidR="00764A4E" w:rsidRPr="00AF3A24" w:rsidRDefault="00764A4E" w:rsidP="00BB6784">
            <w:pPr>
              <w:jc w:val="center"/>
              <w:rPr>
                <w:rFonts w:asciiTheme="minorHAnsi" w:hAnsiTheme="minorHAnsi"/>
              </w:rPr>
            </w:pPr>
            <w:r w:rsidRPr="00AF3A24">
              <w:rPr>
                <w:rFonts w:asciiTheme="minorHAnsi" w:hAnsiTheme="minorHAnsi"/>
                <w:bCs/>
                <w:color w:val="000000"/>
                <w:sz w:val="16"/>
                <w:szCs w:val="16"/>
              </w:rPr>
              <w:t>Not available</w:t>
            </w:r>
          </w:p>
        </w:tc>
        <w:tc>
          <w:tcPr>
            <w:tcW w:w="720" w:type="dxa"/>
            <w:tcBorders>
              <w:top w:val="dashed" w:sz="4" w:space="0" w:color="auto"/>
              <w:left w:val="nil"/>
              <w:bottom w:val="single" w:sz="4" w:space="0" w:color="auto"/>
              <w:right w:val="nil"/>
            </w:tcBorders>
            <w:shd w:val="clear" w:color="auto" w:fill="DAEEF3" w:themeFill="accent5" w:themeFillTint="33"/>
            <w:vAlign w:val="center"/>
          </w:tcPr>
          <w:p w14:paraId="2F0C6319"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323</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094280F0"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p>
          <w:p w14:paraId="57593C45"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(1.4 - 2.2)</w:t>
            </w:r>
          </w:p>
        </w:tc>
        <w:tc>
          <w:tcPr>
            <w:tcW w:w="720" w:type="dxa"/>
            <w:tcBorders>
              <w:top w:val="dashed" w:sz="4" w:space="0" w:color="auto"/>
              <w:left w:val="nil"/>
              <w:bottom w:val="single" w:sz="4" w:space="0" w:color="auto"/>
              <w:right w:val="nil"/>
            </w:tcBorders>
            <w:shd w:val="clear" w:color="auto" w:fill="DAEEF3" w:themeFill="accent5" w:themeFillTint="33"/>
            <w:vAlign w:val="center"/>
          </w:tcPr>
          <w:p w14:paraId="156A0F0A"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183</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20CFC2A9"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p>
          <w:p w14:paraId="5D6B8092" w14:textId="77777777" w:rsidR="00764A4E" w:rsidRPr="00AF3A24" w:rsidRDefault="00764A4E" w:rsidP="00BB6784">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(1.0 - 1.6)</w:t>
            </w:r>
          </w:p>
        </w:tc>
        <w:tc>
          <w:tcPr>
            <w:tcW w:w="1222" w:type="dxa"/>
            <w:vMerge/>
            <w:tcBorders>
              <w:left w:val="nil"/>
              <w:bottom w:val="single" w:sz="4" w:space="0" w:color="auto"/>
              <w:right w:val="single" w:sz="4" w:space="0" w:color="auto"/>
            </w:tcBorders>
            <w:shd w:val="clear" w:color="auto" w:fill="DAEEF3" w:themeFill="accent5" w:themeFillTint="33"/>
            <w:vAlign w:val="center"/>
          </w:tcPr>
          <w:p w14:paraId="00303D35" w14:textId="77777777" w:rsidR="00764A4E" w:rsidRPr="00AF3A24" w:rsidRDefault="00764A4E" w:rsidP="00BB6784">
            <w:pPr>
              <w:spacing w:before="0" w:line="240" w:lineRule="auto"/>
              <w:jc w:val="center"/>
              <w:rPr>
                <w:rFonts w:asciiTheme="minorHAnsi" w:hAnsiTheme="minorHAnsi"/>
                <w:b/>
                <w:bCs/>
                <w:color w:val="000000"/>
                <w:sz w:val="16"/>
                <w:szCs w:val="16"/>
              </w:rPr>
            </w:pPr>
          </w:p>
        </w:tc>
      </w:tr>
    </w:tbl>
    <w:p w14:paraId="4490B725" w14:textId="77777777" w:rsidR="00764A4E" w:rsidRPr="00AF3A24" w:rsidRDefault="00764A4E" w:rsidP="00764A4E">
      <w:pPr>
        <w:spacing w:before="0" w:line="240" w:lineRule="auto"/>
        <w:ind w:left="426"/>
        <w:rPr>
          <w:rFonts w:asciiTheme="minorHAnsi" w:hAnsiTheme="minorHAnsi" w:cstheme="minorHAnsi"/>
          <w:sz w:val="16"/>
          <w:szCs w:val="16"/>
        </w:rPr>
      </w:pPr>
      <w:r w:rsidRPr="00AF3A24">
        <w:rPr>
          <w:rFonts w:asciiTheme="minorHAnsi" w:hAnsiTheme="minorHAnsi" w:cstheme="minorHAnsi"/>
          <w:sz w:val="16"/>
          <w:szCs w:val="16"/>
        </w:rPr>
        <w:t>Notes:</w:t>
      </w:r>
    </w:p>
    <w:p w14:paraId="7ECEEEAA" w14:textId="03272146" w:rsidR="00764A4E" w:rsidRPr="00AF3A24" w:rsidRDefault="00764A4E" w:rsidP="006A0B0E">
      <w:pPr>
        <w:pStyle w:val="ListParagraph"/>
        <w:numPr>
          <w:ilvl w:val="0"/>
          <w:numId w:val="32"/>
        </w:numPr>
        <w:spacing w:line="240" w:lineRule="auto"/>
        <w:ind w:left="709" w:hanging="284"/>
        <w:rPr>
          <w:rFonts w:asciiTheme="minorHAnsi" w:hAnsiTheme="minorHAnsi" w:cstheme="minorHAnsi"/>
          <w:sz w:val="16"/>
          <w:szCs w:val="16"/>
        </w:rPr>
      </w:pPr>
      <w:r w:rsidRPr="00AF3A24">
        <w:rPr>
          <w:rFonts w:asciiTheme="minorHAnsi" w:hAnsiTheme="minorHAnsi" w:cstheme="minorHAnsi"/>
          <w:sz w:val="16"/>
          <w:szCs w:val="16"/>
        </w:rPr>
        <w:t xml:space="preserve">Sources: 2002/03, 2006/07 and 2011/12 New Zealand Health Surveys. </w:t>
      </w:r>
      <w:r>
        <w:rPr>
          <w:rFonts w:asciiTheme="minorHAnsi" w:hAnsiTheme="minorHAnsi" w:cstheme="minorHAnsi"/>
          <w:sz w:val="16"/>
          <w:szCs w:val="16"/>
        </w:rPr>
        <w:t>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80750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80750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Pr>
          <w:rFonts w:asciiTheme="minorHAnsi" w:hAnsiTheme="minorHAnsi" w:cstheme="minorHAnsi"/>
          <w:sz w:val="16"/>
          <w:szCs w:val="16"/>
        </w:rPr>
        <w:t xml:space="preserve">.  </w:t>
      </w:r>
    </w:p>
    <w:p w14:paraId="63A6E2FF" w14:textId="77777777" w:rsidR="00764A4E" w:rsidRDefault="00764A4E" w:rsidP="006A0B0E">
      <w:pPr>
        <w:pStyle w:val="ListParagraph"/>
        <w:numPr>
          <w:ilvl w:val="0"/>
          <w:numId w:val="32"/>
        </w:numPr>
        <w:spacing w:line="240" w:lineRule="auto"/>
        <w:ind w:left="709" w:hanging="284"/>
        <w:rPr>
          <w:rFonts w:asciiTheme="minorHAnsi" w:hAnsiTheme="minorHAnsi" w:cstheme="minorHAnsi"/>
          <w:sz w:val="16"/>
          <w:szCs w:val="16"/>
        </w:rPr>
      </w:pPr>
      <w:r w:rsidRPr="00AF3A24">
        <w:rPr>
          <w:rFonts w:asciiTheme="minorHAnsi" w:hAnsiTheme="minorHAnsi" w:cstheme="minorHAnsi"/>
          <w:sz w:val="16"/>
          <w:szCs w:val="16"/>
        </w:rPr>
        <w:t>Logistic regression analyses have controlled for gender, age, ethnicity, neighbourhood deprivation, and geography (urban/rural).</w:t>
      </w:r>
    </w:p>
    <w:p w14:paraId="145F3891" w14:textId="77777777" w:rsidR="00FB0B7B" w:rsidRDefault="00FB0B7B" w:rsidP="00FB0B7B">
      <w:pPr>
        <w:spacing w:line="240" w:lineRule="auto"/>
        <w:rPr>
          <w:rFonts w:asciiTheme="minorHAnsi" w:hAnsiTheme="minorHAnsi" w:cstheme="minorHAnsi"/>
          <w:sz w:val="16"/>
          <w:szCs w:val="16"/>
        </w:rPr>
      </w:pPr>
    </w:p>
    <w:p w14:paraId="2409C3AE" w14:textId="77777777" w:rsidR="00FB0B7B" w:rsidRPr="00FB0B7B" w:rsidRDefault="00FB0B7B" w:rsidP="00FB0B7B">
      <w:pPr>
        <w:spacing w:line="240" w:lineRule="auto"/>
        <w:rPr>
          <w:rFonts w:asciiTheme="minorHAnsi" w:hAnsiTheme="minorHAnsi" w:cstheme="minorHAnsi"/>
          <w:sz w:val="16"/>
          <w:szCs w:val="16"/>
        </w:rPr>
      </w:pPr>
    </w:p>
    <w:p w14:paraId="25A4BC1C" w14:textId="77777777" w:rsidR="00FB0B7B" w:rsidRDefault="00FB0B7B">
      <w:pPr>
        <w:spacing w:before="0" w:after="200" w:line="276" w:lineRule="auto"/>
        <w:jc w:val="left"/>
        <w:rPr>
          <w:rFonts w:asciiTheme="minorHAnsi" w:hAnsiTheme="minorHAnsi" w:cstheme="minorHAnsi"/>
          <w:b/>
          <w:bCs/>
          <w:iCs/>
          <w:color w:val="1F497D"/>
        </w:rPr>
      </w:pPr>
      <w:r>
        <w:rPr>
          <w:rFonts w:asciiTheme="minorHAnsi" w:hAnsiTheme="minorHAnsi"/>
        </w:rPr>
        <w:br w:type="page"/>
      </w:r>
    </w:p>
    <w:p w14:paraId="3BD1461B" w14:textId="77777777" w:rsidR="00FB0B7B" w:rsidRPr="00FB0B7B" w:rsidRDefault="00FB0B7B" w:rsidP="008F7A58">
      <w:pPr>
        <w:pStyle w:val="FionasAppendixtitles"/>
        <w:ind w:left="1134"/>
      </w:pPr>
      <w:bookmarkStart w:id="293" w:name="_Ref399838228"/>
      <w:bookmarkStart w:id="294" w:name="_Toc403833217"/>
      <w:r w:rsidRPr="00FB0B7B">
        <w:lastRenderedPageBreak/>
        <w:t>Gambling status (PGSI categorisation) by demographics</w:t>
      </w:r>
      <w:bookmarkEnd w:id="293"/>
      <w:bookmarkEnd w:id="294"/>
    </w:p>
    <w:p w14:paraId="667B3BAB" w14:textId="77777777" w:rsidR="00FB0B7B" w:rsidRPr="00AF3A24" w:rsidRDefault="00FB0B7B" w:rsidP="00D949FA">
      <w:pPr>
        <w:pStyle w:val="Caption"/>
        <w:keepNext/>
        <w:spacing w:line="276" w:lineRule="auto"/>
        <w:ind w:left="142" w:hanging="993"/>
        <w:rPr>
          <w:rFonts w:asciiTheme="minorHAnsi" w:hAnsiTheme="minorHAnsi" w:cstheme="minorHAnsi"/>
          <w:i/>
          <w:vertAlign w:val="superscript"/>
        </w:rPr>
      </w:pPr>
      <w:bookmarkStart w:id="295" w:name="_Ref399838213"/>
      <w:bookmarkStart w:id="296" w:name="_Toc425426891"/>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24</w:t>
      </w:r>
      <w:r w:rsidRPr="00AF3A24">
        <w:rPr>
          <w:rFonts w:asciiTheme="minorHAnsi" w:hAnsiTheme="minorHAnsi"/>
          <w:i/>
        </w:rPr>
        <w:fldChar w:fldCharType="end"/>
      </w:r>
      <w:bookmarkEnd w:id="295"/>
      <w:r w:rsidRPr="00AF3A24">
        <w:rPr>
          <w:rFonts w:asciiTheme="minorHAnsi" w:hAnsiTheme="minorHAnsi"/>
          <w:i/>
        </w:rPr>
        <w:t>:</w:t>
      </w:r>
      <w:r>
        <w:rPr>
          <w:rFonts w:asciiTheme="minorHAnsi" w:hAnsiTheme="minorHAnsi" w:cstheme="minorHAnsi"/>
          <w:i/>
        </w:rPr>
        <w:tab/>
        <w:t>Gambling s</w:t>
      </w:r>
      <w:r w:rsidRPr="00AF3A24">
        <w:rPr>
          <w:rFonts w:asciiTheme="minorHAnsi" w:hAnsiTheme="minorHAnsi" w:cstheme="minorHAnsi"/>
          <w:i/>
        </w:rPr>
        <w:t xml:space="preserve">tatus (PGSI categorisation) by demographics, total population aged 15 years and over (unadjusted prevalence; N=12,594) </w:t>
      </w:r>
      <w:r w:rsidRPr="00AF3A24">
        <w:rPr>
          <w:rFonts w:asciiTheme="minorHAnsi" w:hAnsiTheme="minorHAnsi" w:cstheme="minorHAnsi"/>
          <w:i/>
          <w:vertAlign w:val="superscript"/>
        </w:rPr>
        <w:t>1</w:t>
      </w:r>
      <w:bookmarkEnd w:id="296"/>
    </w:p>
    <w:tbl>
      <w:tblPr>
        <w:tblStyle w:val="TableGrid"/>
        <w:tblW w:w="11483" w:type="dxa"/>
        <w:tblInd w:w="-743" w:type="dxa"/>
        <w:tblLayout w:type="fixed"/>
        <w:tblLook w:val="04A0" w:firstRow="1" w:lastRow="0" w:firstColumn="1" w:lastColumn="0" w:noHBand="0" w:noVBand="1"/>
      </w:tblPr>
      <w:tblGrid>
        <w:gridCol w:w="1418"/>
        <w:gridCol w:w="888"/>
        <w:gridCol w:w="720"/>
        <w:gridCol w:w="1080"/>
        <w:gridCol w:w="720"/>
        <w:gridCol w:w="1080"/>
        <w:gridCol w:w="720"/>
        <w:gridCol w:w="1080"/>
        <w:gridCol w:w="720"/>
        <w:gridCol w:w="1069"/>
        <w:gridCol w:w="1137"/>
        <w:gridCol w:w="851"/>
      </w:tblGrid>
      <w:tr w:rsidR="00FB0B7B" w:rsidRPr="00AF3A24" w14:paraId="4FF6AB9F" w14:textId="77777777" w:rsidTr="004755F5">
        <w:trPr>
          <w:trHeight w:val="421"/>
        </w:trPr>
        <w:tc>
          <w:tcPr>
            <w:tcW w:w="2306" w:type="dxa"/>
            <w:gridSpan w:val="2"/>
            <w:vMerge w:val="restart"/>
            <w:shd w:val="clear" w:color="auto" w:fill="92CDDC" w:themeFill="accent5" w:themeFillTint="99"/>
          </w:tcPr>
          <w:p w14:paraId="20AD025D" w14:textId="77777777" w:rsidR="00FB0B7B" w:rsidRPr="00AF3A24" w:rsidRDefault="00FB0B7B" w:rsidP="004557FE">
            <w:pPr>
              <w:spacing w:before="0" w:line="240" w:lineRule="auto"/>
              <w:jc w:val="left"/>
              <w:rPr>
                <w:rFonts w:asciiTheme="minorHAnsi" w:hAnsiTheme="minorHAnsi" w:cstheme="minorHAnsi"/>
                <w:b/>
                <w:sz w:val="18"/>
                <w:szCs w:val="18"/>
              </w:rPr>
            </w:pPr>
          </w:p>
        </w:tc>
        <w:tc>
          <w:tcPr>
            <w:tcW w:w="7189" w:type="dxa"/>
            <w:gridSpan w:val="8"/>
            <w:shd w:val="clear" w:color="auto" w:fill="92CDDC" w:themeFill="accent5" w:themeFillTint="99"/>
            <w:vAlign w:val="center"/>
          </w:tcPr>
          <w:p w14:paraId="28406B33"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1137" w:type="dxa"/>
            <w:vMerge w:val="restart"/>
            <w:shd w:val="clear" w:color="auto" w:fill="92CDDC" w:themeFill="accent5" w:themeFillTint="99"/>
            <w:vAlign w:val="center"/>
          </w:tcPr>
          <w:p w14:paraId="4A5D4CF5" w14:textId="77777777" w:rsidR="00FB0B7B" w:rsidRPr="00AF3A24" w:rsidRDefault="00FB0B7B" w:rsidP="0019754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Com</w:t>
            </w:r>
            <w:r>
              <w:rPr>
                <w:rFonts w:asciiTheme="minorHAnsi" w:hAnsiTheme="minorHAnsi" w:cstheme="minorHAnsi"/>
                <w:b/>
                <w:sz w:val="18"/>
                <w:szCs w:val="18"/>
              </w:rPr>
              <w:t xml:space="preserve">bined </w:t>
            </w:r>
            <w:r w:rsidR="00847789">
              <w:rPr>
                <w:rFonts w:asciiTheme="minorHAnsi" w:hAnsiTheme="minorHAnsi" w:cstheme="minorHAnsi"/>
                <w:b/>
                <w:sz w:val="18"/>
                <w:szCs w:val="18"/>
              </w:rPr>
              <w:t>m</w:t>
            </w:r>
            <w:r>
              <w:rPr>
                <w:rFonts w:asciiTheme="minorHAnsi" w:hAnsiTheme="minorHAnsi" w:cstheme="minorHAnsi"/>
                <w:b/>
                <w:sz w:val="18"/>
                <w:szCs w:val="18"/>
              </w:rPr>
              <w:t>oderate-risk</w:t>
            </w:r>
            <w:r w:rsidR="0019754F">
              <w:rPr>
                <w:rFonts w:asciiTheme="minorHAnsi" w:hAnsiTheme="minorHAnsi" w:cstheme="minorHAnsi"/>
                <w:b/>
                <w:sz w:val="18"/>
                <w:szCs w:val="18"/>
              </w:rPr>
              <w:t xml:space="preserve"> and </w:t>
            </w:r>
            <w:r w:rsidR="00847789">
              <w:rPr>
                <w:rFonts w:asciiTheme="minorHAnsi" w:hAnsiTheme="minorHAnsi" w:cstheme="minorHAnsi"/>
                <w:b/>
                <w:sz w:val="18"/>
                <w:szCs w:val="18"/>
              </w:rPr>
              <w:t>p</w:t>
            </w:r>
            <w:r w:rsidR="0019754F">
              <w:rPr>
                <w:rFonts w:asciiTheme="minorHAnsi" w:hAnsiTheme="minorHAnsi" w:cstheme="minorHAnsi"/>
                <w:b/>
                <w:sz w:val="18"/>
                <w:szCs w:val="18"/>
              </w:rPr>
              <w:t>roblem</w:t>
            </w:r>
          </w:p>
        </w:tc>
        <w:tc>
          <w:tcPr>
            <w:tcW w:w="851" w:type="dxa"/>
            <w:vMerge w:val="restart"/>
            <w:shd w:val="clear" w:color="auto" w:fill="92CDDC" w:themeFill="accent5" w:themeFillTint="99"/>
            <w:vAlign w:val="center"/>
          </w:tcPr>
          <w:p w14:paraId="785E2D24"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p-value</w:t>
            </w:r>
            <w:r>
              <w:rPr>
                <w:rFonts w:asciiTheme="minorHAnsi" w:hAnsiTheme="minorHAnsi" w:cstheme="minorHAnsi"/>
                <w:b/>
                <w:sz w:val="18"/>
                <w:szCs w:val="18"/>
              </w:rPr>
              <w:t xml:space="preserve"> </w:t>
            </w:r>
            <w:r w:rsidRPr="003B5436">
              <w:rPr>
                <w:rFonts w:asciiTheme="minorHAnsi" w:hAnsiTheme="minorHAnsi" w:cstheme="minorHAnsi"/>
                <w:b/>
                <w:sz w:val="18"/>
                <w:szCs w:val="18"/>
                <w:vertAlign w:val="superscript"/>
              </w:rPr>
              <w:t>3</w:t>
            </w:r>
          </w:p>
        </w:tc>
      </w:tr>
      <w:tr w:rsidR="00FB0B7B" w:rsidRPr="00AF3A24" w14:paraId="19D76FC9" w14:textId="77777777" w:rsidTr="004755F5">
        <w:trPr>
          <w:trHeight w:val="386"/>
        </w:trPr>
        <w:tc>
          <w:tcPr>
            <w:tcW w:w="2306" w:type="dxa"/>
            <w:gridSpan w:val="2"/>
            <w:vMerge/>
            <w:tcBorders>
              <w:bottom w:val="single" w:sz="4" w:space="0" w:color="auto"/>
            </w:tcBorders>
            <w:shd w:val="clear" w:color="auto" w:fill="92CDDC" w:themeFill="accent5" w:themeFillTint="99"/>
          </w:tcPr>
          <w:p w14:paraId="4522E22E" w14:textId="77777777" w:rsidR="00FB0B7B" w:rsidRPr="00AF3A24" w:rsidRDefault="00FB0B7B" w:rsidP="004557FE">
            <w:pPr>
              <w:spacing w:before="0" w:line="240" w:lineRule="auto"/>
              <w:jc w:val="left"/>
              <w:rPr>
                <w:rFonts w:asciiTheme="minorHAnsi" w:hAnsiTheme="minorHAnsi" w:cstheme="minorHAnsi"/>
                <w:b/>
                <w:sz w:val="18"/>
                <w:szCs w:val="18"/>
              </w:rPr>
            </w:pPr>
          </w:p>
        </w:tc>
        <w:tc>
          <w:tcPr>
            <w:tcW w:w="1800" w:type="dxa"/>
            <w:gridSpan w:val="2"/>
            <w:tcBorders>
              <w:bottom w:val="single" w:sz="4" w:space="0" w:color="auto"/>
            </w:tcBorders>
            <w:shd w:val="clear" w:color="auto" w:fill="92CDDC" w:themeFill="accent5" w:themeFillTint="99"/>
            <w:vAlign w:val="center"/>
          </w:tcPr>
          <w:p w14:paraId="664BDC5F"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Non-gambler</w:t>
            </w:r>
          </w:p>
        </w:tc>
        <w:tc>
          <w:tcPr>
            <w:tcW w:w="1800" w:type="dxa"/>
            <w:gridSpan w:val="2"/>
            <w:tcBorders>
              <w:bottom w:val="single" w:sz="4" w:space="0" w:color="auto"/>
            </w:tcBorders>
            <w:shd w:val="clear" w:color="auto" w:fill="92CDDC" w:themeFill="accent5" w:themeFillTint="99"/>
            <w:vAlign w:val="center"/>
          </w:tcPr>
          <w:p w14:paraId="0752044D"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Non-problem / Recreational</w:t>
            </w:r>
          </w:p>
        </w:tc>
        <w:tc>
          <w:tcPr>
            <w:tcW w:w="1800" w:type="dxa"/>
            <w:gridSpan w:val="2"/>
            <w:tcBorders>
              <w:bottom w:val="single" w:sz="4" w:space="0" w:color="auto"/>
            </w:tcBorders>
            <w:shd w:val="clear" w:color="auto" w:fill="92CDDC" w:themeFill="accent5" w:themeFillTint="99"/>
            <w:vAlign w:val="center"/>
          </w:tcPr>
          <w:p w14:paraId="707BC501"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Low-risk</w:t>
            </w:r>
          </w:p>
        </w:tc>
        <w:tc>
          <w:tcPr>
            <w:tcW w:w="1789" w:type="dxa"/>
            <w:gridSpan w:val="2"/>
            <w:tcBorders>
              <w:bottom w:val="single" w:sz="4" w:space="0" w:color="auto"/>
            </w:tcBorders>
            <w:shd w:val="clear" w:color="auto" w:fill="92CDDC" w:themeFill="accent5" w:themeFillTint="99"/>
            <w:vAlign w:val="center"/>
          </w:tcPr>
          <w:p w14:paraId="574198B2" w14:textId="77777777" w:rsidR="00FB0B7B" w:rsidRPr="00AF3A24" w:rsidRDefault="00FB0B7B"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847789">
              <w:rPr>
                <w:rFonts w:asciiTheme="minorHAnsi" w:hAnsiTheme="minorHAnsi" w:cstheme="minorHAnsi"/>
                <w:b/>
                <w:sz w:val="18"/>
                <w:szCs w:val="18"/>
              </w:rPr>
              <w:t>m</w:t>
            </w:r>
            <w:r w:rsidRPr="00AF3A24">
              <w:rPr>
                <w:rFonts w:asciiTheme="minorHAnsi" w:hAnsiTheme="minorHAnsi" w:cstheme="minorHAnsi"/>
                <w:b/>
                <w:sz w:val="18"/>
                <w:szCs w:val="18"/>
              </w:rPr>
              <w:t>oderate-risk</w:t>
            </w:r>
            <w:r w:rsidR="0019754F">
              <w:rPr>
                <w:rFonts w:asciiTheme="minorHAnsi" w:hAnsiTheme="minorHAnsi" w:cstheme="minorHAnsi"/>
                <w:b/>
                <w:sz w:val="18"/>
                <w:szCs w:val="18"/>
              </w:rPr>
              <w:t xml:space="preserve"> and </w:t>
            </w:r>
            <w:r w:rsidR="00847789">
              <w:rPr>
                <w:rFonts w:asciiTheme="minorHAnsi" w:hAnsiTheme="minorHAnsi" w:cstheme="minorHAnsi"/>
                <w:b/>
                <w:sz w:val="18"/>
                <w:szCs w:val="18"/>
              </w:rPr>
              <w:t>p</w:t>
            </w:r>
            <w:r w:rsidR="0019754F">
              <w:rPr>
                <w:rFonts w:asciiTheme="minorHAnsi" w:hAnsiTheme="minorHAnsi" w:cstheme="minorHAnsi"/>
                <w:b/>
                <w:sz w:val="18"/>
                <w:szCs w:val="18"/>
              </w:rPr>
              <w:t>roblem</w:t>
            </w:r>
            <w:r w:rsidRPr="00AF3A24">
              <w:rPr>
                <w:rFonts w:asciiTheme="minorHAnsi" w:hAnsiTheme="minorHAnsi" w:cstheme="minorHAnsi"/>
                <w:b/>
                <w:sz w:val="18"/>
                <w:szCs w:val="18"/>
              </w:rPr>
              <w:t xml:space="preserve"> </w:t>
            </w:r>
            <w:r w:rsidRPr="00AF3A24">
              <w:rPr>
                <w:rFonts w:asciiTheme="minorHAnsi" w:hAnsiTheme="minorHAnsi" w:cstheme="minorHAnsi"/>
                <w:b/>
                <w:sz w:val="18"/>
                <w:szCs w:val="18"/>
                <w:vertAlign w:val="superscript"/>
              </w:rPr>
              <w:t>2</w:t>
            </w:r>
          </w:p>
        </w:tc>
        <w:tc>
          <w:tcPr>
            <w:tcW w:w="1137" w:type="dxa"/>
            <w:vMerge/>
            <w:tcBorders>
              <w:bottom w:val="single" w:sz="4" w:space="0" w:color="auto"/>
            </w:tcBorders>
            <w:shd w:val="clear" w:color="auto" w:fill="92CDDC" w:themeFill="accent5" w:themeFillTint="99"/>
            <w:vAlign w:val="center"/>
          </w:tcPr>
          <w:p w14:paraId="0A8BBCB5" w14:textId="77777777" w:rsidR="00FB0B7B" w:rsidRPr="00AF3A24" w:rsidRDefault="00FB0B7B" w:rsidP="004557FE">
            <w:pPr>
              <w:spacing w:before="0" w:line="240" w:lineRule="auto"/>
              <w:jc w:val="center"/>
              <w:rPr>
                <w:rFonts w:asciiTheme="minorHAnsi" w:hAnsiTheme="minorHAnsi" w:cstheme="minorHAnsi"/>
                <w:b/>
                <w:sz w:val="18"/>
                <w:szCs w:val="18"/>
              </w:rPr>
            </w:pPr>
          </w:p>
        </w:tc>
        <w:tc>
          <w:tcPr>
            <w:tcW w:w="851" w:type="dxa"/>
            <w:vMerge/>
            <w:shd w:val="clear" w:color="auto" w:fill="92CDDC" w:themeFill="accent5" w:themeFillTint="99"/>
          </w:tcPr>
          <w:p w14:paraId="2DD32FA4" w14:textId="77777777" w:rsidR="00FB0B7B" w:rsidRPr="00AF3A24" w:rsidRDefault="00FB0B7B" w:rsidP="004557FE">
            <w:pPr>
              <w:spacing w:before="0" w:line="240" w:lineRule="auto"/>
              <w:jc w:val="center"/>
              <w:rPr>
                <w:rFonts w:asciiTheme="minorHAnsi" w:hAnsiTheme="minorHAnsi" w:cstheme="minorHAnsi"/>
                <w:b/>
                <w:sz w:val="18"/>
                <w:szCs w:val="18"/>
              </w:rPr>
            </w:pPr>
          </w:p>
        </w:tc>
      </w:tr>
      <w:tr w:rsidR="00FB0B7B" w:rsidRPr="00AF3A24" w14:paraId="453E535F" w14:textId="77777777" w:rsidTr="004755F5">
        <w:trPr>
          <w:trHeight w:val="386"/>
        </w:trPr>
        <w:tc>
          <w:tcPr>
            <w:tcW w:w="2306" w:type="dxa"/>
            <w:gridSpan w:val="2"/>
            <w:vMerge/>
            <w:tcBorders>
              <w:bottom w:val="single" w:sz="4" w:space="0" w:color="auto"/>
            </w:tcBorders>
            <w:shd w:val="clear" w:color="auto" w:fill="92CDDC" w:themeFill="accent5" w:themeFillTint="99"/>
          </w:tcPr>
          <w:p w14:paraId="78E83740" w14:textId="77777777" w:rsidR="00FB0B7B" w:rsidRPr="00AF3A24" w:rsidRDefault="00FB0B7B" w:rsidP="004557FE">
            <w:pPr>
              <w:spacing w:before="0" w:line="240" w:lineRule="auto"/>
              <w:jc w:val="left"/>
              <w:rPr>
                <w:rFonts w:asciiTheme="minorHAnsi" w:hAnsiTheme="minorHAnsi" w:cstheme="minorHAnsi"/>
                <w:b/>
                <w:sz w:val="18"/>
                <w:szCs w:val="18"/>
              </w:rPr>
            </w:pPr>
          </w:p>
        </w:tc>
        <w:tc>
          <w:tcPr>
            <w:tcW w:w="720" w:type="dxa"/>
            <w:tcBorders>
              <w:bottom w:val="single" w:sz="4" w:space="0" w:color="auto"/>
            </w:tcBorders>
            <w:shd w:val="clear" w:color="auto" w:fill="92CDDC" w:themeFill="accent5" w:themeFillTint="99"/>
            <w:vAlign w:val="center"/>
          </w:tcPr>
          <w:p w14:paraId="7F9C8C28"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33B9C8C0"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9574F14"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2581B099"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7B609AA5"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419AD91"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282476CF"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19EEA297"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2E047F4"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720" w:type="dxa"/>
            <w:tcBorders>
              <w:bottom w:val="single" w:sz="4" w:space="0" w:color="auto"/>
            </w:tcBorders>
            <w:shd w:val="clear" w:color="auto" w:fill="92CDDC" w:themeFill="accent5" w:themeFillTint="99"/>
            <w:vAlign w:val="center"/>
          </w:tcPr>
          <w:p w14:paraId="21355853"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69" w:type="dxa"/>
            <w:tcBorders>
              <w:bottom w:val="single" w:sz="4" w:space="0" w:color="auto"/>
            </w:tcBorders>
            <w:shd w:val="clear" w:color="auto" w:fill="92CDDC" w:themeFill="accent5" w:themeFillTint="99"/>
            <w:vAlign w:val="center"/>
          </w:tcPr>
          <w:p w14:paraId="168A2539"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CC2B09B"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137" w:type="dxa"/>
            <w:tcBorders>
              <w:bottom w:val="single" w:sz="4" w:space="0" w:color="auto"/>
            </w:tcBorders>
            <w:shd w:val="clear" w:color="auto" w:fill="92CDDC" w:themeFill="accent5" w:themeFillTint="99"/>
            <w:vAlign w:val="center"/>
          </w:tcPr>
          <w:p w14:paraId="63FE0D49" w14:textId="77777777" w:rsidR="00FB0B7B" w:rsidRPr="00AF3A24" w:rsidRDefault="00FB0B7B" w:rsidP="004557FE">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 (95% CI)</w:t>
            </w:r>
          </w:p>
        </w:tc>
        <w:tc>
          <w:tcPr>
            <w:tcW w:w="851" w:type="dxa"/>
            <w:vMerge/>
            <w:tcBorders>
              <w:bottom w:val="single" w:sz="4" w:space="0" w:color="auto"/>
            </w:tcBorders>
            <w:shd w:val="clear" w:color="auto" w:fill="92CDDC" w:themeFill="accent5" w:themeFillTint="99"/>
          </w:tcPr>
          <w:p w14:paraId="2450A7B3" w14:textId="77777777" w:rsidR="00FB0B7B" w:rsidRPr="00AF3A24" w:rsidRDefault="00FB0B7B" w:rsidP="004557FE">
            <w:pPr>
              <w:spacing w:before="0" w:line="240" w:lineRule="auto"/>
              <w:jc w:val="center"/>
              <w:rPr>
                <w:rFonts w:asciiTheme="minorHAnsi" w:hAnsiTheme="minorHAnsi" w:cstheme="minorHAnsi"/>
                <w:b/>
                <w:sz w:val="18"/>
                <w:szCs w:val="18"/>
              </w:rPr>
            </w:pPr>
          </w:p>
        </w:tc>
      </w:tr>
      <w:tr w:rsidR="00FB0B7B" w:rsidRPr="00AF3A24" w14:paraId="4976520E" w14:textId="77777777" w:rsidTr="004755F5">
        <w:tc>
          <w:tcPr>
            <w:tcW w:w="2306" w:type="dxa"/>
            <w:gridSpan w:val="2"/>
            <w:tcBorders>
              <w:top w:val="nil"/>
              <w:bottom w:val="nil"/>
            </w:tcBorders>
            <w:shd w:val="clear" w:color="auto" w:fill="DAEEF3" w:themeFill="accent5" w:themeFillTint="33"/>
            <w:vAlign w:val="center"/>
          </w:tcPr>
          <w:p w14:paraId="03113915" w14:textId="77777777" w:rsidR="00FB0B7B" w:rsidRPr="00AF3A24" w:rsidRDefault="00FB0B7B" w:rsidP="004557FE">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720" w:type="dxa"/>
            <w:tcBorders>
              <w:top w:val="nil"/>
              <w:bottom w:val="nil"/>
              <w:right w:val="nil"/>
            </w:tcBorders>
            <w:shd w:val="clear" w:color="auto" w:fill="DAEEF3" w:themeFill="accent5" w:themeFillTint="33"/>
            <w:vAlign w:val="center"/>
          </w:tcPr>
          <w:p w14:paraId="46C79EB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6,047</w:t>
            </w:r>
          </w:p>
        </w:tc>
        <w:tc>
          <w:tcPr>
            <w:tcW w:w="1080" w:type="dxa"/>
            <w:tcBorders>
              <w:top w:val="nil"/>
              <w:left w:val="nil"/>
              <w:bottom w:val="nil"/>
              <w:right w:val="single" w:sz="4" w:space="0" w:color="auto"/>
            </w:tcBorders>
            <w:shd w:val="clear" w:color="auto" w:fill="DAEEF3" w:themeFill="accent5" w:themeFillTint="33"/>
            <w:vAlign w:val="center"/>
          </w:tcPr>
          <w:p w14:paraId="732196C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w:t>
            </w:r>
            <w:r w:rsidRPr="00AF3A24">
              <w:rPr>
                <w:rFonts w:asciiTheme="minorHAnsi" w:hAnsiTheme="minorHAnsi"/>
                <w:bCs/>
                <w:color w:val="000000"/>
                <w:sz w:val="16"/>
                <w:szCs w:val="16"/>
              </w:rPr>
              <w:br/>
              <w:t>(46.4 - 49.1)</w:t>
            </w:r>
          </w:p>
        </w:tc>
        <w:tc>
          <w:tcPr>
            <w:tcW w:w="720" w:type="dxa"/>
            <w:tcBorders>
              <w:top w:val="nil"/>
              <w:left w:val="nil"/>
              <w:bottom w:val="nil"/>
              <w:right w:val="nil"/>
            </w:tcBorders>
            <w:shd w:val="clear" w:color="auto" w:fill="DAEEF3" w:themeFill="accent5" w:themeFillTint="33"/>
            <w:vAlign w:val="center"/>
          </w:tcPr>
          <w:p w14:paraId="6AA1F9C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6,092</w:t>
            </w:r>
          </w:p>
        </w:tc>
        <w:tc>
          <w:tcPr>
            <w:tcW w:w="1080" w:type="dxa"/>
            <w:tcBorders>
              <w:top w:val="nil"/>
              <w:left w:val="nil"/>
              <w:bottom w:val="nil"/>
              <w:right w:val="single" w:sz="4" w:space="0" w:color="auto"/>
            </w:tcBorders>
            <w:shd w:val="clear" w:color="auto" w:fill="DAEEF3" w:themeFill="accent5" w:themeFillTint="33"/>
            <w:vAlign w:val="center"/>
          </w:tcPr>
          <w:p w14:paraId="62F91F9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49.1</w:t>
            </w:r>
            <w:r w:rsidRPr="00AF3A24">
              <w:rPr>
                <w:rFonts w:asciiTheme="minorHAnsi" w:hAnsiTheme="minorHAnsi"/>
                <w:bCs/>
                <w:color w:val="000000"/>
                <w:sz w:val="16"/>
                <w:szCs w:val="16"/>
              </w:rPr>
              <w:br/>
              <w:t>(47.7 - 50.5)</w:t>
            </w:r>
          </w:p>
        </w:tc>
        <w:tc>
          <w:tcPr>
            <w:tcW w:w="720" w:type="dxa"/>
            <w:tcBorders>
              <w:top w:val="nil"/>
              <w:left w:val="nil"/>
              <w:bottom w:val="nil"/>
              <w:right w:val="nil"/>
            </w:tcBorders>
            <w:shd w:val="clear" w:color="auto" w:fill="DAEEF3" w:themeFill="accent5" w:themeFillTint="33"/>
            <w:vAlign w:val="center"/>
          </w:tcPr>
          <w:p w14:paraId="0A3DAFD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272</w:t>
            </w:r>
          </w:p>
        </w:tc>
        <w:tc>
          <w:tcPr>
            <w:tcW w:w="1080" w:type="dxa"/>
            <w:tcBorders>
              <w:top w:val="nil"/>
              <w:left w:val="nil"/>
              <w:bottom w:val="nil"/>
              <w:right w:val="single" w:sz="4" w:space="0" w:color="auto"/>
            </w:tcBorders>
            <w:shd w:val="clear" w:color="auto" w:fill="DAEEF3" w:themeFill="accent5" w:themeFillTint="33"/>
            <w:vAlign w:val="center"/>
          </w:tcPr>
          <w:p w14:paraId="7B8F5F4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r w:rsidRPr="00AF3A24">
              <w:rPr>
                <w:rFonts w:asciiTheme="minorHAnsi" w:hAnsiTheme="minorHAnsi"/>
                <w:bCs/>
                <w:color w:val="000000"/>
                <w:sz w:val="16"/>
                <w:szCs w:val="16"/>
              </w:rPr>
              <w:br/>
              <w:t>(1.6 - 2.3)</w:t>
            </w:r>
          </w:p>
        </w:tc>
        <w:tc>
          <w:tcPr>
            <w:tcW w:w="720" w:type="dxa"/>
            <w:tcBorders>
              <w:top w:val="nil"/>
              <w:left w:val="nil"/>
              <w:bottom w:val="nil"/>
              <w:right w:val="nil"/>
            </w:tcBorders>
            <w:shd w:val="clear" w:color="auto" w:fill="DAEEF3" w:themeFill="accent5" w:themeFillTint="33"/>
            <w:vAlign w:val="center"/>
          </w:tcPr>
          <w:p w14:paraId="464661D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183</w:t>
            </w:r>
          </w:p>
        </w:tc>
        <w:tc>
          <w:tcPr>
            <w:tcW w:w="1069" w:type="dxa"/>
            <w:tcBorders>
              <w:top w:val="nil"/>
              <w:left w:val="nil"/>
              <w:bottom w:val="nil"/>
              <w:right w:val="single" w:sz="4" w:space="0" w:color="auto"/>
            </w:tcBorders>
            <w:shd w:val="clear" w:color="auto" w:fill="DAEEF3" w:themeFill="accent5" w:themeFillTint="33"/>
            <w:vAlign w:val="center"/>
          </w:tcPr>
          <w:p w14:paraId="15250A9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r w:rsidRPr="00AF3A24">
              <w:rPr>
                <w:rFonts w:asciiTheme="minorHAnsi" w:hAnsiTheme="minorHAnsi"/>
                <w:bCs/>
                <w:color w:val="000000"/>
                <w:sz w:val="16"/>
                <w:szCs w:val="16"/>
              </w:rPr>
              <w:br/>
              <w:t>(1.0 - 1.5)</w:t>
            </w:r>
          </w:p>
        </w:tc>
        <w:tc>
          <w:tcPr>
            <w:tcW w:w="1137" w:type="dxa"/>
            <w:tcBorders>
              <w:top w:val="nil"/>
              <w:left w:val="nil"/>
              <w:bottom w:val="nil"/>
              <w:right w:val="single" w:sz="4" w:space="0" w:color="auto"/>
            </w:tcBorders>
            <w:shd w:val="clear" w:color="auto" w:fill="B6DDE8" w:themeFill="accent5" w:themeFillTint="66"/>
            <w:vAlign w:val="center"/>
          </w:tcPr>
          <w:p w14:paraId="491327C1" w14:textId="77777777" w:rsidR="00FB0B7B" w:rsidRPr="00AF3A24" w:rsidRDefault="00FB0B7B"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851" w:type="dxa"/>
            <w:tcBorders>
              <w:top w:val="nil"/>
              <w:left w:val="nil"/>
              <w:bottom w:val="nil"/>
              <w:right w:val="single" w:sz="4" w:space="0" w:color="auto"/>
            </w:tcBorders>
            <w:shd w:val="clear" w:color="auto" w:fill="B6DDE8" w:themeFill="accent5" w:themeFillTint="66"/>
            <w:vAlign w:val="center"/>
          </w:tcPr>
          <w:p w14:paraId="7EE8F119" w14:textId="77777777" w:rsidR="00FB0B7B" w:rsidRPr="00AF3A24" w:rsidRDefault="00FB0B7B"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r>
      <w:tr w:rsidR="00FB0B7B" w:rsidRPr="00AF3A24" w14:paraId="01EB945C" w14:textId="77777777" w:rsidTr="004755F5">
        <w:tc>
          <w:tcPr>
            <w:tcW w:w="1418" w:type="dxa"/>
            <w:vMerge w:val="restart"/>
            <w:tcBorders>
              <w:top w:val="single" w:sz="4" w:space="0" w:color="auto"/>
            </w:tcBorders>
            <w:shd w:val="clear" w:color="auto" w:fill="DAEEF3" w:themeFill="accent5" w:themeFillTint="33"/>
            <w:vAlign w:val="center"/>
          </w:tcPr>
          <w:p w14:paraId="5B36B43B" w14:textId="77777777" w:rsidR="00FB0B7B" w:rsidRPr="00AF3A24" w:rsidRDefault="00FB0B7B" w:rsidP="004557FE">
            <w:pPr>
              <w:spacing w:before="0" w:line="240" w:lineRule="auto"/>
              <w:ind w:left="36"/>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888" w:type="dxa"/>
            <w:tcBorders>
              <w:top w:val="single" w:sz="4" w:space="0" w:color="auto"/>
              <w:bottom w:val="nil"/>
            </w:tcBorders>
            <w:shd w:val="clear" w:color="auto" w:fill="DAEEF3" w:themeFill="accent5" w:themeFillTint="33"/>
            <w:vAlign w:val="center"/>
          </w:tcPr>
          <w:p w14:paraId="5CAD30C5"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720" w:type="dxa"/>
            <w:tcBorders>
              <w:bottom w:val="nil"/>
              <w:right w:val="nil"/>
            </w:tcBorders>
            <w:shd w:val="clear" w:color="auto" w:fill="DAEEF3" w:themeFill="accent5" w:themeFillTint="33"/>
            <w:vAlign w:val="center"/>
          </w:tcPr>
          <w:p w14:paraId="7B34E0A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2,346</w:t>
            </w:r>
          </w:p>
        </w:tc>
        <w:tc>
          <w:tcPr>
            <w:tcW w:w="1080" w:type="dxa"/>
            <w:tcBorders>
              <w:left w:val="nil"/>
              <w:bottom w:val="nil"/>
              <w:right w:val="single" w:sz="4" w:space="0" w:color="auto"/>
            </w:tcBorders>
            <w:shd w:val="clear" w:color="auto" w:fill="DAEEF3" w:themeFill="accent5" w:themeFillTint="33"/>
            <w:vAlign w:val="center"/>
          </w:tcPr>
          <w:p w14:paraId="369ABCB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46.1</w:t>
            </w:r>
            <w:r w:rsidRPr="00AF3A24">
              <w:rPr>
                <w:rFonts w:asciiTheme="minorHAnsi" w:hAnsiTheme="minorHAnsi"/>
                <w:bCs/>
                <w:color w:val="000000"/>
                <w:sz w:val="16"/>
                <w:szCs w:val="16"/>
              </w:rPr>
              <w:br/>
              <w:t>(44.2 - 47.9)</w:t>
            </w:r>
          </w:p>
        </w:tc>
        <w:tc>
          <w:tcPr>
            <w:tcW w:w="720" w:type="dxa"/>
            <w:tcBorders>
              <w:left w:val="nil"/>
              <w:bottom w:val="nil"/>
              <w:right w:val="nil"/>
            </w:tcBorders>
            <w:shd w:val="clear" w:color="auto" w:fill="DAEEF3" w:themeFill="accent5" w:themeFillTint="33"/>
            <w:vAlign w:val="center"/>
          </w:tcPr>
          <w:p w14:paraId="6946506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2,550</w:t>
            </w:r>
          </w:p>
        </w:tc>
        <w:tc>
          <w:tcPr>
            <w:tcW w:w="1080" w:type="dxa"/>
            <w:tcBorders>
              <w:left w:val="nil"/>
              <w:bottom w:val="nil"/>
              <w:right w:val="single" w:sz="4" w:space="0" w:color="auto"/>
            </w:tcBorders>
            <w:shd w:val="clear" w:color="auto" w:fill="DAEEF3" w:themeFill="accent5" w:themeFillTint="33"/>
            <w:vAlign w:val="center"/>
          </w:tcPr>
          <w:p w14:paraId="49869744"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50.1</w:t>
            </w:r>
            <w:r w:rsidRPr="00AF3A24">
              <w:rPr>
                <w:rFonts w:asciiTheme="minorHAnsi" w:hAnsiTheme="minorHAnsi"/>
                <w:bCs/>
                <w:color w:val="000000"/>
                <w:sz w:val="16"/>
                <w:szCs w:val="16"/>
              </w:rPr>
              <w:br/>
              <w:t>(48.2 - 52.0)</w:t>
            </w:r>
          </w:p>
        </w:tc>
        <w:tc>
          <w:tcPr>
            <w:tcW w:w="720" w:type="dxa"/>
            <w:tcBorders>
              <w:left w:val="nil"/>
              <w:bottom w:val="nil"/>
              <w:right w:val="nil"/>
            </w:tcBorders>
            <w:shd w:val="clear" w:color="auto" w:fill="DAEEF3" w:themeFill="accent5" w:themeFillTint="33"/>
            <w:vAlign w:val="center"/>
          </w:tcPr>
          <w:p w14:paraId="4B65F97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p>
        </w:tc>
        <w:tc>
          <w:tcPr>
            <w:tcW w:w="1080" w:type="dxa"/>
            <w:tcBorders>
              <w:left w:val="nil"/>
              <w:bottom w:val="nil"/>
              <w:right w:val="single" w:sz="4" w:space="0" w:color="auto"/>
            </w:tcBorders>
            <w:shd w:val="clear" w:color="auto" w:fill="DAEEF3" w:themeFill="accent5" w:themeFillTint="33"/>
            <w:vAlign w:val="center"/>
          </w:tcPr>
          <w:p w14:paraId="222074C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w:t>
            </w:r>
            <w:r w:rsidRPr="00AF3A24">
              <w:rPr>
                <w:rFonts w:asciiTheme="minorHAnsi" w:hAnsiTheme="minorHAnsi"/>
                <w:bCs/>
                <w:color w:val="000000"/>
                <w:sz w:val="16"/>
                <w:szCs w:val="16"/>
              </w:rPr>
              <w:br/>
              <w:t>(1.7 - 2.7)</w:t>
            </w:r>
          </w:p>
        </w:tc>
        <w:tc>
          <w:tcPr>
            <w:tcW w:w="720" w:type="dxa"/>
            <w:tcBorders>
              <w:left w:val="nil"/>
              <w:bottom w:val="nil"/>
              <w:right w:val="nil"/>
            </w:tcBorders>
            <w:shd w:val="clear" w:color="auto" w:fill="DAEEF3" w:themeFill="accent5" w:themeFillTint="33"/>
            <w:vAlign w:val="center"/>
          </w:tcPr>
          <w:p w14:paraId="522C6CE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tc>
        <w:tc>
          <w:tcPr>
            <w:tcW w:w="1069" w:type="dxa"/>
            <w:tcBorders>
              <w:left w:val="nil"/>
              <w:bottom w:val="nil"/>
              <w:right w:val="single" w:sz="4" w:space="0" w:color="auto"/>
            </w:tcBorders>
            <w:shd w:val="clear" w:color="auto" w:fill="DAEEF3" w:themeFill="accent5" w:themeFillTint="33"/>
            <w:vAlign w:val="center"/>
          </w:tcPr>
          <w:p w14:paraId="0D5BA54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w:t>
            </w:r>
            <w:r w:rsidRPr="00AF3A24">
              <w:rPr>
                <w:rFonts w:asciiTheme="minorHAnsi" w:hAnsiTheme="minorHAnsi"/>
                <w:bCs/>
                <w:color w:val="000000"/>
                <w:sz w:val="16"/>
                <w:szCs w:val="16"/>
              </w:rPr>
              <w:br/>
              <w:t>(1.2 - 2.0)</w:t>
            </w:r>
          </w:p>
        </w:tc>
        <w:tc>
          <w:tcPr>
            <w:tcW w:w="1137" w:type="dxa"/>
            <w:tcBorders>
              <w:left w:val="nil"/>
              <w:bottom w:val="nil"/>
              <w:right w:val="single" w:sz="4" w:space="0" w:color="auto"/>
            </w:tcBorders>
            <w:shd w:val="clear" w:color="auto" w:fill="B6DDE8" w:themeFill="accent5" w:themeFillTint="66"/>
            <w:vAlign w:val="center"/>
          </w:tcPr>
          <w:p w14:paraId="0FDF6A56"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1.8 </w:t>
            </w:r>
          </w:p>
          <w:p w14:paraId="08FF0FCE"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 – 2.7)</w:t>
            </w:r>
          </w:p>
        </w:tc>
        <w:tc>
          <w:tcPr>
            <w:tcW w:w="851" w:type="dxa"/>
            <w:vMerge w:val="restart"/>
            <w:tcBorders>
              <w:left w:val="nil"/>
              <w:right w:val="single" w:sz="4" w:space="0" w:color="auto"/>
            </w:tcBorders>
            <w:shd w:val="clear" w:color="auto" w:fill="B6DDE8" w:themeFill="accent5" w:themeFillTint="66"/>
            <w:vAlign w:val="center"/>
          </w:tcPr>
          <w:p w14:paraId="3C0E0BE8" w14:textId="77777777" w:rsidR="00FB0B7B" w:rsidRPr="00AF3A24" w:rsidRDefault="00FB0B7B"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w:t>
            </w:r>
            <w:r w:rsidRPr="00AF3A24">
              <w:rPr>
                <w:rFonts w:asciiTheme="minorHAnsi" w:hAnsiTheme="minorHAnsi"/>
                <w:bCs/>
                <w:color w:val="000000"/>
                <w:sz w:val="16"/>
                <w:szCs w:val="16"/>
              </w:rPr>
              <w:t>.0023</w:t>
            </w:r>
          </w:p>
        </w:tc>
      </w:tr>
      <w:tr w:rsidR="00FB0B7B" w:rsidRPr="00AF3A24" w14:paraId="2AA2ED41" w14:textId="77777777" w:rsidTr="004755F5">
        <w:tc>
          <w:tcPr>
            <w:tcW w:w="1418" w:type="dxa"/>
            <w:vMerge/>
            <w:tcBorders>
              <w:bottom w:val="nil"/>
            </w:tcBorders>
            <w:shd w:val="clear" w:color="auto" w:fill="DAEEF3" w:themeFill="accent5" w:themeFillTint="33"/>
            <w:vAlign w:val="center"/>
          </w:tcPr>
          <w:p w14:paraId="45A72F11"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single" w:sz="4" w:space="0" w:color="auto"/>
            </w:tcBorders>
            <w:shd w:val="clear" w:color="auto" w:fill="DAEEF3" w:themeFill="accent5" w:themeFillTint="33"/>
            <w:vAlign w:val="center"/>
          </w:tcPr>
          <w:p w14:paraId="39C56802"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720" w:type="dxa"/>
            <w:tcBorders>
              <w:top w:val="nil"/>
              <w:bottom w:val="single" w:sz="4" w:space="0" w:color="auto"/>
              <w:right w:val="nil"/>
            </w:tcBorders>
            <w:shd w:val="clear" w:color="auto" w:fill="DAEEF3" w:themeFill="accent5" w:themeFillTint="33"/>
            <w:vAlign w:val="center"/>
          </w:tcPr>
          <w:p w14:paraId="6533F47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3,701</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1537182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49.3</w:t>
            </w:r>
            <w:r w:rsidRPr="00AF3A24">
              <w:rPr>
                <w:rFonts w:asciiTheme="minorHAnsi" w:hAnsiTheme="minorHAnsi"/>
                <w:bCs/>
                <w:color w:val="000000"/>
                <w:sz w:val="16"/>
                <w:szCs w:val="16"/>
              </w:rPr>
              <w:br/>
              <w:t>(47.6 - 51.0)</w:t>
            </w:r>
          </w:p>
        </w:tc>
        <w:tc>
          <w:tcPr>
            <w:tcW w:w="720" w:type="dxa"/>
            <w:tcBorders>
              <w:top w:val="nil"/>
              <w:left w:val="nil"/>
              <w:bottom w:val="single" w:sz="4" w:space="0" w:color="auto"/>
              <w:right w:val="nil"/>
            </w:tcBorders>
            <w:shd w:val="clear" w:color="auto" w:fill="DAEEF3" w:themeFill="accent5" w:themeFillTint="33"/>
            <w:vAlign w:val="center"/>
          </w:tcPr>
          <w:p w14:paraId="7DA5971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3,542</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54A1EC7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48.1</w:t>
            </w:r>
            <w:r w:rsidRPr="00AF3A24">
              <w:rPr>
                <w:rFonts w:asciiTheme="minorHAnsi" w:hAnsiTheme="minorHAnsi"/>
                <w:bCs/>
                <w:color w:val="000000"/>
                <w:sz w:val="16"/>
                <w:szCs w:val="16"/>
              </w:rPr>
              <w:br/>
              <w:t>(46.4 - 49.8)</w:t>
            </w:r>
          </w:p>
        </w:tc>
        <w:tc>
          <w:tcPr>
            <w:tcW w:w="720" w:type="dxa"/>
            <w:tcBorders>
              <w:top w:val="nil"/>
              <w:left w:val="nil"/>
              <w:bottom w:val="single" w:sz="4" w:space="0" w:color="auto"/>
              <w:right w:val="nil"/>
            </w:tcBorders>
            <w:shd w:val="clear" w:color="auto" w:fill="DAEEF3" w:themeFill="accent5" w:themeFillTint="33"/>
            <w:vAlign w:val="center"/>
          </w:tcPr>
          <w:p w14:paraId="62F8E04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152</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00C1D2BA"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(1.3 - 2.1)</w:t>
            </w:r>
          </w:p>
        </w:tc>
        <w:tc>
          <w:tcPr>
            <w:tcW w:w="720" w:type="dxa"/>
            <w:tcBorders>
              <w:top w:val="nil"/>
              <w:left w:val="nil"/>
              <w:bottom w:val="single" w:sz="4" w:space="0" w:color="auto"/>
              <w:right w:val="nil"/>
            </w:tcBorders>
            <w:shd w:val="clear" w:color="auto" w:fill="DAEEF3" w:themeFill="accent5" w:themeFillTint="33"/>
            <w:vAlign w:val="center"/>
          </w:tcPr>
          <w:p w14:paraId="26BDDA8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92</w:t>
            </w:r>
          </w:p>
        </w:tc>
        <w:tc>
          <w:tcPr>
            <w:tcW w:w="1069" w:type="dxa"/>
            <w:tcBorders>
              <w:top w:val="nil"/>
              <w:left w:val="nil"/>
              <w:bottom w:val="single" w:sz="4" w:space="0" w:color="auto"/>
              <w:right w:val="single" w:sz="4" w:space="0" w:color="auto"/>
            </w:tcBorders>
            <w:shd w:val="clear" w:color="auto" w:fill="DAEEF3" w:themeFill="accent5" w:themeFillTint="33"/>
            <w:vAlign w:val="center"/>
          </w:tcPr>
          <w:p w14:paraId="5C742B6E"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w:t>
            </w:r>
            <w:r w:rsidRPr="00AF3A24">
              <w:rPr>
                <w:rFonts w:asciiTheme="minorHAnsi" w:hAnsiTheme="minorHAnsi"/>
                <w:bCs/>
                <w:color w:val="000000"/>
                <w:sz w:val="16"/>
                <w:szCs w:val="16"/>
              </w:rPr>
              <w:br/>
              <w:t>(0.6 - 1.2)</w:t>
            </w:r>
          </w:p>
        </w:tc>
        <w:tc>
          <w:tcPr>
            <w:tcW w:w="1137" w:type="dxa"/>
            <w:tcBorders>
              <w:top w:val="nil"/>
              <w:left w:val="nil"/>
              <w:bottom w:val="single" w:sz="4" w:space="0" w:color="auto"/>
              <w:right w:val="single" w:sz="4" w:space="0" w:color="auto"/>
            </w:tcBorders>
            <w:shd w:val="clear" w:color="auto" w:fill="B6DDE8" w:themeFill="accent5" w:themeFillTint="66"/>
            <w:vAlign w:val="center"/>
          </w:tcPr>
          <w:p w14:paraId="6FB2F283" w14:textId="77777777" w:rsidR="00FB0B7B" w:rsidRPr="00AF3A24" w:rsidRDefault="00FB0B7B"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851" w:type="dxa"/>
            <w:vMerge/>
            <w:tcBorders>
              <w:left w:val="nil"/>
              <w:bottom w:val="single" w:sz="4" w:space="0" w:color="auto"/>
              <w:right w:val="single" w:sz="4" w:space="0" w:color="auto"/>
            </w:tcBorders>
            <w:shd w:val="clear" w:color="auto" w:fill="B6DDE8" w:themeFill="accent5" w:themeFillTint="66"/>
            <w:vAlign w:val="center"/>
          </w:tcPr>
          <w:p w14:paraId="3F0E8220"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E1507C" w:rsidRPr="00AF3A24" w14:paraId="6C7B5EE1" w14:textId="77777777" w:rsidTr="004755F5">
        <w:tc>
          <w:tcPr>
            <w:tcW w:w="1418" w:type="dxa"/>
            <w:vMerge w:val="restart"/>
            <w:tcBorders>
              <w:top w:val="single" w:sz="4" w:space="0" w:color="auto"/>
            </w:tcBorders>
            <w:shd w:val="clear" w:color="auto" w:fill="DAEEF3" w:themeFill="accent5" w:themeFillTint="33"/>
            <w:vAlign w:val="center"/>
          </w:tcPr>
          <w:p w14:paraId="4774921B" w14:textId="77777777" w:rsidR="00E1507C" w:rsidRPr="00AF3A24" w:rsidRDefault="00E1507C" w:rsidP="004557FE">
            <w:pPr>
              <w:spacing w:before="0" w:line="240" w:lineRule="auto"/>
              <w:ind w:left="36"/>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888" w:type="dxa"/>
            <w:tcBorders>
              <w:top w:val="single" w:sz="4" w:space="0" w:color="auto"/>
              <w:bottom w:val="nil"/>
            </w:tcBorders>
            <w:shd w:val="clear" w:color="auto" w:fill="DAEEF3" w:themeFill="accent5" w:themeFillTint="33"/>
            <w:vAlign w:val="center"/>
          </w:tcPr>
          <w:p w14:paraId="5E15F830" w14:textId="77777777" w:rsidR="00E1507C" w:rsidRPr="00AF3A24" w:rsidRDefault="00E1507C" w:rsidP="004557FE">
            <w:pPr>
              <w:spacing w:before="0" w:line="240" w:lineRule="auto"/>
              <w:jc w:val="left"/>
              <w:rPr>
                <w:rFonts w:asciiTheme="minorHAnsi" w:hAnsiTheme="minorHAnsi" w:cstheme="minorHAnsi"/>
                <w:sz w:val="16"/>
                <w:szCs w:val="16"/>
                <w:highlight w:val="yellow"/>
              </w:rPr>
            </w:pPr>
            <w:r w:rsidRPr="00AF3A24">
              <w:rPr>
                <w:rFonts w:asciiTheme="minorHAnsi" w:hAnsiTheme="minorHAnsi" w:cstheme="minorHAnsi"/>
                <w:sz w:val="16"/>
                <w:szCs w:val="16"/>
              </w:rPr>
              <w:t>15 - 24</w:t>
            </w:r>
          </w:p>
        </w:tc>
        <w:tc>
          <w:tcPr>
            <w:tcW w:w="720" w:type="dxa"/>
            <w:tcBorders>
              <w:bottom w:val="nil"/>
              <w:right w:val="nil"/>
            </w:tcBorders>
            <w:shd w:val="clear" w:color="auto" w:fill="DAEEF3" w:themeFill="accent5" w:themeFillTint="33"/>
            <w:vAlign w:val="center"/>
          </w:tcPr>
          <w:p w14:paraId="0BDF363D"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1,017</w:t>
            </w:r>
          </w:p>
        </w:tc>
        <w:tc>
          <w:tcPr>
            <w:tcW w:w="1080" w:type="dxa"/>
            <w:tcBorders>
              <w:left w:val="nil"/>
              <w:bottom w:val="nil"/>
              <w:right w:val="single" w:sz="4" w:space="0" w:color="auto"/>
            </w:tcBorders>
            <w:shd w:val="clear" w:color="auto" w:fill="DAEEF3" w:themeFill="accent5" w:themeFillTint="33"/>
            <w:vAlign w:val="center"/>
          </w:tcPr>
          <w:p w14:paraId="0D306BC0"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67.4</w:t>
            </w:r>
            <w:r w:rsidRPr="00AF3A24">
              <w:rPr>
                <w:rFonts w:asciiTheme="minorHAnsi" w:hAnsiTheme="minorHAnsi"/>
                <w:bCs/>
                <w:color w:val="000000"/>
                <w:sz w:val="16"/>
                <w:szCs w:val="16"/>
              </w:rPr>
              <w:br/>
              <w:t>(64.4 - 70.3)</w:t>
            </w:r>
          </w:p>
        </w:tc>
        <w:tc>
          <w:tcPr>
            <w:tcW w:w="720" w:type="dxa"/>
            <w:tcBorders>
              <w:left w:val="nil"/>
              <w:bottom w:val="nil"/>
              <w:right w:val="nil"/>
            </w:tcBorders>
            <w:shd w:val="clear" w:color="auto" w:fill="DAEEF3" w:themeFill="accent5" w:themeFillTint="33"/>
            <w:vAlign w:val="center"/>
          </w:tcPr>
          <w:p w14:paraId="15A250F6"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419</w:t>
            </w:r>
          </w:p>
        </w:tc>
        <w:tc>
          <w:tcPr>
            <w:tcW w:w="1080" w:type="dxa"/>
            <w:tcBorders>
              <w:left w:val="nil"/>
              <w:bottom w:val="nil"/>
              <w:right w:val="single" w:sz="4" w:space="0" w:color="auto"/>
            </w:tcBorders>
            <w:shd w:val="clear" w:color="auto" w:fill="DAEEF3" w:themeFill="accent5" w:themeFillTint="33"/>
            <w:vAlign w:val="center"/>
          </w:tcPr>
          <w:p w14:paraId="0F08A74A"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29.4</w:t>
            </w:r>
            <w:r w:rsidRPr="00AF3A24">
              <w:rPr>
                <w:rFonts w:asciiTheme="minorHAnsi" w:hAnsiTheme="minorHAnsi"/>
                <w:bCs/>
                <w:color w:val="000000"/>
                <w:sz w:val="16"/>
                <w:szCs w:val="16"/>
              </w:rPr>
              <w:br/>
              <w:t>(26.5 - 32.3)</w:t>
            </w:r>
          </w:p>
        </w:tc>
        <w:tc>
          <w:tcPr>
            <w:tcW w:w="720" w:type="dxa"/>
            <w:tcBorders>
              <w:left w:val="nil"/>
              <w:bottom w:val="nil"/>
              <w:right w:val="nil"/>
            </w:tcBorders>
            <w:shd w:val="clear" w:color="auto" w:fill="DAEEF3" w:themeFill="accent5" w:themeFillTint="33"/>
            <w:vAlign w:val="center"/>
          </w:tcPr>
          <w:p w14:paraId="5A068504"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p>
        </w:tc>
        <w:tc>
          <w:tcPr>
            <w:tcW w:w="1080" w:type="dxa"/>
            <w:tcBorders>
              <w:left w:val="nil"/>
              <w:bottom w:val="nil"/>
              <w:right w:val="single" w:sz="4" w:space="0" w:color="auto"/>
            </w:tcBorders>
            <w:shd w:val="clear" w:color="auto" w:fill="DAEEF3" w:themeFill="accent5" w:themeFillTint="33"/>
            <w:vAlign w:val="center"/>
          </w:tcPr>
          <w:p w14:paraId="4729E111"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w:t>
            </w:r>
            <w:r w:rsidRPr="00AF3A24">
              <w:rPr>
                <w:rFonts w:asciiTheme="minorHAnsi" w:hAnsiTheme="minorHAnsi"/>
                <w:bCs/>
                <w:color w:val="000000"/>
                <w:sz w:val="16"/>
                <w:szCs w:val="16"/>
              </w:rPr>
              <w:br/>
              <w:t>(1.2 - 3.2)</w:t>
            </w:r>
          </w:p>
        </w:tc>
        <w:tc>
          <w:tcPr>
            <w:tcW w:w="720" w:type="dxa"/>
            <w:tcBorders>
              <w:left w:val="nil"/>
              <w:bottom w:val="nil"/>
              <w:right w:val="nil"/>
            </w:tcBorders>
            <w:shd w:val="clear" w:color="auto" w:fill="DAEEF3" w:themeFill="accent5" w:themeFillTint="33"/>
            <w:vAlign w:val="center"/>
          </w:tcPr>
          <w:p w14:paraId="2CAC1142"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left w:val="nil"/>
              <w:bottom w:val="nil"/>
              <w:right w:val="single" w:sz="4" w:space="0" w:color="auto"/>
            </w:tcBorders>
            <w:shd w:val="clear" w:color="auto" w:fill="DAEEF3" w:themeFill="accent5" w:themeFillTint="33"/>
            <w:vAlign w:val="center"/>
          </w:tcPr>
          <w:p w14:paraId="601EE0C6" w14:textId="77777777" w:rsidR="00E1507C" w:rsidRPr="00980823" w:rsidRDefault="00E1507C"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left w:val="nil"/>
              <w:bottom w:val="nil"/>
              <w:right w:val="single" w:sz="4" w:space="0" w:color="auto"/>
            </w:tcBorders>
            <w:shd w:val="clear" w:color="auto" w:fill="B6DDE8" w:themeFill="accent5" w:themeFillTint="66"/>
            <w:vAlign w:val="center"/>
          </w:tcPr>
          <w:p w14:paraId="1BA1F6EE" w14:textId="77777777" w:rsidR="00E1507C"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1.7 </w:t>
            </w:r>
          </w:p>
          <w:p w14:paraId="2F8ACAA0" w14:textId="77777777" w:rsidR="00E1507C" w:rsidRPr="00AF3A24" w:rsidRDefault="00E1507C"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(0.8 - 3.8)</w:t>
            </w:r>
          </w:p>
        </w:tc>
        <w:tc>
          <w:tcPr>
            <w:tcW w:w="851" w:type="dxa"/>
            <w:vMerge w:val="restart"/>
            <w:tcBorders>
              <w:left w:val="nil"/>
              <w:right w:val="single" w:sz="4" w:space="0" w:color="auto"/>
            </w:tcBorders>
            <w:shd w:val="clear" w:color="auto" w:fill="B6DDE8" w:themeFill="accent5" w:themeFillTint="66"/>
            <w:vAlign w:val="center"/>
          </w:tcPr>
          <w:p w14:paraId="7A8C1E82" w14:textId="77777777" w:rsidR="00E1507C" w:rsidRPr="00AF3A24" w:rsidRDefault="00E1507C" w:rsidP="004557FE">
            <w:pPr>
              <w:spacing w:before="0" w:line="240" w:lineRule="auto"/>
              <w:jc w:val="center"/>
              <w:rPr>
                <w:rFonts w:asciiTheme="minorHAnsi" w:hAnsiTheme="minorHAnsi"/>
                <w:bCs/>
                <w:color w:val="000000"/>
                <w:sz w:val="16"/>
                <w:szCs w:val="16"/>
                <w:highlight w:val="cyan"/>
              </w:rPr>
            </w:pPr>
            <w:r>
              <w:rPr>
                <w:rFonts w:asciiTheme="minorHAnsi" w:hAnsiTheme="minorHAnsi"/>
                <w:bCs/>
                <w:color w:val="000000"/>
                <w:sz w:val="16"/>
                <w:szCs w:val="16"/>
              </w:rPr>
              <w:t>0</w:t>
            </w:r>
            <w:r w:rsidRPr="00AF3A24">
              <w:rPr>
                <w:rFonts w:asciiTheme="minorHAnsi" w:hAnsiTheme="minorHAnsi"/>
                <w:bCs/>
                <w:color w:val="000000"/>
                <w:sz w:val="16"/>
                <w:szCs w:val="16"/>
              </w:rPr>
              <w:t>.0046</w:t>
            </w:r>
          </w:p>
        </w:tc>
      </w:tr>
      <w:tr w:rsidR="00FB0B7B" w:rsidRPr="00AF3A24" w14:paraId="4472F9D9" w14:textId="77777777" w:rsidTr="004755F5">
        <w:tc>
          <w:tcPr>
            <w:tcW w:w="1418" w:type="dxa"/>
            <w:vMerge/>
            <w:shd w:val="clear" w:color="auto" w:fill="DAEEF3" w:themeFill="accent5" w:themeFillTint="33"/>
            <w:vAlign w:val="center"/>
          </w:tcPr>
          <w:p w14:paraId="53F3CF1B"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4B5D11E7"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720" w:type="dxa"/>
            <w:tcBorders>
              <w:top w:val="nil"/>
              <w:bottom w:val="nil"/>
              <w:right w:val="nil"/>
            </w:tcBorders>
            <w:shd w:val="clear" w:color="auto" w:fill="DAEEF3" w:themeFill="accent5" w:themeFillTint="33"/>
            <w:vAlign w:val="center"/>
          </w:tcPr>
          <w:p w14:paraId="4C84B59E"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964</w:t>
            </w:r>
          </w:p>
        </w:tc>
        <w:tc>
          <w:tcPr>
            <w:tcW w:w="1080" w:type="dxa"/>
            <w:tcBorders>
              <w:top w:val="nil"/>
              <w:left w:val="nil"/>
              <w:bottom w:val="nil"/>
              <w:right w:val="single" w:sz="4" w:space="0" w:color="auto"/>
            </w:tcBorders>
            <w:shd w:val="clear" w:color="auto" w:fill="DAEEF3" w:themeFill="accent5" w:themeFillTint="33"/>
            <w:vAlign w:val="center"/>
          </w:tcPr>
          <w:p w14:paraId="1A383B0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46.0</w:t>
            </w:r>
            <w:r w:rsidRPr="00AF3A24">
              <w:rPr>
                <w:rFonts w:asciiTheme="minorHAnsi" w:hAnsiTheme="minorHAnsi"/>
                <w:bCs/>
                <w:color w:val="000000"/>
                <w:sz w:val="16"/>
                <w:szCs w:val="16"/>
              </w:rPr>
              <w:br/>
              <w:t>(42.9 - 49.2)</w:t>
            </w:r>
          </w:p>
        </w:tc>
        <w:tc>
          <w:tcPr>
            <w:tcW w:w="720" w:type="dxa"/>
            <w:tcBorders>
              <w:top w:val="nil"/>
              <w:left w:val="nil"/>
              <w:bottom w:val="nil"/>
              <w:right w:val="nil"/>
            </w:tcBorders>
            <w:shd w:val="clear" w:color="auto" w:fill="DAEEF3" w:themeFill="accent5" w:themeFillTint="33"/>
            <w:vAlign w:val="center"/>
          </w:tcPr>
          <w:p w14:paraId="7A3E3497"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889</w:t>
            </w:r>
          </w:p>
        </w:tc>
        <w:tc>
          <w:tcPr>
            <w:tcW w:w="1080" w:type="dxa"/>
            <w:tcBorders>
              <w:top w:val="nil"/>
              <w:left w:val="nil"/>
              <w:bottom w:val="nil"/>
              <w:right w:val="single" w:sz="4" w:space="0" w:color="auto"/>
            </w:tcBorders>
            <w:shd w:val="clear" w:color="auto" w:fill="DAEEF3" w:themeFill="accent5" w:themeFillTint="33"/>
            <w:vAlign w:val="center"/>
          </w:tcPr>
          <w:p w14:paraId="3F74810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49.7</w:t>
            </w:r>
            <w:r w:rsidRPr="00AF3A24">
              <w:rPr>
                <w:rFonts w:asciiTheme="minorHAnsi" w:hAnsiTheme="minorHAnsi"/>
                <w:bCs/>
                <w:color w:val="000000"/>
                <w:sz w:val="16"/>
                <w:szCs w:val="16"/>
              </w:rPr>
              <w:br/>
              <w:t>(46.5 - 52.9)</w:t>
            </w:r>
          </w:p>
        </w:tc>
        <w:tc>
          <w:tcPr>
            <w:tcW w:w="720" w:type="dxa"/>
            <w:tcBorders>
              <w:top w:val="nil"/>
              <w:left w:val="nil"/>
              <w:bottom w:val="nil"/>
              <w:right w:val="nil"/>
            </w:tcBorders>
            <w:shd w:val="clear" w:color="auto" w:fill="DAEEF3" w:themeFill="accent5" w:themeFillTint="33"/>
            <w:vAlign w:val="center"/>
          </w:tcPr>
          <w:p w14:paraId="7386292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w:t>
            </w:r>
          </w:p>
        </w:tc>
        <w:tc>
          <w:tcPr>
            <w:tcW w:w="1080" w:type="dxa"/>
            <w:tcBorders>
              <w:top w:val="nil"/>
              <w:left w:val="nil"/>
              <w:bottom w:val="nil"/>
              <w:right w:val="single" w:sz="4" w:space="0" w:color="auto"/>
            </w:tcBorders>
            <w:shd w:val="clear" w:color="auto" w:fill="DAEEF3" w:themeFill="accent5" w:themeFillTint="33"/>
            <w:vAlign w:val="center"/>
          </w:tcPr>
          <w:p w14:paraId="7CE6A26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w:t>
            </w:r>
            <w:r w:rsidRPr="00AF3A24">
              <w:rPr>
                <w:rFonts w:asciiTheme="minorHAnsi" w:hAnsiTheme="minorHAnsi"/>
                <w:bCs/>
                <w:color w:val="000000"/>
                <w:sz w:val="16"/>
                <w:szCs w:val="16"/>
              </w:rPr>
              <w:br/>
              <w:t>(1.5 - 3.0)</w:t>
            </w:r>
          </w:p>
        </w:tc>
        <w:tc>
          <w:tcPr>
            <w:tcW w:w="720" w:type="dxa"/>
            <w:tcBorders>
              <w:top w:val="nil"/>
              <w:left w:val="nil"/>
              <w:bottom w:val="nil"/>
              <w:right w:val="nil"/>
            </w:tcBorders>
            <w:shd w:val="clear" w:color="auto" w:fill="DAEEF3" w:themeFill="accent5" w:themeFillTint="33"/>
            <w:vAlign w:val="center"/>
          </w:tcPr>
          <w:p w14:paraId="36F20BD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p>
        </w:tc>
        <w:tc>
          <w:tcPr>
            <w:tcW w:w="1069" w:type="dxa"/>
            <w:tcBorders>
              <w:top w:val="nil"/>
              <w:left w:val="nil"/>
              <w:bottom w:val="nil"/>
              <w:right w:val="single" w:sz="4" w:space="0" w:color="auto"/>
            </w:tcBorders>
            <w:shd w:val="clear" w:color="auto" w:fill="DAEEF3" w:themeFill="accent5" w:themeFillTint="33"/>
            <w:vAlign w:val="center"/>
          </w:tcPr>
          <w:p w14:paraId="7EBCDB4B"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r w:rsidRPr="00AF3A24">
              <w:rPr>
                <w:rFonts w:asciiTheme="minorHAnsi" w:hAnsiTheme="minorHAnsi"/>
                <w:bCs/>
                <w:color w:val="000000"/>
                <w:sz w:val="16"/>
                <w:szCs w:val="16"/>
              </w:rPr>
              <w:br/>
              <w:t>(1.2 - 2.8)</w:t>
            </w:r>
          </w:p>
        </w:tc>
        <w:tc>
          <w:tcPr>
            <w:tcW w:w="1137" w:type="dxa"/>
            <w:tcBorders>
              <w:top w:val="nil"/>
              <w:left w:val="nil"/>
              <w:bottom w:val="nil"/>
              <w:right w:val="single" w:sz="4" w:space="0" w:color="auto"/>
            </w:tcBorders>
            <w:shd w:val="clear" w:color="auto" w:fill="B6DDE8" w:themeFill="accent5" w:themeFillTint="66"/>
            <w:vAlign w:val="center"/>
          </w:tcPr>
          <w:p w14:paraId="2E35C22F"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3.4 </w:t>
            </w:r>
          </w:p>
          <w:p w14:paraId="5F675B5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(1.6 - 7.3)</w:t>
            </w:r>
          </w:p>
        </w:tc>
        <w:tc>
          <w:tcPr>
            <w:tcW w:w="851" w:type="dxa"/>
            <w:vMerge/>
            <w:tcBorders>
              <w:left w:val="nil"/>
              <w:right w:val="single" w:sz="4" w:space="0" w:color="auto"/>
            </w:tcBorders>
            <w:shd w:val="clear" w:color="auto" w:fill="B6DDE8" w:themeFill="accent5" w:themeFillTint="66"/>
            <w:vAlign w:val="center"/>
          </w:tcPr>
          <w:p w14:paraId="1B270EE4"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FB0B7B" w:rsidRPr="00AF3A24" w14:paraId="4DC88BA8" w14:textId="77777777" w:rsidTr="004755F5">
        <w:tc>
          <w:tcPr>
            <w:tcW w:w="1418" w:type="dxa"/>
            <w:vMerge/>
            <w:shd w:val="clear" w:color="auto" w:fill="DAEEF3" w:themeFill="accent5" w:themeFillTint="33"/>
            <w:vAlign w:val="center"/>
          </w:tcPr>
          <w:p w14:paraId="09E7DC71"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1F009007"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720" w:type="dxa"/>
            <w:tcBorders>
              <w:top w:val="nil"/>
              <w:bottom w:val="nil"/>
              <w:right w:val="nil"/>
            </w:tcBorders>
            <w:shd w:val="clear" w:color="auto" w:fill="DAEEF3" w:themeFill="accent5" w:themeFillTint="33"/>
            <w:vAlign w:val="center"/>
          </w:tcPr>
          <w:p w14:paraId="73A2202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1,079</w:t>
            </w:r>
          </w:p>
        </w:tc>
        <w:tc>
          <w:tcPr>
            <w:tcW w:w="1080" w:type="dxa"/>
            <w:tcBorders>
              <w:top w:val="nil"/>
              <w:left w:val="nil"/>
              <w:bottom w:val="nil"/>
              <w:right w:val="single" w:sz="4" w:space="0" w:color="auto"/>
            </w:tcBorders>
            <w:shd w:val="clear" w:color="auto" w:fill="DAEEF3" w:themeFill="accent5" w:themeFillTint="33"/>
            <w:vAlign w:val="center"/>
          </w:tcPr>
          <w:p w14:paraId="2DB765A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42.9</w:t>
            </w:r>
            <w:r w:rsidRPr="00AF3A24">
              <w:rPr>
                <w:rFonts w:asciiTheme="minorHAnsi" w:hAnsiTheme="minorHAnsi"/>
                <w:bCs/>
                <w:color w:val="000000"/>
                <w:sz w:val="16"/>
                <w:szCs w:val="16"/>
              </w:rPr>
              <w:br/>
              <w:t>(40.3 - 45.5)</w:t>
            </w:r>
          </w:p>
        </w:tc>
        <w:tc>
          <w:tcPr>
            <w:tcW w:w="720" w:type="dxa"/>
            <w:tcBorders>
              <w:top w:val="nil"/>
              <w:left w:val="nil"/>
              <w:bottom w:val="nil"/>
              <w:right w:val="nil"/>
            </w:tcBorders>
            <w:shd w:val="clear" w:color="auto" w:fill="DAEEF3" w:themeFill="accent5" w:themeFillTint="33"/>
            <w:vAlign w:val="center"/>
          </w:tcPr>
          <w:p w14:paraId="6FC4C05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1,201</w:t>
            </w:r>
          </w:p>
        </w:tc>
        <w:tc>
          <w:tcPr>
            <w:tcW w:w="1080" w:type="dxa"/>
            <w:tcBorders>
              <w:top w:val="nil"/>
              <w:left w:val="nil"/>
              <w:bottom w:val="nil"/>
              <w:right w:val="single" w:sz="4" w:space="0" w:color="auto"/>
            </w:tcBorders>
            <w:shd w:val="clear" w:color="auto" w:fill="DAEEF3" w:themeFill="accent5" w:themeFillTint="33"/>
            <w:vAlign w:val="center"/>
          </w:tcPr>
          <w:p w14:paraId="6A14AF2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53.3</w:t>
            </w:r>
            <w:r w:rsidRPr="00AF3A24">
              <w:rPr>
                <w:rFonts w:asciiTheme="minorHAnsi" w:hAnsiTheme="minorHAnsi"/>
                <w:bCs/>
                <w:color w:val="000000"/>
                <w:sz w:val="16"/>
                <w:szCs w:val="16"/>
              </w:rPr>
              <w:br/>
              <w:t>(50.7 - 56.0)</w:t>
            </w:r>
          </w:p>
        </w:tc>
        <w:tc>
          <w:tcPr>
            <w:tcW w:w="720" w:type="dxa"/>
            <w:tcBorders>
              <w:top w:val="nil"/>
              <w:left w:val="nil"/>
              <w:bottom w:val="nil"/>
              <w:right w:val="nil"/>
            </w:tcBorders>
            <w:shd w:val="clear" w:color="auto" w:fill="DAEEF3" w:themeFill="accent5" w:themeFillTint="33"/>
            <w:vAlign w:val="center"/>
          </w:tcPr>
          <w:p w14:paraId="3690B00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65</w:t>
            </w:r>
          </w:p>
        </w:tc>
        <w:tc>
          <w:tcPr>
            <w:tcW w:w="1080" w:type="dxa"/>
            <w:tcBorders>
              <w:top w:val="nil"/>
              <w:left w:val="nil"/>
              <w:bottom w:val="nil"/>
              <w:right w:val="single" w:sz="4" w:space="0" w:color="auto"/>
            </w:tcBorders>
            <w:shd w:val="clear" w:color="auto" w:fill="DAEEF3" w:themeFill="accent5" w:themeFillTint="33"/>
            <w:vAlign w:val="center"/>
          </w:tcPr>
          <w:p w14:paraId="67BCF6B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(1.6 - 3.2)</w:t>
            </w:r>
          </w:p>
        </w:tc>
        <w:tc>
          <w:tcPr>
            <w:tcW w:w="720" w:type="dxa"/>
            <w:tcBorders>
              <w:top w:val="nil"/>
              <w:left w:val="nil"/>
              <w:bottom w:val="nil"/>
              <w:right w:val="nil"/>
            </w:tcBorders>
            <w:shd w:val="clear" w:color="auto" w:fill="DAEEF3" w:themeFill="accent5" w:themeFillTint="33"/>
            <w:vAlign w:val="center"/>
          </w:tcPr>
          <w:p w14:paraId="5751E14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069" w:type="dxa"/>
            <w:tcBorders>
              <w:top w:val="nil"/>
              <w:left w:val="nil"/>
              <w:bottom w:val="nil"/>
              <w:right w:val="single" w:sz="4" w:space="0" w:color="auto"/>
            </w:tcBorders>
            <w:shd w:val="clear" w:color="auto" w:fill="DAEEF3" w:themeFill="accent5" w:themeFillTint="33"/>
            <w:vAlign w:val="center"/>
          </w:tcPr>
          <w:p w14:paraId="7B3D863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(0.7 - 1.9)</w:t>
            </w:r>
          </w:p>
        </w:tc>
        <w:tc>
          <w:tcPr>
            <w:tcW w:w="1137" w:type="dxa"/>
            <w:tcBorders>
              <w:top w:val="nil"/>
              <w:left w:val="nil"/>
              <w:bottom w:val="nil"/>
              <w:right w:val="single" w:sz="4" w:space="0" w:color="auto"/>
            </w:tcBorders>
            <w:shd w:val="clear" w:color="auto" w:fill="B6DDE8" w:themeFill="accent5" w:themeFillTint="66"/>
            <w:vAlign w:val="center"/>
          </w:tcPr>
          <w:p w14:paraId="0251CE43"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2.7 </w:t>
            </w:r>
          </w:p>
          <w:p w14:paraId="1762865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(1.3 - 5.8)</w:t>
            </w:r>
          </w:p>
        </w:tc>
        <w:tc>
          <w:tcPr>
            <w:tcW w:w="851" w:type="dxa"/>
            <w:vMerge/>
            <w:tcBorders>
              <w:left w:val="nil"/>
              <w:right w:val="single" w:sz="4" w:space="0" w:color="auto"/>
            </w:tcBorders>
            <w:shd w:val="clear" w:color="auto" w:fill="B6DDE8" w:themeFill="accent5" w:themeFillTint="66"/>
            <w:vAlign w:val="center"/>
          </w:tcPr>
          <w:p w14:paraId="39C821E1"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FB0B7B" w:rsidRPr="00AF3A24" w14:paraId="404634C8" w14:textId="77777777" w:rsidTr="004755F5">
        <w:tc>
          <w:tcPr>
            <w:tcW w:w="1418" w:type="dxa"/>
            <w:vMerge/>
            <w:shd w:val="clear" w:color="auto" w:fill="DAEEF3" w:themeFill="accent5" w:themeFillTint="33"/>
            <w:vAlign w:val="center"/>
          </w:tcPr>
          <w:p w14:paraId="21A27A7C"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7141A157"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720" w:type="dxa"/>
            <w:tcBorders>
              <w:top w:val="nil"/>
              <w:bottom w:val="nil"/>
              <w:right w:val="nil"/>
            </w:tcBorders>
            <w:shd w:val="clear" w:color="auto" w:fill="DAEEF3" w:themeFill="accent5" w:themeFillTint="33"/>
            <w:vAlign w:val="center"/>
          </w:tcPr>
          <w:p w14:paraId="7DD76C94"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885</w:t>
            </w:r>
          </w:p>
        </w:tc>
        <w:tc>
          <w:tcPr>
            <w:tcW w:w="1080" w:type="dxa"/>
            <w:tcBorders>
              <w:top w:val="nil"/>
              <w:left w:val="nil"/>
              <w:bottom w:val="nil"/>
              <w:right w:val="single" w:sz="4" w:space="0" w:color="auto"/>
            </w:tcBorders>
            <w:shd w:val="clear" w:color="auto" w:fill="DAEEF3" w:themeFill="accent5" w:themeFillTint="33"/>
            <w:vAlign w:val="center"/>
          </w:tcPr>
          <w:p w14:paraId="4C6D723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39.5</w:t>
            </w:r>
            <w:r w:rsidRPr="00AF3A24">
              <w:rPr>
                <w:rFonts w:asciiTheme="minorHAnsi" w:hAnsiTheme="minorHAnsi"/>
                <w:bCs/>
                <w:color w:val="000000"/>
                <w:sz w:val="16"/>
                <w:szCs w:val="16"/>
              </w:rPr>
              <w:br/>
              <w:t>(36.7 - 42.4)</w:t>
            </w:r>
          </w:p>
        </w:tc>
        <w:tc>
          <w:tcPr>
            <w:tcW w:w="720" w:type="dxa"/>
            <w:tcBorders>
              <w:top w:val="nil"/>
              <w:left w:val="nil"/>
              <w:bottom w:val="nil"/>
              <w:right w:val="nil"/>
            </w:tcBorders>
            <w:shd w:val="clear" w:color="auto" w:fill="DAEEF3" w:themeFill="accent5" w:themeFillTint="33"/>
            <w:vAlign w:val="center"/>
          </w:tcPr>
          <w:p w14:paraId="1DC3529E"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1,157</w:t>
            </w:r>
          </w:p>
        </w:tc>
        <w:tc>
          <w:tcPr>
            <w:tcW w:w="1080" w:type="dxa"/>
            <w:tcBorders>
              <w:top w:val="nil"/>
              <w:left w:val="nil"/>
              <w:bottom w:val="nil"/>
              <w:right w:val="single" w:sz="4" w:space="0" w:color="auto"/>
            </w:tcBorders>
            <w:shd w:val="clear" w:color="auto" w:fill="DAEEF3" w:themeFill="accent5" w:themeFillTint="33"/>
            <w:vAlign w:val="center"/>
          </w:tcPr>
          <w:p w14:paraId="6945386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57.3</w:t>
            </w:r>
            <w:r w:rsidRPr="00AF3A24">
              <w:rPr>
                <w:rFonts w:asciiTheme="minorHAnsi" w:hAnsiTheme="minorHAnsi"/>
                <w:bCs/>
                <w:color w:val="000000"/>
                <w:sz w:val="16"/>
                <w:szCs w:val="16"/>
              </w:rPr>
              <w:br/>
              <w:t>(54.5 - 60.2)</w:t>
            </w:r>
          </w:p>
        </w:tc>
        <w:tc>
          <w:tcPr>
            <w:tcW w:w="720" w:type="dxa"/>
            <w:tcBorders>
              <w:top w:val="nil"/>
              <w:left w:val="nil"/>
              <w:bottom w:val="nil"/>
              <w:right w:val="nil"/>
            </w:tcBorders>
            <w:shd w:val="clear" w:color="auto" w:fill="DAEEF3" w:themeFill="accent5" w:themeFillTint="33"/>
            <w:vAlign w:val="center"/>
          </w:tcPr>
          <w:p w14:paraId="1F92EDA4"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p>
        </w:tc>
        <w:tc>
          <w:tcPr>
            <w:tcW w:w="1080" w:type="dxa"/>
            <w:tcBorders>
              <w:top w:val="nil"/>
              <w:left w:val="nil"/>
              <w:bottom w:val="nil"/>
              <w:right w:val="single" w:sz="4" w:space="0" w:color="auto"/>
            </w:tcBorders>
            <w:shd w:val="clear" w:color="auto" w:fill="DAEEF3" w:themeFill="accent5" w:themeFillTint="33"/>
            <w:vAlign w:val="center"/>
          </w:tcPr>
          <w:p w14:paraId="62B374F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w:t>
            </w:r>
            <w:r w:rsidRPr="00AF3A24">
              <w:rPr>
                <w:rFonts w:asciiTheme="minorHAnsi" w:hAnsiTheme="minorHAnsi"/>
                <w:bCs/>
                <w:color w:val="000000"/>
                <w:sz w:val="16"/>
                <w:szCs w:val="16"/>
              </w:rPr>
              <w:br/>
              <w:t>(0.9 - 2.1)</w:t>
            </w:r>
          </w:p>
        </w:tc>
        <w:tc>
          <w:tcPr>
            <w:tcW w:w="720" w:type="dxa"/>
            <w:tcBorders>
              <w:top w:val="nil"/>
              <w:left w:val="nil"/>
              <w:bottom w:val="nil"/>
              <w:right w:val="nil"/>
            </w:tcBorders>
            <w:shd w:val="clear" w:color="auto" w:fill="DAEEF3" w:themeFill="accent5" w:themeFillTint="33"/>
            <w:vAlign w:val="center"/>
          </w:tcPr>
          <w:p w14:paraId="199AC6AE"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069" w:type="dxa"/>
            <w:tcBorders>
              <w:top w:val="nil"/>
              <w:left w:val="nil"/>
              <w:bottom w:val="nil"/>
              <w:right w:val="single" w:sz="4" w:space="0" w:color="auto"/>
            </w:tcBorders>
            <w:shd w:val="clear" w:color="auto" w:fill="DAEEF3" w:themeFill="accent5" w:themeFillTint="33"/>
            <w:vAlign w:val="center"/>
          </w:tcPr>
          <w:p w14:paraId="61C4B55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w:t>
            </w:r>
            <w:r w:rsidRPr="00AF3A24">
              <w:rPr>
                <w:rFonts w:asciiTheme="minorHAnsi" w:hAnsiTheme="minorHAnsi"/>
                <w:bCs/>
                <w:color w:val="000000"/>
                <w:sz w:val="16"/>
                <w:szCs w:val="16"/>
              </w:rPr>
              <w:br/>
              <w:t>(0.9 - 2.3)</w:t>
            </w:r>
          </w:p>
        </w:tc>
        <w:tc>
          <w:tcPr>
            <w:tcW w:w="1137" w:type="dxa"/>
            <w:tcBorders>
              <w:top w:val="nil"/>
              <w:left w:val="nil"/>
              <w:bottom w:val="nil"/>
              <w:right w:val="single" w:sz="4" w:space="0" w:color="auto"/>
            </w:tcBorders>
            <w:shd w:val="clear" w:color="auto" w:fill="B6DDE8" w:themeFill="accent5" w:themeFillTint="66"/>
            <w:vAlign w:val="center"/>
          </w:tcPr>
          <w:p w14:paraId="526E7472"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3.6 </w:t>
            </w:r>
          </w:p>
          <w:p w14:paraId="7276141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(1.8 - 7.3)</w:t>
            </w:r>
          </w:p>
        </w:tc>
        <w:tc>
          <w:tcPr>
            <w:tcW w:w="851" w:type="dxa"/>
            <w:vMerge/>
            <w:tcBorders>
              <w:left w:val="nil"/>
              <w:right w:val="single" w:sz="4" w:space="0" w:color="auto"/>
            </w:tcBorders>
            <w:shd w:val="clear" w:color="auto" w:fill="B6DDE8" w:themeFill="accent5" w:themeFillTint="66"/>
            <w:vAlign w:val="center"/>
          </w:tcPr>
          <w:p w14:paraId="36ED14DD"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EE15EF" w:rsidRPr="00AF3A24" w14:paraId="1A457E05" w14:textId="77777777" w:rsidTr="004755F5">
        <w:tc>
          <w:tcPr>
            <w:tcW w:w="1418" w:type="dxa"/>
            <w:vMerge/>
            <w:shd w:val="clear" w:color="auto" w:fill="DAEEF3" w:themeFill="accent5" w:themeFillTint="33"/>
            <w:vAlign w:val="center"/>
          </w:tcPr>
          <w:p w14:paraId="6063B5F8" w14:textId="77777777" w:rsidR="00EE15EF" w:rsidRPr="00AF3A24" w:rsidRDefault="00EE15EF"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6C48D8B6"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720" w:type="dxa"/>
            <w:tcBorders>
              <w:top w:val="nil"/>
              <w:bottom w:val="nil"/>
              <w:right w:val="nil"/>
            </w:tcBorders>
            <w:shd w:val="clear" w:color="auto" w:fill="DAEEF3" w:themeFill="accent5" w:themeFillTint="33"/>
            <w:vAlign w:val="center"/>
          </w:tcPr>
          <w:p w14:paraId="41AEB45B"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787</w:t>
            </w:r>
          </w:p>
        </w:tc>
        <w:tc>
          <w:tcPr>
            <w:tcW w:w="1080" w:type="dxa"/>
            <w:tcBorders>
              <w:top w:val="nil"/>
              <w:left w:val="nil"/>
              <w:bottom w:val="nil"/>
              <w:right w:val="single" w:sz="4" w:space="0" w:color="auto"/>
            </w:tcBorders>
            <w:shd w:val="clear" w:color="auto" w:fill="DAEEF3" w:themeFill="accent5" w:themeFillTint="33"/>
            <w:vAlign w:val="center"/>
          </w:tcPr>
          <w:p w14:paraId="6649D2CF"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40.7</w:t>
            </w:r>
            <w:r w:rsidRPr="00AF3A24">
              <w:rPr>
                <w:rFonts w:asciiTheme="minorHAnsi" w:hAnsiTheme="minorHAnsi"/>
                <w:bCs/>
                <w:color w:val="000000"/>
                <w:sz w:val="16"/>
                <w:szCs w:val="16"/>
              </w:rPr>
              <w:br/>
              <w:t>(37.9 - 43.6)</w:t>
            </w:r>
          </w:p>
        </w:tc>
        <w:tc>
          <w:tcPr>
            <w:tcW w:w="720" w:type="dxa"/>
            <w:tcBorders>
              <w:top w:val="nil"/>
              <w:left w:val="nil"/>
              <w:bottom w:val="nil"/>
              <w:right w:val="nil"/>
            </w:tcBorders>
            <w:shd w:val="clear" w:color="auto" w:fill="DAEEF3" w:themeFill="accent5" w:themeFillTint="33"/>
            <w:vAlign w:val="center"/>
          </w:tcPr>
          <w:p w14:paraId="3929418A"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1,099</w:t>
            </w:r>
          </w:p>
        </w:tc>
        <w:tc>
          <w:tcPr>
            <w:tcW w:w="1080" w:type="dxa"/>
            <w:tcBorders>
              <w:top w:val="nil"/>
              <w:left w:val="nil"/>
              <w:bottom w:val="nil"/>
              <w:right w:val="single" w:sz="4" w:space="0" w:color="auto"/>
            </w:tcBorders>
            <w:shd w:val="clear" w:color="auto" w:fill="DAEEF3" w:themeFill="accent5" w:themeFillTint="33"/>
            <w:vAlign w:val="center"/>
          </w:tcPr>
          <w:p w14:paraId="7EC42C0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55.7</w:t>
            </w:r>
            <w:r w:rsidRPr="00AF3A24">
              <w:rPr>
                <w:rFonts w:asciiTheme="minorHAnsi" w:hAnsiTheme="minorHAnsi"/>
                <w:bCs/>
                <w:color w:val="000000"/>
                <w:sz w:val="16"/>
                <w:szCs w:val="16"/>
              </w:rPr>
              <w:br/>
              <w:t>(52.9 - 58.5)</w:t>
            </w:r>
          </w:p>
        </w:tc>
        <w:tc>
          <w:tcPr>
            <w:tcW w:w="720" w:type="dxa"/>
            <w:tcBorders>
              <w:top w:val="nil"/>
              <w:left w:val="nil"/>
              <w:bottom w:val="nil"/>
              <w:right w:val="nil"/>
            </w:tcBorders>
            <w:shd w:val="clear" w:color="auto" w:fill="DAEEF3" w:themeFill="accent5" w:themeFillTint="33"/>
            <w:vAlign w:val="center"/>
          </w:tcPr>
          <w:p w14:paraId="46D969F9"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56</w:t>
            </w:r>
          </w:p>
        </w:tc>
        <w:tc>
          <w:tcPr>
            <w:tcW w:w="1080" w:type="dxa"/>
            <w:tcBorders>
              <w:top w:val="nil"/>
              <w:left w:val="nil"/>
              <w:bottom w:val="nil"/>
              <w:right w:val="single" w:sz="4" w:space="0" w:color="auto"/>
            </w:tcBorders>
            <w:shd w:val="clear" w:color="auto" w:fill="DAEEF3" w:themeFill="accent5" w:themeFillTint="33"/>
            <w:vAlign w:val="center"/>
          </w:tcPr>
          <w:p w14:paraId="1DC34B1A"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(1.7 - 3.4)</w:t>
            </w:r>
          </w:p>
        </w:tc>
        <w:tc>
          <w:tcPr>
            <w:tcW w:w="720" w:type="dxa"/>
            <w:tcBorders>
              <w:top w:val="nil"/>
              <w:left w:val="nil"/>
              <w:bottom w:val="nil"/>
              <w:right w:val="nil"/>
            </w:tcBorders>
            <w:shd w:val="clear" w:color="auto" w:fill="DAEEF3" w:themeFill="accent5" w:themeFillTint="33"/>
            <w:vAlign w:val="center"/>
          </w:tcPr>
          <w:p w14:paraId="6824EF85"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6C05C1AB"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top w:val="nil"/>
              <w:left w:val="nil"/>
              <w:bottom w:val="nil"/>
              <w:right w:val="single" w:sz="4" w:space="0" w:color="auto"/>
            </w:tcBorders>
            <w:shd w:val="clear" w:color="auto" w:fill="B6DDE8" w:themeFill="accent5" w:themeFillTint="66"/>
            <w:vAlign w:val="center"/>
          </w:tcPr>
          <w:p w14:paraId="33E39CBB" w14:textId="77777777" w:rsidR="00EE15EF"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w:t>
            </w:r>
          </w:p>
          <w:p w14:paraId="3E008315"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 (1.1 - 5.0)</w:t>
            </w:r>
          </w:p>
        </w:tc>
        <w:tc>
          <w:tcPr>
            <w:tcW w:w="851" w:type="dxa"/>
            <w:vMerge/>
            <w:tcBorders>
              <w:left w:val="nil"/>
              <w:right w:val="single" w:sz="4" w:space="0" w:color="auto"/>
            </w:tcBorders>
            <w:shd w:val="clear" w:color="auto" w:fill="B6DDE8" w:themeFill="accent5" w:themeFillTint="66"/>
            <w:vAlign w:val="center"/>
          </w:tcPr>
          <w:p w14:paraId="34B18B9B" w14:textId="77777777" w:rsidR="00EE15EF" w:rsidRPr="00AF3A24" w:rsidRDefault="00EE15EF" w:rsidP="004557FE">
            <w:pPr>
              <w:spacing w:before="0" w:line="240" w:lineRule="auto"/>
              <w:jc w:val="center"/>
              <w:rPr>
                <w:rFonts w:asciiTheme="minorHAnsi" w:hAnsiTheme="minorHAnsi"/>
                <w:bCs/>
                <w:color w:val="000000"/>
                <w:sz w:val="16"/>
                <w:szCs w:val="16"/>
                <w:highlight w:val="cyan"/>
              </w:rPr>
            </w:pPr>
          </w:p>
        </w:tc>
      </w:tr>
      <w:tr w:rsidR="00EE15EF" w:rsidRPr="00AF3A24" w14:paraId="3B06D5FF" w14:textId="77777777" w:rsidTr="004755F5">
        <w:tc>
          <w:tcPr>
            <w:tcW w:w="1418" w:type="dxa"/>
            <w:vMerge/>
            <w:shd w:val="clear" w:color="auto" w:fill="DAEEF3" w:themeFill="accent5" w:themeFillTint="33"/>
            <w:vAlign w:val="center"/>
          </w:tcPr>
          <w:p w14:paraId="77004EF2" w14:textId="77777777" w:rsidR="00EE15EF" w:rsidRPr="00AF3A24" w:rsidRDefault="00EE15EF"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61E17E8B"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720" w:type="dxa"/>
            <w:tcBorders>
              <w:top w:val="nil"/>
              <w:bottom w:val="nil"/>
              <w:right w:val="nil"/>
            </w:tcBorders>
            <w:shd w:val="clear" w:color="auto" w:fill="DAEEF3" w:themeFill="accent5" w:themeFillTint="33"/>
            <w:vAlign w:val="center"/>
          </w:tcPr>
          <w:p w14:paraId="22C0723D"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1,314</w:t>
            </w:r>
          </w:p>
        </w:tc>
        <w:tc>
          <w:tcPr>
            <w:tcW w:w="1080" w:type="dxa"/>
            <w:tcBorders>
              <w:top w:val="nil"/>
              <w:left w:val="nil"/>
              <w:bottom w:val="nil"/>
              <w:right w:val="single" w:sz="4" w:space="0" w:color="auto"/>
            </w:tcBorders>
            <w:shd w:val="clear" w:color="auto" w:fill="DAEEF3" w:themeFill="accent5" w:themeFillTint="33"/>
            <w:vAlign w:val="center"/>
          </w:tcPr>
          <w:p w14:paraId="4BEB5C89"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47.5</w:t>
            </w:r>
            <w:r w:rsidRPr="00AF3A24">
              <w:rPr>
                <w:rFonts w:asciiTheme="minorHAnsi" w:hAnsiTheme="minorHAnsi"/>
                <w:bCs/>
                <w:color w:val="000000"/>
                <w:sz w:val="16"/>
                <w:szCs w:val="16"/>
              </w:rPr>
              <w:br/>
              <w:t>(44.9 - 50.2)</w:t>
            </w:r>
          </w:p>
        </w:tc>
        <w:tc>
          <w:tcPr>
            <w:tcW w:w="720" w:type="dxa"/>
            <w:tcBorders>
              <w:top w:val="nil"/>
              <w:left w:val="nil"/>
              <w:bottom w:val="nil"/>
              <w:right w:val="nil"/>
            </w:tcBorders>
            <w:shd w:val="clear" w:color="auto" w:fill="DAEEF3" w:themeFill="accent5" w:themeFillTint="33"/>
            <w:vAlign w:val="center"/>
          </w:tcPr>
          <w:p w14:paraId="1F49CD76"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1,327</w:t>
            </w:r>
          </w:p>
        </w:tc>
        <w:tc>
          <w:tcPr>
            <w:tcW w:w="1080" w:type="dxa"/>
            <w:tcBorders>
              <w:top w:val="nil"/>
              <w:left w:val="nil"/>
              <w:bottom w:val="nil"/>
              <w:right w:val="single" w:sz="4" w:space="0" w:color="auto"/>
            </w:tcBorders>
            <w:shd w:val="clear" w:color="auto" w:fill="DAEEF3" w:themeFill="accent5" w:themeFillTint="33"/>
            <w:vAlign w:val="center"/>
          </w:tcPr>
          <w:p w14:paraId="6D5BEB9A"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51.2</w:t>
            </w:r>
            <w:r w:rsidRPr="00AF3A24">
              <w:rPr>
                <w:rFonts w:asciiTheme="minorHAnsi" w:hAnsiTheme="minorHAnsi"/>
                <w:bCs/>
                <w:color w:val="000000"/>
                <w:sz w:val="16"/>
                <w:szCs w:val="16"/>
              </w:rPr>
              <w:br/>
              <w:t>(48.5 - 53.8)</w:t>
            </w:r>
          </w:p>
        </w:tc>
        <w:tc>
          <w:tcPr>
            <w:tcW w:w="720" w:type="dxa"/>
            <w:tcBorders>
              <w:top w:val="nil"/>
              <w:left w:val="nil"/>
              <w:bottom w:val="nil"/>
              <w:right w:val="nil"/>
            </w:tcBorders>
            <w:shd w:val="clear" w:color="auto" w:fill="DAEEF3" w:themeFill="accent5" w:themeFillTint="33"/>
            <w:vAlign w:val="center"/>
          </w:tcPr>
          <w:p w14:paraId="7A6A5493"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5C3B7F51"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71902043"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4132A260"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top w:val="nil"/>
              <w:left w:val="nil"/>
              <w:bottom w:val="nil"/>
              <w:right w:val="single" w:sz="4" w:space="0" w:color="auto"/>
            </w:tcBorders>
            <w:shd w:val="clear" w:color="auto" w:fill="B6DDE8" w:themeFill="accent5" w:themeFillTint="66"/>
            <w:vAlign w:val="center"/>
          </w:tcPr>
          <w:p w14:paraId="4E8C166A"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851" w:type="dxa"/>
            <w:vMerge/>
            <w:tcBorders>
              <w:left w:val="nil"/>
              <w:bottom w:val="nil"/>
              <w:right w:val="single" w:sz="4" w:space="0" w:color="auto"/>
            </w:tcBorders>
            <w:shd w:val="clear" w:color="auto" w:fill="B6DDE8" w:themeFill="accent5" w:themeFillTint="66"/>
            <w:vAlign w:val="center"/>
          </w:tcPr>
          <w:p w14:paraId="6F44BCAB" w14:textId="77777777" w:rsidR="00EE15EF" w:rsidRPr="00AF3A24" w:rsidRDefault="00EE15EF" w:rsidP="004557FE">
            <w:pPr>
              <w:spacing w:before="0" w:line="240" w:lineRule="auto"/>
              <w:jc w:val="center"/>
              <w:rPr>
                <w:rFonts w:asciiTheme="minorHAnsi" w:hAnsiTheme="minorHAnsi"/>
                <w:bCs/>
                <w:color w:val="000000"/>
                <w:sz w:val="16"/>
                <w:szCs w:val="16"/>
                <w:highlight w:val="cyan"/>
              </w:rPr>
            </w:pPr>
          </w:p>
        </w:tc>
      </w:tr>
      <w:tr w:rsidR="00FB0B7B" w:rsidRPr="00AF3A24" w14:paraId="66575BB6" w14:textId="77777777" w:rsidTr="004755F5">
        <w:tc>
          <w:tcPr>
            <w:tcW w:w="1418" w:type="dxa"/>
            <w:vMerge w:val="restart"/>
            <w:tcBorders>
              <w:top w:val="single" w:sz="4" w:space="0" w:color="auto"/>
            </w:tcBorders>
            <w:shd w:val="clear" w:color="auto" w:fill="DAEEF3" w:themeFill="accent5" w:themeFillTint="33"/>
            <w:vAlign w:val="center"/>
          </w:tcPr>
          <w:p w14:paraId="104C6471" w14:textId="77777777" w:rsidR="00FB0B7B" w:rsidRPr="00AF3A24" w:rsidRDefault="00FB0B7B" w:rsidP="004557FE">
            <w:pPr>
              <w:spacing w:before="0" w:line="240" w:lineRule="auto"/>
              <w:ind w:left="36"/>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r>
              <w:rPr>
                <w:rFonts w:asciiTheme="minorHAnsi" w:hAnsiTheme="minorHAnsi" w:cstheme="minorHAnsi"/>
                <w:sz w:val="16"/>
                <w:szCs w:val="16"/>
                <w:vertAlign w:val="superscript"/>
              </w:rPr>
              <w:t>4</w:t>
            </w:r>
          </w:p>
        </w:tc>
        <w:tc>
          <w:tcPr>
            <w:tcW w:w="888" w:type="dxa"/>
            <w:tcBorders>
              <w:top w:val="single" w:sz="4" w:space="0" w:color="auto"/>
              <w:bottom w:val="nil"/>
            </w:tcBorders>
            <w:shd w:val="clear" w:color="auto" w:fill="DAEEF3" w:themeFill="accent5" w:themeFillTint="33"/>
            <w:vAlign w:val="center"/>
          </w:tcPr>
          <w:p w14:paraId="5DB5FD7E"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720" w:type="dxa"/>
            <w:tcBorders>
              <w:bottom w:val="nil"/>
              <w:right w:val="nil"/>
            </w:tcBorders>
            <w:shd w:val="clear" w:color="auto" w:fill="DAEEF3" w:themeFill="accent5" w:themeFillTint="33"/>
            <w:vAlign w:val="center"/>
          </w:tcPr>
          <w:p w14:paraId="29CABEB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1,178</w:t>
            </w:r>
          </w:p>
        </w:tc>
        <w:tc>
          <w:tcPr>
            <w:tcW w:w="1080" w:type="dxa"/>
            <w:tcBorders>
              <w:left w:val="nil"/>
              <w:bottom w:val="nil"/>
              <w:right w:val="single" w:sz="4" w:space="0" w:color="auto"/>
            </w:tcBorders>
            <w:shd w:val="clear" w:color="auto" w:fill="DAEEF3" w:themeFill="accent5" w:themeFillTint="33"/>
            <w:vAlign w:val="center"/>
          </w:tcPr>
          <w:p w14:paraId="62023FB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45.9</w:t>
            </w:r>
          </w:p>
          <w:p w14:paraId="0B52A71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(43.2 - 48.6)</w:t>
            </w:r>
          </w:p>
        </w:tc>
        <w:tc>
          <w:tcPr>
            <w:tcW w:w="720" w:type="dxa"/>
            <w:tcBorders>
              <w:left w:val="nil"/>
              <w:bottom w:val="nil"/>
              <w:right w:val="nil"/>
            </w:tcBorders>
            <w:shd w:val="clear" w:color="auto" w:fill="DAEEF3" w:themeFill="accent5" w:themeFillTint="33"/>
            <w:vAlign w:val="center"/>
          </w:tcPr>
          <w:p w14:paraId="7CE1213A"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1,221</w:t>
            </w:r>
          </w:p>
        </w:tc>
        <w:tc>
          <w:tcPr>
            <w:tcW w:w="1080" w:type="dxa"/>
            <w:tcBorders>
              <w:left w:val="nil"/>
              <w:bottom w:val="nil"/>
              <w:right w:val="single" w:sz="4" w:space="0" w:color="auto"/>
            </w:tcBorders>
            <w:shd w:val="clear" w:color="auto" w:fill="DAEEF3" w:themeFill="accent5" w:themeFillTint="33"/>
            <w:vAlign w:val="center"/>
          </w:tcPr>
          <w:p w14:paraId="63C4A24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47.2</w:t>
            </w:r>
          </w:p>
          <w:p w14:paraId="099299D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(44.6 - 49.7)</w:t>
            </w:r>
          </w:p>
        </w:tc>
        <w:tc>
          <w:tcPr>
            <w:tcW w:w="720" w:type="dxa"/>
            <w:tcBorders>
              <w:left w:val="nil"/>
              <w:bottom w:val="nil"/>
              <w:right w:val="nil"/>
            </w:tcBorders>
            <w:shd w:val="clear" w:color="auto" w:fill="DAEEF3" w:themeFill="accent5" w:themeFillTint="33"/>
            <w:vAlign w:val="center"/>
          </w:tcPr>
          <w:p w14:paraId="5825C13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w:t>
            </w:r>
          </w:p>
        </w:tc>
        <w:tc>
          <w:tcPr>
            <w:tcW w:w="1080" w:type="dxa"/>
            <w:tcBorders>
              <w:left w:val="nil"/>
              <w:bottom w:val="nil"/>
              <w:right w:val="single" w:sz="4" w:space="0" w:color="auto"/>
            </w:tcBorders>
            <w:shd w:val="clear" w:color="auto" w:fill="DAEEF3" w:themeFill="accent5" w:themeFillTint="33"/>
            <w:vAlign w:val="center"/>
          </w:tcPr>
          <w:p w14:paraId="3B719C6A"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p>
          <w:p w14:paraId="108A7503"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(2.7 - 4.5)</w:t>
            </w:r>
          </w:p>
        </w:tc>
        <w:tc>
          <w:tcPr>
            <w:tcW w:w="720" w:type="dxa"/>
            <w:tcBorders>
              <w:left w:val="nil"/>
              <w:bottom w:val="nil"/>
              <w:right w:val="nil"/>
            </w:tcBorders>
            <w:shd w:val="clear" w:color="auto" w:fill="DAEEF3" w:themeFill="accent5" w:themeFillTint="33"/>
            <w:vAlign w:val="center"/>
          </w:tcPr>
          <w:p w14:paraId="2AB7BA2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w:t>
            </w:r>
          </w:p>
        </w:tc>
        <w:tc>
          <w:tcPr>
            <w:tcW w:w="1069" w:type="dxa"/>
            <w:tcBorders>
              <w:left w:val="nil"/>
              <w:bottom w:val="nil"/>
              <w:right w:val="single" w:sz="4" w:space="0" w:color="auto"/>
            </w:tcBorders>
            <w:shd w:val="clear" w:color="auto" w:fill="DAEEF3" w:themeFill="accent5" w:themeFillTint="33"/>
            <w:vAlign w:val="center"/>
          </w:tcPr>
          <w:p w14:paraId="656D174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p w14:paraId="2522BF9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(2.4 - 4.2)</w:t>
            </w:r>
          </w:p>
        </w:tc>
        <w:tc>
          <w:tcPr>
            <w:tcW w:w="1137" w:type="dxa"/>
            <w:tcBorders>
              <w:left w:val="nil"/>
              <w:bottom w:val="nil"/>
              <w:right w:val="single" w:sz="4" w:space="0" w:color="auto"/>
            </w:tcBorders>
            <w:shd w:val="clear" w:color="auto" w:fill="B6DDE8" w:themeFill="accent5" w:themeFillTint="66"/>
            <w:vAlign w:val="center"/>
          </w:tcPr>
          <w:p w14:paraId="411D7BB8"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w:t>
            </w:r>
          </w:p>
          <w:p w14:paraId="23201697"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 (2.1 – 4.9)</w:t>
            </w:r>
          </w:p>
        </w:tc>
        <w:tc>
          <w:tcPr>
            <w:tcW w:w="851" w:type="dxa"/>
            <w:vMerge w:val="restart"/>
            <w:tcBorders>
              <w:left w:val="nil"/>
              <w:right w:val="single" w:sz="4" w:space="0" w:color="auto"/>
            </w:tcBorders>
            <w:shd w:val="clear" w:color="auto" w:fill="B6DDE8" w:themeFill="accent5" w:themeFillTint="66"/>
            <w:vAlign w:val="center"/>
          </w:tcPr>
          <w:p w14:paraId="210F630B"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&lt;.0001</w:t>
            </w:r>
            <w:r>
              <w:rPr>
                <w:rFonts w:asciiTheme="minorHAnsi" w:hAnsiTheme="minorHAnsi"/>
                <w:bCs/>
                <w:color w:val="000000"/>
                <w:sz w:val="16"/>
                <w:szCs w:val="16"/>
              </w:rPr>
              <w:t xml:space="preserve"> </w:t>
            </w:r>
            <w:r>
              <w:rPr>
                <w:rFonts w:asciiTheme="minorHAnsi" w:hAnsiTheme="minorHAnsi"/>
                <w:bCs/>
                <w:color w:val="000000"/>
                <w:sz w:val="16"/>
                <w:szCs w:val="16"/>
                <w:vertAlign w:val="superscript"/>
              </w:rPr>
              <w:t>5</w:t>
            </w:r>
          </w:p>
        </w:tc>
      </w:tr>
      <w:tr w:rsidR="00FB0B7B" w:rsidRPr="00AF3A24" w14:paraId="27E038E2" w14:textId="77777777" w:rsidTr="004755F5">
        <w:tc>
          <w:tcPr>
            <w:tcW w:w="1418" w:type="dxa"/>
            <w:vMerge/>
            <w:shd w:val="clear" w:color="auto" w:fill="DAEEF3" w:themeFill="accent5" w:themeFillTint="33"/>
            <w:vAlign w:val="center"/>
          </w:tcPr>
          <w:p w14:paraId="4066303B"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2B551C7B"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720" w:type="dxa"/>
            <w:tcBorders>
              <w:top w:val="nil"/>
              <w:bottom w:val="nil"/>
              <w:right w:val="nil"/>
            </w:tcBorders>
            <w:shd w:val="clear" w:color="auto" w:fill="DAEEF3" w:themeFill="accent5" w:themeFillTint="33"/>
            <w:vAlign w:val="center"/>
          </w:tcPr>
          <w:p w14:paraId="7B32546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541</w:t>
            </w:r>
          </w:p>
        </w:tc>
        <w:tc>
          <w:tcPr>
            <w:tcW w:w="1080" w:type="dxa"/>
            <w:tcBorders>
              <w:top w:val="nil"/>
              <w:left w:val="nil"/>
              <w:bottom w:val="nil"/>
              <w:right w:val="single" w:sz="4" w:space="0" w:color="auto"/>
            </w:tcBorders>
            <w:shd w:val="clear" w:color="auto" w:fill="DAEEF3" w:themeFill="accent5" w:themeFillTint="33"/>
            <w:vAlign w:val="center"/>
          </w:tcPr>
          <w:p w14:paraId="54DBE1D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51.9</w:t>
            </w:r>
          </w:p>
          <w:p w14:paraId="1273851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(47.7 - 56.2)</w:t>
            </w:r>
          </w:p>
        </w:tc>
        <w:tc>
          <w:tcPr>
            <w:tcW w:w="720" w:type="dxa"/>
            <w:tcBorders>
              <w:top w:val="nil"/>
              <w:left w:val="nil"/>
              <w:bottom w:val="nil"/>
              <w:right w:val="nil"/>
            </w:tcBorders>
            <w:shd w:val="clear" w:color="auto" w:fill="DAEEF3" w:themeFill="accent5" w:themeFillTint="33"/>
            <w:vAlign w:val="center"/>
          </w:tcPr>
          <w:p w14:paraId="74C4AB1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347</w:t>
            </w:r>
          </w:p>
        </w:tc>
        <w:tc>
          <w:tcPr>
            <w:tcW w:w="1080" w:type="dxa"/>
            <w:tcBorders>
              <w:top w:val="nil"/>
              <w:left w:val="nil"/>
              <w:bottom w:val="nil"/>
              <w:right w:val="single" w:sz="4" w:space="0" w:color="auto"/>
            </w:tcBorders>
            <w:shd w:val="clear" w:color="auto" w:fill="DAEEF3" w:themeFill="accent5" w:themeFillTint="33"/>
            <w:vAlign w:val="center"/>
          </w:tcPr>
          <w:p w14:paraId="37E4DAB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39.4</w:t>
            </w:r>
          </w:p>
          <w:p w14:paraId="61A66E7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(35.5 - 43.4)</w:t>
            </w:r>
          </w:p>
        </w:tc>
        <w:tc>
          <w:tcPr>
            <w:tcW w:w="720" w:type="dxa"/>
            <w:tcBorders>
              <w:top w:val="nil"/>
              <w:left w:val="nil"/>
              <w:bottom w:val="nil"/>
              <w:right w:val="nil"/>
            </w:tcBorders>
            <w:shd w:val="clear" w:color="auto" w:fill="DAEEF3" w:themeFill="accent5" w:themeFillTint="33"/>
            <w:vAlign w:val="center"/>
          </w:tcPr>
          <w:p w14:paraId="48E8FE4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p>
        </w:tc>
        <w:tc>
          <w:tcPr>
            <w:tcW w:w="1080" w:type="dxa"/>
            <w:tcBorders>
              <w:top w:val="nil"/>
              <w:left w:val="nil"/>
              <w:bottom w:val="nil"/>
              <w:right w:val="single" w:sz="4" w:space="0" w:color="auto"/>
            </w:tcBorders>
            <w:shd w:val="clear" w:color="auto" w:fill="DAEEF3" w:themeFill="accent5" w:themeFillTint="33"/>
            <w:vAlign w:val="center"/>
          </w:tcPr>
          <w:p w14:paraId="2D70FB2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w:t>
            </w:r>
          </w:p>
          <w:p w14:paraId="626115C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(3.0 - 7.1)</w:t>
            </w:r>
          </w:p>
        </w:tc>
        <w:tc>
          <w:tcPr>
            <w:tcW w:w="720" w:type="dxa"/>
            <w:tcBorders>
              <w:top w:val="nil"/>
              <w:left w:val="nil"/>
              <w:bottom w:val="nil"/>
              <w:right w:val="nil"/>
            </w:tcBorders>
            <w:shd w:val="clear" w:color="auto" w:fill="DAEEF3" w:themeFill="accent5" w:themeFillTint="33"/>
            <w:vAlign w:val="center"/>
          </w:tcPr>
          <w:p w14:paraId="418DA67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tc>
        <w:tc>
          <w:tcPr>
            <w:tcW w:w="1069" w:type="dxa"/>
            <w:tcBorders>
              <w:top w:val="nil"/>
              <w:left w:val="nil"/>
              <w:bottom w:val="nil"/>
              <w:right w:val="single" w:sz="4" w:space="0" w:color="auto"/>
            </w:tcBorders>
            <w:shd w:val="clear" w:color="auto" w:fill="DAEEF3" w:themeFill="accent5" w:themeFillTint="33"/>
            <w:vAlign w:val="center"/>
          </w:tcPr>
          <w:p w14:paraId="723748D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3.6</w:t>
            </w:r>
          </w:p>
          <w:p w14:paraId="4DF3443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(2.2 - 5.0)</w:t>
            </w:r>
          </w:p>
        </w:tc>
        <w:tc>
          <w:tcPr>
            <w:tcW w:w="1137" w:type="dxa"/>
            <w:tcBorders>
              <w:top w:val="nil"/>
              <w:left w:val="nil"/>
              <w:bottom w:val="nil"/>
              <w:right w:val="single" w:sz="4" w:space="0" w:color="auto"/>
            </w:tcBorders>
            <w:shd w:val="clear" w:color="auto" w:fill="B6DDE8" w:themeFill="accent5" w:themeFillTint="66"/>
            <w:vAlign w:val="center"/>
          </w:tcPr>
          <w:p w14:paraId="088DBF0A"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3.0 </w:t>
            </w:r>
          </w:p>
          <w:p w14:paraId="40E6A52B"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 – 5.7)</w:t>
            </w:r>
          </w:p>
        </w:tc>
        <w:tc>
          <w:tcPr>
            <w:tcW w:w="851" w:type="dxa"/>
            <w:vMerge/>
            <w:tcBorders>
              <w:left w:val="nil"/>
              <w:right w:val="single" w:sz="4" w:space="0" w:color="auto"/>
            </w:tcBorders>
            <w:shd w:val="clear" w:color="auto" w:fill="B6DDE8" w:themeFill="accent5" w:themeFillTint="66"/>
            <w:vAlign w:val="center"/>
          </w:tcPr>
          <w:p w14:paraId="6B5B47D9"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EE15EF" w:rsidRPr="00AF3A24" w14:paraId="7A367745" w14:textId="77777777" w:rsidTr="004755F5">
        <w:tc>
          <w:tcPr>
            <w:tcW w:w="1418" w:type="dxa"/>
            <w:vMerge/>
            <w:shd w:val="clear" w:color="auto" w:fill="DAEEF3" w:themeFill="accent5" w:themeFillTint="33"/>
            <w:vAlign w:val="center"/>
          </w:tcPr>
          <w:p w14:paraId="5FF3030D" w14:textId="77777777" w:rsidR="00EE15EF" w:rsidRPr="00AF3A24" w:rsidRDefault="00EE15EF"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08C8F878"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720" w:type="dxa"/>
            <w:tcBorders>
              <w:top w:val="nil"/>
              <w:bottom w:val="nil"/>
              <w:right w:val="nil"/>
            </w:tcBorders>
            <w:shd w:val="clear" w:color="auto" w:fill="DAEEF3" w:themeFill="accent5" w:themeFillTint="33"/>
            <w:vAlign w:val="center"/>
          </w:tcPr>
          <w:p w14:paraId="20F0D8E8"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589</w:t>
            </w:r>
          </w:p>
        </w:tc>
        <w:tc>
          <w:tcPr>
            <w:tcW w:w="1080" w:type="dxa"/>
            <w:tcBorders>
              <w:top w:val="nil"/>
              <w:left w:val="nil"/>
              <w:bottom w:val="nil"/>
              <w:right w:val="single" w:sz="4" w:space="0" w:color="auto"/>
            </w:tcBorders>
            <w:shd w:val="clear" w:color="auto" w:fill="DAEEF3" w:themeFill="accent5" w:themeFillTint="33"/>
            <w:vAlign w:val="center"/>
          </w:tcPr>
          <w:p w14:paraId="52BDF06E"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62.9</w:t>
            </w:r>
          </w:p>
          <w:p w14:paraId="5BBD95FC"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(59.0 - 66.9)</w:t>
            </w:r>
          </w:p>
        </w:tc>
        <w:tc>
          <w:tcPr>
            <w:tcW w:w="720" w:type="dxa"/>
            <w:tcBorders>
              <w:top w:val="nil"/>
              <w:left w:val="nil"/>
              <w:bottom w:val="nil"/>
              <w:right w:val="nil"/>
            </w:tcBorders>
            <w:shd w:val="clear" w:color="auto" w:fill="DAEEF3" w:themeFill="accent5" w:themeFillTint="33"/>
            <w:vAlign w:val="center"/>
          </w:tcPr>
          <w:p w14:paraId="132FBF37"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316</w:t>
            </w:r>
          </w:p>
        </w:tc>
        <w:tc>
          <w:tcPr>
            <w:tcW w:w="1080" w:type="dxa"/>
            <w:tcBorders>
              <w:top w:val="nil"/>
              <w:left w:val="nil"/>
              <w:bottom w:val="nil"/>
              <w:right w:val="single" w:sz="4" w:space="0" w:color="auto"/>
            </w:tcBorders>
            <w:shd w:val="clear" w:color="auto" w:fill="DAEEF3" w:themeFill="accent5" w:themeFillTint="33"/>
            <w:vAlign w:val="center"/>
          </w:tcPr>
          <w:p w14:paraId="29C74C37"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34.1</w:t>
            </w:r>
          </w:p>
          <w:p w14:paraId="5DC3AC66"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(30.1 - 38.0)</w:t>
            </w:r>
          </w:p>
        </w:tc>
        <w:tc>
          <w:tcPr>
            <w:tcW w:w="720" w:type="dxa"/>
            <w:tcBorders>
              <w:top w:val="nil"/>
              <w:left w:val="nil"/>
              <w:bottom w:val="nil"/>
              <w:right w:val="nil"/>
            </w:tcBorders>
            <w:shd w:val="clear" w:color="auto" w:fill="DAEEF3" w:themeFill="accent5" w:themeFillTint="33"/>
            <w:vAlign w:val="center"/>
          </w:tcPr>
          <w:p w14:paraId="36B9BDC4"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0EB1D396"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570ECAA0"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6D80519C"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top w:val="nil"/>
              <w:left w:val="nil"/>
              <w:bottom w:val="nil"/>
              <w:right w:val="single" w:sz="4" w:space="0" w:color="auto"/>
            </w:tcBorders>
            <w:shd w:val="clear" w:color="auto" w:fill="B6DDE8" w:themeFill="accent5" w:themeFillTint="66"/>
            <w:vAlign w:val="center"/>
          </w:tcPr>
          <w:p w14:paraId="6EC7C6AE" w14:textId="77777777" w:rsidR="00EE15EF"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0.9 </w:t>
            </w:r>
          </w:p>
          <w:p w14:paraId="011DE88B"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(0.4 – 2.5)</w:t>
            </w:r>
          </w:p>
        </w:tc>
        <w:tc>
          <w:tcPr>
            <w:tcW w:w="851" w:type="dxa"/>
            <w:vMerge/>
            <w:tcBorders>
              <w:left w:val="nil"/>
              <w:right w:val="single" w:sz="4" w:space="0" w:color="auto"/>
            </w:tcBorders>
            <w:shd w:val="clear" w:color="auto" w:fill="B6DDE8" w:themeFill="accent5" w:themeFillTint="66"/>
            <w:vAlign w:val="center"/>
          </w:tcPr>
          <w:p w14:paraId="736EBC30" w14:textId="77777777" w:rsidR="00EE15EF" w:rsidRPr="00AF3A24" w:rsidRDefault="00EE15EF" w:rsidP="004557FE">
            <w:pPr>
              <w:spacing w:before="0" w:line="240" w:lineRule="auto"/>
              <w:jc w:val="center"/>
              <w:rPr>
                <w:rFonts w:asciiTheme="minorHAnsi" w:hAnsiTheme="minorHAnsi"/>
                <w:bCs/>
                <w:color w:val="000000"/>
                <w:sz w:val="16"/>
                <w:szCs w:val="16"/>
              </w:rPr>
            </w:pPr>
          </w:p>
        </w:tc>
      </w:tr>
      <w:tr w:rsidR="00FB0B7B" w:rsidRPr="00AF3A24" w14:paraId="19991FEF" w14:textId="77777777" w:rsidTr="004755F5">
        <w:tc>
          <w:tcPr>
            <w:tcW w:w="1418" w:type="dxa"/>
            <w:vMerge/>
            <w:tcBorders>
              <w:bottom w:val="nil"/>
            </w:tcBorders>
            <w:shd w:val="clear" w:color="auto" w:fill="DAEEF3" w:themeFill="accent5" w:themeFillTint="33"/>
            <w:vAlign w:val="center"/>
          </w:tcPr>
          <w:p w14:paraId="168A84C9"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5B14CA17"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European / Other</w:t>
            </w:r>
          </w:p>
        </w:tc>
        <w:tc>
          <w:tcPr>
            <w:tcW w:w="720" w:type="dxa"/>
            <w:tcBorders>
              <w:top w:val="nil"/>
              <w:bottom w:val="nil"/>
              <w:right w:val="nil"/>
            </w:tcBorders>
            <w:shd w:val="clear" w:color="auto" w:fill="DAEEF3" w:themeFill="accent5" w:themeFillTint="33"/>
            <w:vAlign w:val="center"/>
          </w:tcPr>
          <w:p w14:paraId="4799C19A"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4,624</w:t>
            </w:r>
          </w:p>
        </w:tc>
        <w:tc>
          <w:tcPr>
            <w:tcW w:w="1080" w:type="dxa"/>
            <w:tcBorders>
              <w:top w:val="nil"/>
              <w:left w:val="nil"/>
              <w:bottom w:val="nil"/>
              <w:right w:val="single" w:sz="4" w:space="0" w:color="auto"/>
            </w:tcBorders>
            <w:shd w:val="clear" w:color="auto" w:fill="DAEEF3" w:themeFill="accent5" w:themeFillTint="33"/>
            <w:vAlign w:val="center"/>
          </w:tcPr>
          <w:p w14:paraId="70A50456"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47.3</w:t>
            </w:r>
          </w:p>
          <w:p w14:paraId="05A45DD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(45.7 - 48.9)</w:t>
            </w:r>
          </w:p>
        </w:tc>
        <w:tc>
          <w:tcPr>
            <w:tcW w:w="720" w:type="dxa"/>
            <w:tcBorders>
              <w:top w:val="nil"/>
              <w:left w:val="nil"/>
              <w:bottom w:val="nil"/>
              <w:right w:val="nil"/>
            </w:tcBorders>
            <w:shd w:val="clear" w:color="auto" w:fill="DAEEF3" w:themeFill="accent5" w:themeFillTint="33"/>
            <w:vAlign w:val="center"/>
          </w:tcPr>
          <w:p w14:paraId="0DAFD71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5,021</w:t>
            </w:r>
          </w:p>
        </w:tc>
        <w:tc>
          <w:tcPr>
            <w:tcW w:w="1080" w:type="dxa"/>
            <w:tcBorders>
              <w:top w:val="nil"/>
              <w:left w:val="nil"/>
              <w:bottom w:val="nil"/>
              <w:right w:val="single" w:sz="4" w:space="0" w:color="auto"/>
            </w:tcBorders>
            <w:shd w:val="clear" w:color="auto" w:fill="DAEEF3" w:themeFill="accent5" w:themeFillTint="33"/>
            <w:vAlign w:val="center"/>
          </w:tcPr>
          <w:p w14:paraId="2DDB8817"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49.9</w:t>
            </w:r>
          </w:p>
          <w:p w14:paraId="5A00A21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(48.4 - 51.6)</w:t>
            </w:r>
          </w:p>
        </w:tc>
        <w:tc>
          <w:tcPr>
            <w:tcW w:w="720" w:type="dxa"/>
            <w:tcBorders>
              <w:top w:val="nil"/>
              <w:left w:val="nil"/>
              <w:bottom w:val="nil"/>
              <w:right w:val="nil"/>
            </w:tcBorders>
            <w:shd w:val="clear" w:color="auto" w:fill="DAEEF3" w:themeFill="accent5" w:themeFillTint="33"/>
            <w:vAlign w:val="center"/>
          </w:tcPr>
          <w:p w14:paraId="6556132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174</w:t>
            </w:r>
          </w:p>
        </w:tc>
        <w:tc>
          <w:tcPr>
            <w:tcW w:w="1080" w:type="dxa"/>
            <w:tcBorders>
              <w:top w:val="nil"/>
              <w:left w:val="nil"/>
              <w:bottom w:val="nil"/>
              <w:right w:val="single" w:sz="4" w:space="0" w:color="auto"/>
            </w:tcBorders>
            <w:shd w:val="clear" w:color="auto" w:fill="DAEEF3" w:themeFill="accent5" w:themeFillTint="33"/>
            <w:vAlign w:val="center"/>
          </w:tcPr>
          <w:p w14:paraId="3228D89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p>
          <w:p w14:paraId="6409FF8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(1.4 - 2.1)</w:t>
            </w:r>
          </w:p>
        </w:tc>
        <w:tc>
          <w:tcPr>
            <w:tcW w:w="720" w:type="dxa"/>
            <w:tcBorders>
              <w:top w:val="nil"/>
              <w:left w:val="nil"/>
              <w:bottom w:val="nil"/>
              <w:right w:val="nil"/>
            </w:tcBorders>
            <w:shd w:val="clear" w:color="auto" w:fill="DAEEF3" w:themeFill="accent5" w:themeFillTint="33"/>
            <w:vAlign w:val="center"/>
          </w:tcPr>
          <w:p w14:paraId="6E9BF23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100</w:t>
            </w:r>
          </w:p>
        </w:tc>
        <w:tc>
          <w:tcPr>
            <w:tcW w:w="1069" w:type="dxa"/>
            <w:tcBorders>
              <w:top w:val="nil"/>
              <w:left w:val="nil"/>
              <w:bottom w:val="nil"/>
              <w:right w:val="single" w:sz="4" w:space="0" w:color="auto"/>
            </w:tcBorders>
            <w:shd w:val="clear" w:color="auto" w:fill="DAEEF3" w:themeFill="accent5" w:themeFillTint="33"/>
            <w:vAlign w:val="center"/>
          </w:tcPr>
          <w:p w14:paraId="6FA83FE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p>
          <w:p w14:paraId="24A99BC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(0.7- 1.3)</w:t>
            </w:r>
          </w:p>
        </w:tc>
        <w:tc>
          <w:tcPr>
            <w:tcW w:w="1137" w:type="dxa"/>
            <w:tcBorders>
              <w:top w:val="nil"/>
              <w:left w:val="nil"/>
              <w:bottom w:val="nil"/>
              <w:right w:val="single" w:sz="4" w:space="0" w:color="auto"/>
            </w:tcBorders>
            <w:shd w:val="clear" w:color="auto" w:fill="B6DDE8" w:themeFill="accent5" w:themeFillTint="66"/>
            <w:vAlign w:val="center"/>
          </w:tcPr>
          <w:p w14:paraId="19C8EC3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851" w:type="dxa"/>
            <w:vMerge/>
            <w:tcBorders>
              <w:left w:val="nil"/>
              <w:bottom w:val="nil"/>
              <w:right w:val="single" w:sz="4" w:space="0" w:color="auto"/>
            </w:tcBorders>
            <w:shd w:val="clear" w:color="auto" w:fill="B6DDE8" w:themeFill="accent5" w:themeFillTint="66"/>
            <w:vAlign w:val="center"/>
          </w:tcPr>
          <w:p w14:paraId="4C19ECAA"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EE15EF" w:rsidRPr="00AF3A24" w14:paraId="1E5C5037" w14:textId="77777777" w:rsidTr="004755F5">
        <w:tc>
          <w:tcPr>
            <w:tcW w:w="1418" w:type="dxa"/>
            <w:vMerge w:val="restart"/>
            <w:tcBorders>
              <w:top w:val="single" w:sz="4" w:space="0" w:color="auto"/>
            </w:tcBorders>
            <w:shd w:val="clear" w:color="auto" w:fill="DAEEF3" w:themeFill="accent5" w:themeFillTint="33"/>
            <w:vAlign w:val="center"/>
          </w:tcPr>
          <w:p w14:paraId="226AD610" w14:textId="77777777" w:rsidR="00EE15EF" w:rsidRPr="00AF3A24" w:rsidRDefault="00EE15EF" w:rsidP="004557FE">
            <w:pPr>
              <w:spacing w:before="0" w:line="240" w:lineRule="auto"/>
              <w:ind w:left="36"/>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888" w:type="dxa"/>
            <w:tcBorders>
              <w:top w:val="single" w:sz="4" w:space="0" w:color="auto"/>
              <w:bottom w:val="nil"/>
            </w:tcBorders>
            <w:shd w:val="clear" w:color="auto" w:fill="DAEEF3" w:themeFill="accent5" w:themeFillTint="33"/>
            <w:vAlign w:val="center"/>
          </w:tcPr>
          <w:p w14:paraId="77A2ED2A"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720" w:type="dxa"/>
            <w:tcBorders>
              <w:bottom w:val="nil"/>
              <w:right w:val="nil"/>
            </w:tcBorders>
            <w:shd w:val="clear" w:color="auto" w:fill="DAEEF3" w:themeFill="accent5" w:themeFillTint="33"/>
            <w:vAlign w:val="center"/>
          </w:tcPr>
          <w:p w14:paraId="40715DCB"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855</w:t>
            </w:r>
          </w:p>
        </w:tc>
        <w:tc>
          <w:tcPr>
            <w:tcW w:w="1080" w:type="dxa"/>
            <w:tcBorders>
              <w:left w:val="nil"/>
              <w:bottom w:val="nil"/>
              <w:right w:val="single" w:sz="4" w:space="0" w:color="auto"/>
            </w:tcBorders>
            <w:shd w:val="clear" w:color="auto" w:fill="DAEEF3" w:themeFill="accent5" w:themeFillTint="33"/>
            <w:vAlign w:val="center"/>
          </w:tcPr>
          <w:p w14:paraId="5828003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45.9</w:t>
            </w:r>
            <w:r w:rsidRPr="00AF3A24">
              <w:rPr>
                <w:rFonts w:asciiTheme="minorHAnsi" w:hAnsiTheme="minorHAnsi"/>
                <w:bCs/>
                <w:color w:val="000000"/>
                <w:sz w:val="16"/>
                <w:szCs w:val="16"/>
              </w:rPr>
              <w:br/>
              <w:t>(42.5 - 49.2)</w:t>
            </w:r>
          </w:p>
        </w:tc>
        <w:tc>
          <w:tcPr>
            <w:tcW w:w="720" w:type="dxa"/>
            <w:tcBorders>
              <w:left w:val="nil"/>
              <w:bottom w:val="nil"/>
              <w:right w:val="nil"/>
            </w:tcBorders>
            <w:shd w:val="clear" w:color="auto" w:fill="DAEEF3" w:themeFill="accent5" w:themeFillTint="33"/>
            <w:vAlign w:val="center"/>
          </w:tcPr>
          <w:p w14:paraId="119C7AFF"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1,062</w:t>
            </w:r>
          </w:p>
        </w:tc>
        <w:tc>
          <w:tcPr>
            <w:tcW w:w="1080" w:type="dxa"/>
            <w:tcBorders>
              <w:left w:val="nil"/>
              <w:bottom w:val="nil"/>
              <w:right w:val="single" w:sz="4" w:space="0" w:color="auto"/>
            </w:tcBorders>
            <w:shd w:val="clear" w:color="auto" w:fill="DAEEF3" w:themeFill="accent5" w:themeFillTint="33"/>
            <w:vAlign w:val="center"/>
          </w:tcPr>
          <w:p w14:paraId="3B2753A4"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52.6</w:t>
            </w:r>
            <w:r w:rsidRPr="00AF3A24">
              <w:rPr>
                <w:rFonts w:asciiTheme="minorHAnsi" w:hAnsiTheme="minorHAnsi"/>
                <w:bCs/>
                <w:color w:val="000000"/>
                <w:sz w:val="16"/>
                <w:szCs w:val="16"/>
              </w:rPr>
              <w:br/>
              <w:t>(49.2 - 55.9)</w:t>
            </w:r>
          </w:p>
        </w:tc>
        <w:tc>
          <w:tcPr>
            <w:tcW w:w="720" w:type="dxa"/>
            <w:tcBorders>
              <w:left w:val="nil"/>
              <w:bottom w:val="nil"/>
              <w:right w:val="nil"/>
            </w:tcBorders>
            <w:shd w:val="clear" w:color="auto" w:fill="DAEEF3" w:themeFill="accent5" w:themeFillTint="33"/>
            <w:vAlign w:val="center"/>
          </w:tcPr>
          <w:p w14:paraId="6EC08D99"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left w:val="nil"/>
              <w:bottom w:val="nil"/>
              <w:right w:val="single" w:sz="4" w:space="0" w:color="auto"/>
            </w:tcBorders>
            <w:shd w:val="clear" w:color="auto" w:fill="DAEEF3" w:themeFill="accent5" w:themeFillTint="33"/>
            <w:vAlign w:val="center"/>
          </w:tcPr>
          <w:p w14:paraId="6C050A4F"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left w:val="nil"/>
              <w:bottom w:val="nil"/>
              <w:right w:val="nil"/>
            </w:tcBorders>
            <w:shd w:val="clear" w:color="auto" w:fill="DAEEF3" w:themeFill="accent5" w:themeFillTint="33"/>
            <w:vAlign w:val="center"/>
          </w:tcPr>
          <w:p w14:paraId="18696FEA"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left w:val="nil"/>
              <w:bottom w:val="nil"/>
              <w:right w:val="single" w:sz="4" w:space="0" w:color="auto"/>
            </w:tcBorders>
            <w:shd w:val="clear" w:color="auto" w:fill="DAEEF3" w:themeFill="accent5" w:themeFillTint="33"/>
            <w:vAlign w:val="center"/>
          </w:tcPr>
          <w:p w14:paraId="1FF71730"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left w:val="nil"/>
              <w:bottom w:val="nil"/>
              <w:right w:val="single" w:sz="4" w:space="0" w:color="auto"/>
            </w:tcBorders>
            <w:shd w:val="clear" w:color="auto" w:fill="B6DDE8" w:themeFill="accent5" w:themeFillTint="66"/>
            <w:vAlign w:val="center"/>
          </w:tcPr>
          <w:p w14:paraId="6541423C"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851" w:type="dxa"/>
            <w:vMerge w:val="restart"/>
            <w:tcBorders>
              <w:left w:val="nil"/>
              <w:right w:val="single" w:sz="4" w:space="0" w:color="auto"/>
            </w:tcBorders>
            <w:shd w:val="clear" w:color="auto" w:fill="B6DDE8" w:themeFill="accent5" w:themeFillTint="66"/>
            <w:vAlign w:val="center"/>
          </w:tcPr>
          <w:p w14:paraId="1396E1AC" w14:textId="77777777" w:rsidR="00EE15EF" w:rsidRPr="00AF3A24" w:rsidRDefault="00EE15EF"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w:t>
            </w:r>
            <w:r w:rsidRPr="00AF3A24">
              <w:rPr>
                <w:rFonts w:asciiTheme="minorHAnsi" w:hAnsiTheme="minorHAnsi"/>
                <w:bCs/>
                <w:color w:val="000000"/>
                <w:sz w:val="16"/>
                <w:szCs w:val="16"/>
              </w:rPr>
              <w:t>.0084</w:t>
            </w:r>
          </w:p>
        </w:tc>
      </w:tr>
      <w:tr w:rsidR="00EE15EF" w:rsidRPr="00AF3A24" w14:paraId="7C190B24" w14:textId="77777777" w:rsidTr="004755F5">
        <w:tc>
          <w:tcPr>
            <w:tcW w:w="1418" w:type="dxa"/>
            <w:vMerge/>
            <w:shd w:val="clear" w:color="auto" w:fill="DAEEF3" w:themeFill="accent5" w:themeFillTint="33"/>
            <w:vAlign w:val="center"/>
          </w:tcPr>
          <w:p w14:paraId="567E0175" w14:textId="77777777" w:rsidR="00EE15EF" w:rsidRPr="00AF3A24" w:rsidRDefault="00EE15EF"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3B0AB72D"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720" w:type="dxa"/>
            <w:tcBorders>
              <w:top w:val="nil"/>
              <w:bottom w:val="nil"/>
              <w:right w:val="nil"/>
            </w:tcBorders>
            <w:shd w:val="clear" w:color="auto" w:fill="DAEEF3" w:themeFill="accent5" w:themeFillTint="33"/>
            <w:vAlign w:val="center"/>
          </w:tcPr>
          <w:p w14:paraId="252212BD"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937</w:t>
            </w:r>
          </w:p>
        </w:tc>
        <w:tc>
          <w:tcPr>
            <w:tcW w:w="1080" w:type="dxa"/>
            <w:tcBorders>
              <w:top w:val="nil"/>
              <w:left w:val="nil"/>
              <w:bottom w:val="nil"/>
              <w:right w:val="single" w:sz="4" w:space="0" w:color="auto"/>
            </w:tcBorders>
            <w:shd w:val="clear" w:color="auto" w:fill="DAEEF3" w:themeFill="accent5" w:themeFillTint="33"/>
            <w:vAlign w:val="center"/>
          </w:tcPr>
          <w:p w14:paraId="2735AAE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46.4</w:t>
            </w:r>
            <w:r w:rsidRPr="00AF3A24">
              <w:rPr>
                <w:rFonts w:asciiTheme="minorHAnsi" w:hAnsiTheme="minorHAnsi"/>
                <w:bCs/>
                <w:color w:val="000000"/>
                <w:sz w:val="16"/>
                <w:szCs w:val="16"/>
              </w:rPr>
              <w:br/>
              <w:t>(43.0 - 49.8)</w:t>
            </w:r>
          </w:p>
        </w:tc>
        <w:tc>
          <w:tcPr>
            <w:tcW w:w="720" w:type="dxa"/>
            <w:tcBorders>
              <w:top w:val="nil"/>
              <w:left w:val="nil"/>
              <w:bottom w:val="nil"/>
              <w:right w:val="nil"/>
            </w:tcBorders>
            <w:shd w:val="clear" w:color="auto" w:fill="DAEEF3" w:themeFill="accent5" w:themeFillTint="33"/>
            <w:vAlign w:val="center"/>
          </w:tcPr>
          <w:p w14:paraId="50E99237"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987</w:t>
            </w:r>
          </w:p>
        </w:tc>
        <w:tc>
          <w:tcPr>
            <w:tcW w:w="1080" w:type="dxa"/>
            <w:tcBorders>
              <w:top w:val="nil"/>
              <w:left w:val="nil"/>
              <w:bottom w:val="nil"/>
              <w:right w:val="single" w:sz="4" w:space="0" w:color="auto"/>
            </w:tcBorders>
            <w:shd w:val="clear" w:color="auto" w:fill="DAEEF3" w:themeFill="accent5" w:themeFillTint="33"/>
            <w:vAlign w:val="center"/>
          </w:tcPr>
          <w:p w14:paraId="2B9B3A5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51.5</w:t>
            </w:r>
            <w:r w:rsidRPr="00AF3A24">
              <w:rPr>
                <w:rFonts w:asciiTheme="minorHAnsi" w:hAnsiTheme="minorHAnsi"/>
                <w:bCs/>
                <w:color w:val="000000"/>
                <w:sz w:val="16"/>
                <w:szCs w:val="16"/>
              </w:rPr>
              <w:br/>
              <w:t>(48.1 - 54.9)</w:t>
            </w:r>
          </w:p>
        </w:tc>
        <w:tc>
          <w:tcPr>
            <w:tcW w:w="720" w:type="dxa"/>
            <w:tcBorders>
              <w:top w:val="nil"/>
              <w:left w:val="nil"/>
              <w:bottom w:val="nil"/>
              <w:right w:val="nil"/>
            </w:tcBorders>
            <w:shd w:val="clear" w:color="auto" w:fill="DAEEF3" w:themeFill="accent5" w:themeFillTint="33"/>
            <w:vAlign w:val="center"/>
          </w:tcPr>
          <w:p w14:paraId="7D193CAB"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4C396701"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51316701"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6F4982CD"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top w:val="nil"/>
              <w:left w:val="nil"/>
              <w:bottom w:val="nil"/>
              <w:right w:val="single" w:sz="4" w:space="0" w:color="auto"/>
            </w:tcBorders>
            <w:shd w:val="clear" w:color="auto" w:fill="B6DDE8" w:themeFill="accent5" w:themeFillTint="66"/>
            <w:vAlign w:val="center"/>
          </w:tcPr>
          <w:p w14:paraId="722BF2D2" w14:textId="77777777" w:rsidR="00EE15EF"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2.6 </w:t>
            </w:r>
          </w:p>
          <w:p w14:paraId="1B0F6857"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 – 7.5)</w:t>
            </w:r>
          </w:p>
        </w:tc>
        <w:tc>
          <w:tcPr>
            <w:tcW w:w="851" w:type="dxa"/>
            <w:vMerge/>
            <w:tcBorders>
              <w:left w:val="nil"/>
              <w:right w:val="single" w:sz="4" w:space="0" w:color="auto"/>
            </w:tcBorders>
            <w:shd w:val="clear" w:color="auto" w:fill="B6DDE8" w:themeFill="accent5" w:themeFillTint="66"/>
            <w:vAlign w:val="center"/>
          </w:tcPr>
          <w:p w14:paraId="3922836F" w14:textId="77777777" w:rsidR="00EE15EF" w:rsidRPr="00AF3A24" w:rsidRDefault="00EE15EF" w:rsidP="004557FE">
            <w:pPr>
              <w:spacing w:before="0" w:line="240" w:lineRule="auto"/>
              <w:jc w:val="center"/>
              <w:rPr>
                <w:rFonts w:asciiTheme="minorHAnsi" w:hAnsiTheme="minorHAnsi"/>
                <w:bCs/>
                <w:color w:val="000000"/>
                <w:sz w:val="16"/>
                <w:szCs w:val="16"/>
                <w:highlight w:val="cyan"/>
              </w:rPr>
            </w:pPr>
          </w:p>
        </w:tc>
      </w:tr>
      <w:tr w:rsidR="00EE15EF" w:rsidRPr="00AF3A24" w14:paraId="042535FE" w14:textId="77777777" w:rsidTr="004755F5">
        <w:tc>
          <w:tcPr>
            <w:tcW w:w="1418" w:type="dxa"/>
            <w:vMerge/>
            <w:shd w:val="clear" w:color="auto" w:fill="DAEEF3" w:themeFill="accent5" w:themeFillTint="33"/>
            <w:vAlign w:val="center"/>
          </w:tcPr>
          <w:p w14:paraId="67CD71C4" w14:textId="77777777" w:rsidR="00EE15EF" w:rsidRPr="00AF3A24" w:rsidRDefault="00EE15EF"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4F9258A0"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720" w:type="dxa"/>
            <w:tcBorders>
              <w:top w:val="nil"/>
              <w:bottom w:val="nil"/>
              <w:right w:val="nil"/>
            </w:tcBorders>
            <w:shd w:val="clear" w:color="auto" w:fill="DAEEF3" w:themeFill="accent5" w:themeFillTint="33"/>
            <w:vAlign w:val="center"/>
          </w:tcPr>
          <w:p w14:paraId="3C5EC598"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1,188</w:t>
            </w:r>
          </w:p>
        </w:tc>
        <w:tc>
          <w:tcPr>
            <w:tcW w:w="1080" w:type="dxa"/>
            <w:tcBorders>
              <w:top w:val="nil"/>
              <w:left w:val="nil"/>
              <w:bottom w:val="nil"/>
              <w:right w:val="single" w:sz="4" w:space="0" w:color="auto"/>
            </w:tcBorders>
            <w:shd w:val="clear" w:color="auto" w:fill="DAEEF3" w:themeFill="accent5" w:themeFillTint="33"/>
            <w:vAlign w:val="center"/>
          </w:tcPr>
          <w:p w14:paraId="1ACF3F66"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46.2</w:t>
            </w:r>
            <w:r w:rsidRPr="00AF3A24">
              <w:rPr>
                <w:rFonts w:asciiTheme="minorHAnsi" w:hAnsiTheme="minorHAnsi"/>
                <w:bCs/>
                <w:color w:val="000000"/>
                <w:sz w:val="16"/>
                <w:szCs w:val="16"/>
              </w:rPr>
              <w:br/>
              <w:t>(42.7 - 49.7)</w:t>
            </w:r>
          </w:p>
        </w:tc>
        <w:tc>
          <w:tcPr>
            <w:tcW w:w="720" w:type="dxa"/>
            <w:tcBorders>
              <w:top w:val="nil"/>
              <w:left w:val="nil"/>
              <w:bottom w:val="nil"/>
              <w:right w:val="nil"/>
            </w:tcBorders>
            <w:shd w:val="clear" w:color="auto" w:fill="DAEEF3" w:themeFill="accent5" w:themeFillTint="33"/>
            <w:vAlign w:val="center"/>
          </w:tcPr>
          <w:p w14:paraId="1BBFE41B"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1,258</w:t>
            </w:r>
          </w:p>
        </w:tc>
        <w:tc>
          <w:tcPr>
            <w:tcW w:w="1080" w:type="dxa"/>
            <w:tcBorders>
              <w:top w:val="nil"/>
              <w:left w:val="nil"/>
              <w:bottom w:val="nil"/>
              <w:right w:val="single" w:sz="4" w:space="0" w:color="auto"/>
            </w:tcBorders>
            <w:shd w:val="clear" w:color="auto" w:fill="DAEEF3" w:themeFill="accent5" w:themeFillTint="33"/>
            <w:vAlign w:val="center"/>
          </w:tcPr>
          <w:p w14:paraId="2B9E8E31"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50.9</w:t>
            </w:r>
            <w:r w:rsidRPr="00AF3A24">
              <w:rPr>
                <w:rFonts w:asciiTheme="minorHAnsi" w:hAnsiTheme="minorHAnsi"/>
                <w:bCs/>
                <w:color w:val="000000"/>
                <w:sz w:val="16"/>
                <w:szCs w:val="16"/>
              </w:rPr>
              <w:br/>
              <w:t>(47.3 - 54.5)</w:t>
            </w:r>
          </w:p>
        </w:tc>
        <w:tc>
          <w:tcPr>
            <w:tcW w:w="720" w:type="dxa"/>
            <w:tcBorders>
              <w:top w:val="nil"/>
              <w:left w:val="nil"/>
              <w:bottom w:val="nil"/>
              <w:right w:val="nil"/>
            </w:tcBorders>
            <w:shd w:val="clear" w:color="auto" w:fill="DAEEF3" w:themeFill="accent5" w:themeFillTint="33"/>
            <w:vAlign w:val="center"/>
          </w:tcPr>
          <w:p w14:paraId="7CC1B1FB"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43</w:t>
            </w:r>
          </w:p>
        </w:tc>
        <w:tc>
          <w:tcPr>
            <w:tcW w:w="1080" w:type="dxa"/>
            <w:tcBorders>
              <w:top w:val="nil"/>
              <w:left w:val="nil"/>
              <w:bottom w:val="nil"/>
              <w:right w:val="single" w:sz="4" w:space="0" w:color="auto"/>
            </w:tcBorders>
            <w:shd w:val="clear" w:color="auto" w:fill="DAEEF3" w:themeFill="accent5" w:themeFillTint="33"/>
            <w:vAlign w:val="center"/>
          </w:tcPr>
          <w:p w14:paraId="2DD5F5A0"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(1.1 - 2.4)</w:t>
            </w:r>
          </w:p>
        </w:tc>
        <w:tc>
          <w:tcPr>
            <w:tcW w:w="720" w:type="dxa"/>
            <w:tcBorders>
              <w:top w:val="nil"/>
              <w:left w:val="nil"/>
              <w:bottom w:val="nil"/>
              <w:right w:val="nil"/>
            </w:tcBorders>
            <w:shd w:val="clear" w:color="auto" w:fill="DAEEF3" w:themeFill="accent5" w:themeFillTint="33"/>
            <w:vAlign w:val="center"/>
          </w:tcPr>
          <w:p w14:paraId="043CD651"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top w:val="nil"/>
              <w:left w:val="nil"/>
              <w:bottom w:val="nil"/>
              <w:right w:val="single" w:sz="4" w:space="0" w:color="auto"/>
            </w:tcBorders>
            <w:shd w:val="clear" w:color="auto" w:fill="DAEEF3" w:themeFill="accent5" w:themeFillTint="33"/>
            <w:vAlign w:val="center"/>
          </w:tcPr>
          <w:p w14:paraId="2CF69713"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top w:val="nil"/>
              <w:left w:val="nil"/>
              <w:bottom w:val="nil"/>
              <w:right w:val="single" w:sz="4" w:space="0" w:color="auto"/>
            </w:tcBorders>
            <w:shd w:val="clear" w:color="auto" w:fill="B6DDE8" w:themeFill="accent5" w:themeFillTint="66"/>
            <w:vAlign w:val="center"/>
          </w:tcPr>
          <w:p w14:paraId="0B0E8FD8" w14:textId="77777777" w:rsidR="00EE15EF"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p w14:paraId="48B1001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 (1.2 – 9.6)</w:t>
            </w:r>
          </w:p>
        </w:tc>
        <w:tc>
          <w:tcPr>
            <w:tcW w:w="851" w:type="dxa"/>
            <w:vMerge/>
            <w:tcBorders>
              <w:left w:val="nil"/>
              <w:right w:val="single" w:sz="4" w:space="0" w:color="auto"/>
            </w:tcBorders>
            <w:shd w:val="clear" w:color="auto" w:fill="B6DDE8" w:themeFill="accent5" w:themeFillTint="66"/>
            <w:vAlign w:val="center"/>
          </w:tcPr>
          <w:p w14:paraId="495CB1FE" w14:textId="77777777" w:rsidR="00EE15EF" w:rsidRPr="00AF3A24" w:rsidRDefault="00EE15EF" w:rsidP="004557FE">
            <w:pPr>
              <w:spacing w:before="0" w:line="240" w:lineRule="auto"/>
              <w:jc w:val="center"/>
              <w:rPr>
                <w:rFonts w:asciiTheme="minorHAnsi" w:hAnsiTheme="minorHAnsi"/>
                <w:bCs/>
                <w:color w:val="000000"/>
                <w:sz w:val="16"/>
                <w:szCs w:val="16"/>
                <w:highlight w:val="cyan"/>
              </w:rPr>
            </w:pPr>
          </w:p>
        </w:tc>
      </w:tr>
      <w:tr w:rsidR="00FB0B7B" w:rsidRPr="00AF3A24" w14:paraId="56E2AEAD" w14:textId="77777777" w:rsidTr="004755F5">
        <w:tc>
          <w:tcPr>
            <w:tcW w:w="1418" w:type="dxa"/>
            <w:vMerge/>
            <w:shd w:val="clear" w:color="auto" w:fill="DAEEF3" w:themeFill="accent5" w:themeFillTint="33"/>
            <w:vAlign w:val="center"/>
          </w:tcPr>
          <w:p w14:paraId="22950726"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nil"/>
            </w:tcBorders>
            <w:shd w:val="clear" w:color="auto" w:fill="DAEEF3" w:themeFill="accent5" w:themeFillTint="33"/>
            <w:vAlign w:val="center"/>
          </w:tcPr>
          <w:p w14:paraId="4A400748"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720" w:type="dxa"/>
            <w:tcBorders>
              <w:top w:val="nil"/>
              <w:bottom w:val="nil"/>
              <w:right w:val="nil"/>
            </w:tcBorders>
            <w:shd w:val="clear" w:color="auto" w:fill="DAEEF3" w:themeFill="accent5" w:themeFillTint="33"/>
            <w:vAlign w:val="center"/>
          </w:tcPr>
          <w:p w14:paraId="1564442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1,299</w:t>
            </w:r>
          </w:p>
        </w:tc>
        <w:tc>
          <w:tcPr>
            <w:tcW w:w="1080" w:type="dxa"/>
            <w:tcBorders>
              <w:top w:val="nil"/>
              <w:left w:val="nil"/>
              <w:bottom w:val="nil"/>
              <w:right w:val="single" w:sz="4" w:space="0" w:color="auto"/>
            </w:tcBorders>
            <w:shd w:val="clear" w:color="auto" w:fill="DAEEF3" w:themeFill="accent5" w:themeFillTint="33"/>
            <w:vAlign w:val="center"/>
          </w:tcPr>
          <w:p w14:paraId="429659D7"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48.4</w:t>
            </w:r>
            <w:r w:rsidRPr="00AF3A24">
              <w:rPr>
                <w:rFonts w:asciiTheme="minorHAnsi" w:hAnsiTheme="minorHAnsi"/>
                <w:bCs/>
                <w:color w:val="000000"/>
                <w:sz w:val="16"/>
                <w:szCs w:val="16"/>
              </w:rPr>
              <w:br/>
              <w:t>(45.5 - 51.4)</w:t>
            </w:r>
          </w:p>
        </w:tc>
        <w:tc>
          <w:tcPr>
            <w:tcW w:w="720" w:type="dxa"/>
            <w:tcBorders>
              <w:top w:val="nil"/>
              <w:left w:val="nil"/>
              <w:bottom w:val="nil"/>
              <w:right w:val="nil"/>
            </w:tcBorders>
            <w:shd w:val="clear" w:color="auto" w:fill="DAEEF3" w:themeFill="accent5" w:themeFillTint="33"/>
            <w:vAlign w:val="center"/>
          </w:tcPr>
          <w:p w14:paraId="1D015B4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1,303</w:t>
            </w:r>
          </w:p>
        </w:tc>
        <w:tc>
          <w:tcPr>
            <w:tcW w:w="1080" w:type="dxa"/>
            <w:tcBorders>
              <w:top w:val="nil"/>
              <w:left w:val="nil"/>
              <w:bottom w:val="nil"/>
              <w:right w:val="single" w:sz="4" w:space="0" w:color="auto"/>
            </w:tcBorders>
            <w:shd w:val="clear" w:color="auto" w:fill="DAEEF3" w:themeFill="accent5" w:themeFillTint="33"/>
            <w:vAlign w:val="center"/>
          </w:tcPr>
          <w:p w14:paraId="5816B7C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47.8</w:t>
            </w:r>
            <w:r w:rsidRPr="00AF3A24">
              <w:rPr>
                <w:rFonts w:asciiTheme="minorHAnsi" w:hAnsiTheme="minorHAnsi"/>
                <w:bCs/>
                <w:color w:val="000000"/>
                <w:sz w:val="16"/>
                <w:szCs w:val="16"/>
              </w:rPr>
              <w:br/>
              <w:t>(45.0 - 50.6)</w:t>
            </w:r>
          </w:p>
        </w:tc>
        <w:tc>
          <w:tcPr>
            <w:tcW w:w="720" w:type="dxa"/>
            <w:tcBorders>
              <w:top w:val="nil"/>
              <w:left w:val="nil"/>
              <w:bottom w:val="nil"/>
              <w:right w:val="nil"/>
            </w:tcBorders>
            <w:shd w:val="clear" w:color="auto" w:fill="DAEEF3" w:themeFill="accent5" w:themeFillTint="33"/>
            <w:vAlign w:val="center"/>
          </w:tcPr>
          <w:p w14:paraId="7A9483E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tc>
        <w:tc>
          <w:tcPr>
            <w:tcW w:w="1080" w:type="dxa"/>
            <w:tcBorders>
              <w:top w:val="nil"/>
              <w:left w:val="nil"/>
              <w:bottom w:val="nil"/>
              <w:right w:val="single" w:sz="4" w:space="0" w:color="auto"/>
            </w:tcBorders>
            <w:shd w:val="clear" w:color="auto" w:fill="DAEEF3" w:themeFill="accent5" w:themeFillTint="33"/>
            <w:vAlign w:val="center"/>
          </w:tcPr>
          <w:p w14:paraId="2E966EB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(1.5 - 3.2)</w:t>
            </w:r>
          </w:p>
        </w:tc>
        <w:tc>
          <w:tcPr>
            <w:tcW w:w="720" w:type="dxa"/>
            <w:tcBorders>
              <w:top w:val="nil"/>
              <w:left w:val="nil"/>
              <w:bottom w:val="nil"/>
              <w:right w:val="nil"/>
            </w:tcBorders>
            <w:shd w:val="clear" w:color="auto" w:fill="DAEEF3" w:themeFill="accent5" w:themeFillTint="33"/>
            <w:vAlign w:val="center"/>
          </w:tcPr>
          <w:p w14:paraId="5C217AB4"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45</w:t>
            </w:r>
          </w:p>
        </w:tc>
        <w:tc>
          <w:tcPr>
            <w:tcW w:w="1069" w:type="dxa"/>
            <w:tcBorders>
              <w:top w:val="nil"/>
              <w:left w:val="nil"/>
              <w:bottom w:val="nil"/>
              <w:right w:val="single" w:sz="4" w:space="0" w:color="auto"/>
            </w:tcBorders>
            <w:shd w:val="clear" w:color="auto" w:fill="DAEEF3" w:themeFill="accent5" w:themeFillTint="33"/>
            <w:vAlign w:val="center"/>
          </w:tcPr>
          <w:p w14:paraId="0B6D35A4"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w:t>
            </w:r>
            <w:r w:rsidRPr="00AF3A24">
              <w:rPr>
                <w:rFonts w:asciiTheme="minorHAnsi" w:hAnsiTheme="minorHAnsi"/>
                <w:bCs/>
                <w:color w:val="000000"/>
                <w:sz w:val="16"/>
                <w:szCs w:val="16"/>
              </w:rPr>
              <w:br/>
              <w:t>(0.8 - 2.0)</w:t>
            </w:r>
          </w:p>
        </w:tc>
        <w:tc>
          <w:tcPr>
            <w:tcW w:w="1137" w:type="dxa"/>
            <w:tcBorders>
              <w:top w:val="nil"/>
              <w:left w:val="nil"/>
              <w:bottom w:val="nil"/>
              <w:right w:val="single" w:sz="4" w:space="0" w:color="auto"/>
            </w:tcBorders>
            <w:shd w:val="clear" w:color="auto" w:fill="B6DDE8" w:themeFill="accent5" w:themeFillTint="66"/>
            <w:vAlign w:val="center"/>
          </w:tcPr>
          <w:p w14:paraId="77AF9DC8"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 xml:space="preserve">3.6 </w:t>
            </w:r>
          </w:p>
          <w:p w14:paraId="2744ED4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 – 9.7)</w:t>
            </w:r>
          </w:p>
        </w:tc>
        <w:tc>
          <w:tcPr>
            <w:tcW w:w="851" w:type="dxa"/>
            <w:vMerge/>
            <w:tcBorders>
              <w:left w:val="nil"/>
              <w:right w:val="single" w:sz="4" w:space="0" w:color="auto"/>
            </w:tcBorders>
            <w:shd w:val="clear" w:color="auto" w:fill="B6DDE8" w:themeFill="accent5" w:themeFillTint="66"/>
            <w:vAlign w:val="center"/>
          </w:tcPr>
          <w:p w14:paraId="1A4EAA29"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FB0B7B" w:rsidRPr="00AF3A24" w14:paraId="2084E071" w14:textId="77777777" w:rsidTr="004755F5">
        <w:tc>
          <w:tcPr>
            <w:tcW w:w="1418" w:type="dxa"/>
            <w:vMerge/>
            <w:tcBorders>
              <w:bottom w:val="single" w:sz="4" w:space="0" w:color="auto"/>
            </w:tcBorders>
            <w:shd w:val="clear" w:color="auto" w:fill="DAEEF3" w:themeFill="accent5" w:themeFillTint="33"/>
            <w:vAlign w:val="center"/>
          </w:tcPr>
          <w:p w14:paraId="5153FD23" w14:textId="77777777" w:rsidR="00FB0B7B" w:rsidRPr="00AF3A24" w:rsidRDefault="00FB0B7B" w:rsidP="004557FE">
            <w:pPr>
              <w:spacing w:before="0" w:line="240" w:lineRule="auto"/>
              <w:ind w:left="36"/>
              <w:jc w:val="left"/>
              <w:rPr>
                <w:rFonts w:asciiTheme="minorHAnsi" w:hAnsiTheme="minorHAnsi" w:cstheme="minorHAnsi"/>
                <w:sz w:val="16"/>
                <w:szCs w:val="16"/>
              </w:rPr>
            </w:pPr>
          </w:p>
        </w:tc>
        <w:tc>
          <w:tcPr>
            <w:tcW w:w="888" w:type="dxa"/>
            <w:tcBorders>
              <w:top w:val="nil"/>
              <w:bottom w:val="single" w:sz="4" w:space="0" w:color="auto"/>
            </w:tcBorders>
            <w:shd w:val="clear" w:color="auto" w:fill="DAEEF3" w:themeFill="accent5" w:themeFillTint="33"/>
            <w:vAlign w:val="center"/>
          </w:tcPr>
          <w:p w14:paraId="1E22FCD6"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720" w:type="dxa"/>
            <w:tcBorders>
              <w:top w:val="nil"/>
              <w:bottom w:val="single" w:sz="4" w:space="0" w:color="auto"/>
              <w:right w:val="nil"/>
            </w:tcBorders>
            <w:shd w:val="clear" w:color="auto" w:fill="DAEEF3" w:themeFill="accent5" w:themeFillTint="33"/>
            <w:vAlign w:val="center"/>
          </w:tcPr>
          <w:p w14:paraId="3F4A5E6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1,768</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23148C42"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52.1</w:t>
            </w:r>
            <w:r w:rsidRPr="00AF3A24">
              <w:rPr>
                <w:rFonts w:asciiTheme="minorHAnsi" w:hAnsiTheme="minorHAnsi"/>
                <w:bCs/>
                <w:color w:val="000000"/>
                <w:sz w:val="16"/>
                <w:szCs w:val="16"/>
              </w:rPr>
              <w:br/>
              <w:t>(49.4 - 54.8)</w:t>
            </w:r>
          </w:p>
        </w:tc>
        <w:tc>
          <w:tcPr>
            <w:tcW w:w="720" w:type="dxa"/>
            <w:tcBorders>
              <w:top w:val="nil"/>
              <w:left w:val="nil"/>
              <w:bottom w:val="single" w:sz="4" w:space="0" w:color="auto"/>
              <w:right w:val="nil"/>
            </w:tcBorders>
            <w:shd w:val="clear" w:color="auto" w:fill="DAEEF3" w:themeFill="accent5" w:themeFillTint="33"/>
            <w:vAlign w:val="center"/>
          </w:tcPr>
          <w:p w14:paraId="6655769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1,482</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77B3B561"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42.0</w:t>
            </w:r>
            <w:r w:rsidRPr="00AF3A24">
              <w:rPr>
                <w:rFonts w:asciiTheme="minorHAnsi" w:hAnsiTheme="minorHAnsi"/>
                <w:bCs/>
                <w:color w:val="000000"/>
                <w:sz w:val="16"/>
                <w:szCs w:val="16"/>
              </w:rPr>
              <w:br/>
              <w:t>(39.5 - 44.5)</w:t>
            </w:r>
          </w:p>
        </w:tc>
        <w:tc>
          <w:tcPr>
            <w:tcW w:w="720" w:type="dxa"/>
            <w:tcBorders>
              <w:top w:val="nil"/>
              <w:left w:val="nil"/>
              <w:bottom w:val="single" w:sz="4" w:space="0" w:color="auto"/>
              <w:right w:val="nil"/>
            </w:tcBorders>
            <w:shd w:val="clear" w:color="auto" w:fill="DAEEF3" w:themeFill="accent5" w:themeFillTint="33"/>
            <w:vAlign w:val="center"/>
          </w:tcPr>
          <w:p w14:paraId="4442365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120</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3B2C457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r w:rsidRPr="00AF3A24">
              <w:rPr>
                <w:rFonts w:asciiTheme="minorHAnsi" w:hAnsiTheme="minorHAnsi"/>
                <w:bCs/>
                <w:color w:val="000000"/>
                <w:sz w:val="16"/>
                <w:szCs w:val="16"/>
              </w:rPr>
              <w:br/>
              <w:t>(2.6 - 4.2)</w:t>
            </w:r>
          </w:p>
        </w:tc>
        <w:tc>
          <w:tcPr>
            <w:tcW w:w="720" w:type="dxa"/>
            <w:tcBorders>
              <w:top w:val="nil"/>
              <w:left w:val="nil"/>
              <w:bottom w:val="single" w:sz="4" w:space="0" w:color="auto"/>
              <w:right w:val="nil"/>
            </w:tcBorders>
            <w:shd w:val="clear" w:color="auto" w:fill="DAEEF3" w:themeFill="accent5" w:themeFillTint="33"/>
            <w:vAlign w:val="center"/>
          </w:tcPr>
          <w:p w14:paraId="2C7171C5"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90</w:t>
            </w:r>
          </w:p>
        </w:tc>
        <w:tc>
          <w:tcPr>
            <w:tcW w:w="1069" w:type="dxa"/>
            <w:tcBorders>
              <w:top w:val="nil"/>
              <w:left w:val="nil"/>
              <w:bottom w:val="single" w:sz="4" w:space="0" w:color="auto"/>
              <w:right w:val="single" w:sz="4" w:space="0" w:color="auto"/>
            </w:tcBorders>
            <w:shd w:val="clear" w:color="auto" w:fill="DAEEF3" w:themeFill="accent5" w:themeFillTint="33"/>
            <w:vAlign w:val="center"/>
          </w:tcPr>
          <w:p w14:paraId="17266B5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r w:rsidRPr="00AF3A24">
              <w:rPr>
                <w:rFonts w:asciiTheme="minorHAnsi" w:hAnsiTheme="minorHAnsi"/>
                <w:bCs/>
                <w:color w:val="000000"/>
                <w:sz w:val="16"/>
                <w:szCs w:val="16"/>
              </w:rPr>
              <w:br/>
              <w:t>(1.9 - 3.2)</w:t>
            </w:r>
          </w:p>
        </w:tc>
        <w:tc>
          <w:tcPr>
            <w:tcW w:w="1137" w:type="dxa"/>
            <w:tcBorders>
              <w:top w:val="nil"/>
              <w:left w:val="nil"/>
              <w:bottom w:val="single" w:sz="4" w:space="0" w:color="auto"/>
              <w:right w:val="single" w:sz="4" w:space="0" w:color="auto"/>
            </w:tcBorders>
            <w:shd w:val="clear" w:color="auto" w:fill="B6DDE8" w:themeFill="accent5" w:themeFillTint="66"/>
            <w:vAlign w:val="center"/>
          </w:tcPr>
          <w:p w14:paraId="37F16544" w14:textId="77777777" w:rsidR="00FB0B7B"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p>
          <w:p w14:paraId="42C6A810"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 – 12.9)</w:t>
            </w:r>
          </w:p>
        </w:tc>
        <w:tc>
          <w:tcPr>
            <w:tcW w:w="851" w:type="dxa"/>
            <w:vMerge/>
            <w:tcBorders>
              <w:left w:val="nil"/>
              <w:bottom w:val="single" w:sz="4" w:space="0" w:color="auto"/>
              <w:right w:val="single" w:sz="4" w:space="0" w:color="auto"/>
            </w:tcBorders>
            <w:shd w:val="clear" w:color="auto" w:fill="B6DDE8" w:themeFill="accent5" w:themeFillTint="66"/>
            <w:vAlign w:val="center"/>
          </w:tcPr>
          <w:p w14:paraId="5A2A36CB" w14:textId="77777777" w:rsidR="00FB0B7B" w:rsidRPr="00AF3A24" w:rsidRDefault="00FB0B7B" w:rsidP="004557FE">
            <w:pPr>
              <w:spacing w:before="0" w:line="240" w:lineRule="auto"/>
              <w:jc w:val="center"/>
              <w:rPr>
                <w:rFonts w:asciiTheme="minorHAnsi" w:hAnsiTheme="minorHAnsi"/>
                <w:bCs/>
                <w:color w:val="000000"/>
                <w:sz w:val="16"/>
                <w:szCs w:val="16"/>
              </w:rPr>
            </w:pPr>
          </w:p>
        </w:tc>
      </w:tr>
      <w:tr w:rsidR="00EE15EF" w:rsidRPr="00AF3A24" w14:paraId="462683EA" w14:textId="77777777" w:rsidTr="004755F5">
        <w:tc>
          <w:tcPr>
            <w:tcW w:w="1418" w:type="dxa"/>
            <w:vMerge w:val="restart"/>
            <w:tcBorders>
              <w:top w:val="single" w:sz="4" w:space="0" w:color="auto"/>
            </w:tcBorders>
            <w:shd w:val="clear" w:color="auto" w:fill="DAEEF3" w:themeFill="accent5" w:themeFillTint="33"/>
            <w:vAlign w:val="center"/>
          </w:tcPr>
          <w:p w14:paraId="24A30899" w14:textId="77777777" w:rsidR="00EE15EF" w:rsidRPr="00AF3A24" w:rsidRDefault="00EE15EF" w:rsidP="004557FE">
            <w:pPr>
              <w:spacing w:before="0" w:line="240" w:lineRule="auto"/>
              <w:ind w:left="36"/>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888" w:type="dxa"/>
            <w:tcBorders>
              <w:top w:val="single" w:sz="4" w:space="0" w:color="auto"/>
              <w:bottom w:val="nil"/>
            </w:tcBorders>
            <w:shd w:val="clear" w:color="auto" w:fill="DAEEF3" w:themeFill="accent5" w:themeFillTint="33"/>
            <w:vAlign w:val="center"/>
          </w:tcPr>
          <w:p w14:paraId="1D8D9C3E" w14:textId="77777777" w:rsidR="00EE15EF" w:rsidRPr="00AF3A24" w:rsidRDefault="00EE15EF"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720" w:type="dxa"/>
            <w:tcBorders>
              <w:bottom w:val="nil"/>
              <w:right w:val="nil"/>
            </w:tcBorders>
            <w:shd w:val="clear" w:color="auto" w:fill="DAEEF3" w:themeFill="accent5" w:themeFillTint="33"/>
            <w:vAlign w:val="center"/>
          </w:tcPr>
          <w:p w14:paraId="5CAFB503"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639</w:t>
            </w:r>
          </w:p>
        </w:tc>
        <w:tc>
          <w:tcPr>
            <w:tcW w:w="1080" w:type="dxa"/>
            <w:tcBorders>
              <w:left w:val="nil"/>
              <w:bottom w:val="nil"/>
              <w:right w:val="single" w:sz="4" w:space="0" w:color="auto"/>
            </w:tcBorders>
            <w:shd w:val="clear" w:color="auto" w:fill="DAEEF3" w:themeFill="accent5" w:themeFillTint="33"/>
            <w:vAlign w:val="center"/>
          </w:tcPr>
          <w:p w14:paraId="5BC020A9"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46.5</w:t>
            </w:r>
            <w:r w:rsidRPr="00AF3A24">
              <w:rPr>
                <w:rFonts w:asciiTheme="minorHAnsi" w:hAnsiTheme="minorHAnsi"/>
                <w:bCs/>
                <w:color w:val="000000"/>
                <w:sz w:val="16"/>
                <w:szCs w:val="16"/>
              </w:rPr>
              <w:br/>
              <w:t>(41.8 - 51.2)</w:t>
            </w:r>
          </w:p>
        </w:tc>
        <w:tc>
          <w:tcPr>
            <w:tcW w:w="720" w:type="dxa"/>
            <w:tcBorders>
              <w:left w:val="nil"/>
              <w:bottom w:val="nil"/>
              <w:right w:val="nil"/>
            </w:tcBorders>
            <w:shd w:val="clear" w:color="auto" w:fill="DAEEF3" w:themeFill="accent5" w:themeFillTint="33"/>
            <w:vAlign w:val="center"/>
          </w:tcPr>
          <w:p w14:paraId="74B1D4CC"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619</w:t>
            </w:r>
          </w:p>
        </w:tc>
        <w:tc>
          <w:tcPr>
            <w:tcW w:w="1080" w:type="dxa"/>
            <w:tcBorders>
              <w:left w:val="nil"/>
              <w:bottom w:val="nil"/>
              <w:right w:val="single" w:sz="4" w:space="0" w:color="auto"/>
            </w:tcBorders>
            <w:shd w:val="clear" w:color="auto" w:fill="DAEEF3" w:themeFill="accent5" w:themeFillTint="33"/>
            <w:vAlign w:val="center"/>
          </w:tcPr>
          <w:p w14:paraId="653D9B68" w14:textId="77777777" w:rsidR="00EE15EF" w:rsidRPr="00AF3A24" w:rsidRDefault="00EE15EF"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52.3</w:t>
            </w:r>
            <w:r w:rsidRPr="00AF3A24">
              <w:rPr>
                <w:rFonts w:asciiTheme="minorHAnsi" w:hAnsiTheme="minorHAnsi"/>
                <w:bCs/>
                <w:color w:val="000000"/>
                <w:sz w:val="16"/>
                <w:szCs w:val="16"/>
              </w:rPr>
              <w:br/>
              <w:t>(47.5 - 57.0)</w:t>
            </w:r>
          </w:p>
        </w:tc>
        <w:tc>
          <w:tcPr>
            <w:tcW w:w="720" w:type="dxa"/>
            <w:tcBorders>
              <w:left w:val="nil"/>
              <w:bottom w:val="nil"/>
              <w:right w:val="nil"/>
            </w:tcBorders>
            <w:shd w:val="clear" w:color="auto" w:fill="DAEEF3" w:themeFill="accent5" w:themeFillTint="33"/>
            <w:vAlign w:val="center"/>
          </w:tcPr>
          <w:p w14:paraId="077FC405"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left w:val="nil"/>
              <w:bottom w:val="nil"/>
              <w:right w:val="single" w:sz="4" w:space="0" w:color="auto"/>
            </w:tcBorders>
            <w:shd w:val="clear" w:color="auto" w:fill="DAEEF3" w:themeFill="accent5" w:themeFillTint="33"/>
            <w:vAlign w:val="center"/>
          </w:tcPr>
          <w:p w14:paraId="4B8FA21F"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left w:val="nil"/>
              <w:bottom w:val="nil"/>
              <w:right w:val="nil"/>
            </w:tcBorders>
            <w:shd w:val="clear" w:color="auto" w:fill="DAEEF3" w:themeFill="accent5" w:themeFillTint="33"/>
            <w:vAlign w:val="center"/>
          </w:tcPr>
          <w:p w14:paraId="604B62D7"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69" w:type="dxa"/>
            <w:tcBorders>
              <w:left w:val="nil"/>
              <w:bottom w:val="nil"/>
              <w:right w:val="single" w:sz="4" w:space="0" w:color="auto"/>
            </w:tcBorders>
            <w:shd w:val="clear" w:color="auto" w:fill="DAEEF3" w:themeFill="accent5" w:themeFillTint="33"/>
            <w:vAlign w:val="center"/>
          </w:tcPr>
          <w:p w14:paraId="471BBB4E"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7" w:type="dxa"/>
            <w:tcBorders>
              <w:left w:val="nil"/>
              <w:bottom w:val="nil"/>
              <w:right w:val="single" w:sz="4" w:space="0" w:color="auto"/>
            </w:tcBorders>
            <w:shd w:val="clear" w:color="auto" w:fill="B6DDE8" w:themeFill="accent5" w:themeFillTint="66"/>
            <w:vAlign w:val="center"/>
          </w:tcPr>
          <w:p w14:paraId="0DED7A14" w14:textId="77777777" w:rsidR="00EE15EF" w:rsidRDefault="00EE15EF"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0.4</w:t>
            </w:r>
          </w:p>
          <w:p w14:paraId="6A710377" w14:textId="77777777" w:rsidR="00EE15EF" w:rsidRPr="00AF3A24" w:rsidRDefault="00EE15EF"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(0.1 </w:t>
            </w:r>
            <w:r w:rsidRPr="00AF3A24">
              <w:rPr>
                <w:rFonts w:asciiTheme="minorHAnsi" w:hAnsiTheme="minorHAnsi"/>
                <w:bCs/>
                <w:color w:val="000000"/>
                <w:sz w:val="16"/>
                <w:szCs w:val="16"/>
              </w:rPr>
              <w:t>–</w:t>
            </w:r>
            <w:r>
              <w:rPr>
                <w:rFonts w:asciiTheme="minorHAnsi" w:hAnsiTheme="minorHAnsi"/>
                <w:bCs/>
                <w:color w:val="000000"/>
                <w:sz w:val="16"/>
                <w:szCs w:val="16"/>
              </w:rPr>
              <w:t xml:space="preserve"> 1.0)</w:t>
            </w:r>
          </w:p>
        </w:tc>
        <w:tc>
          <w:tcPr>
            <w:tcW w:w="851" w:type="dxa"/>
            <w:vMerge w:val="restart"/>
            <w:tcBorders>
              <w:left w:val="nil"/>
              <w:right w:val="single" w:sz="4" w:space="0" w:color="auto"/>
            </w:tcBorders>
            <w:shd w:val="clear" w:color="auto" w:fill="B6DDE8" w:themeFill="accent5" w:themeFillTint="66"/>
            <w:vAlign w:val="center"/>
          </w:tcPr>
          <w:p w14:paraId="0C9EE0E6" w14:textId="77777777" w:rsidR="00EE15EF" w:rsidRPr="00AF3A24" w:rsidRDefault="00EE15EF" w:rsidP="0070325F">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w:t>
            </w:r>
            <w:r w:rsidRPr="00AF3A24">
              <w:rPr>
                <w:rFonts w:asciiTheme="minorHAnsi" w:hAnsiTheme="minorHAnsi"/>
                <w:bCs/>
                <w:color w:val="000000"/>
                <w:sz w:val="16"/>
                <w:szCs w:val="16"/>
              </w:rPr>
              <w:t>.0</w:t>
            </w:r>
            <w:r>
              <w:rPr>
                <w:rFonts w:asciiTheme="minorHAnsi" w:hAnsiTheme="minorHAnsi"/>
                <w:bCs/>
                <w:color w:val="000000"/>
                <w:sz w:val="16"/>
                <w:szCs w:val="16"/>
              </w:rPr>
              <w:t>4</w:t>
            </w:r>
          </w:p>
        </w:tc>
      </w:tr>
      <w:tr w:rsidR="00FB0B7B" w:rsidRPr="00AF3A24" w14:paraId="7D982154" w14:textId="77777777" w:rsidTr="004755F5">
        <w:tc>
          <w:tcPr>
            <w:tcW w:w="1418" w:type="dxa"/>
            <w:vMerge/>
            <w:tcBorders>
              <w:bottom w:val="single" w:sz="4" w:space="0" w:color="auto"/>
            </w:tcBorders>
            <w:shd w:val="clear" w:color="auto" w:fill="DAEEF3" w:themeFill="accent5" w:themeFillTint="33"/>
          </w:tcPr>
          <w:p w14:paraId="4E9F6FDD" w14:textId="77777777" w:rsidR="00FB0B7B" w:rsidRPr="00AF3A24" w:rsidRDefault="00FB0B7B" w:rsidP="004557FE">
            <w:pPr>
              <w:spacing w:before="0" w:line="240" w:lineRule="auto"/>
              <w:ind w:left="78"/>
              <w:jc w:val="center"/>
              <w:rPr>
                <w:rFonts w:asciiTheme="minorHAnsi" w:hAnsiTheme="minorHAnsi" w:cstheme="minorHAnsi"/>
                <w:sz w:val="16"/>
                <w:szCs w:val="16"/>
              </w:rPr>
            </w:pPr>
          </w:p>
        </w:tc>
        <w:tc>
          <w:tcPr>
            <w:tcW w:w="888" w:type="dxa"/>
            <w:tcBorders>
              <w:top w:val="nil"/>
              <w:bottom w:val="single" w:sz="4" w:space="0" w:color="auto"/>
            </w:tcBorders>
            <w:shd w:val="clear" w:color="auto" w:fill="DAEEF3" w:themeFill="accent5" w:themeFillTint="33"/>
            <w:vAlign w:val="center"/>
          </w:tcPr>
          <w:p w14:paraId="5593528B" w14:textId="77777777" w:rsidR="00FB0B7B" w:rsidRPr="00AF3A24" w:rsidRDefault="00FB0B7B" w:rsidP="004557FE">
            <w:pPr>
              <w:spacing w:before="0" w:line="240" w:lineRule="auto"/>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720" w:type="dxa"/>
            <w:tcBorders>
              <w:top w:val="nil"/>
              <w:bottom w:val="single" w:sz="4" w:space="0" w:color="auto"/>
              <w:right w:val="nil"/>
            </w:tcBorders>
            <w:shd w:val="clear" w:color="auto" w:fill="DAEEF3" w:themeFill="accent5" w:themeFillTint="33"/>
            <w:vAlign w:val="center"/>
          </w:tcPr>
          <w:p w14:paraId="0FD26F7F"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5,386</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170C1C2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47.9</w:t>
            </w:r>
            <w:r w:rsidRPr="00AF3A24">
              <w:rPr>
                <w:rFonts w:asciiTheme="minorHAnsi" w:hAnsiTheme="minorHAnsi"/>
                <w:bCs/>
                <w:color w:val="000000"/>
                <w:sz w:val="16"/>
                <w:szCs w:val="16"/>
              </w:rPr>
              <w:br/>
              <w:t>(46.4 - 49.3)</w:t>
            </w:r>
          </w:p>
        </w:tc>
        <w:tc>
          <w:tcPr>
            <w:tcW w:w="720" w:type="dxa"/>
            <w:tcBorders>
              <w:top w:val="nil"/>
              <w:left w:val="nil"/>
              <w:bottom w:val="single" w:sz="4" w:space="0" w:color="auto"/>
              <w:right w:val="nil"/>
            </w:tcBorders>
            <w:shd w:val="clear" w:color="auto" w:fill="DAEEF3" w:themeFill="accent5" w:themeFillTint="33"/>
            <w:vAlign w:val="center"/>
          </w:tcPr>
          <w:p w14:paraId="46A1B74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5,455</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4501CD5A"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48.7</w:t>
            </w:r>
            <w:r w:rsidRPr="00AF3A24">
              <w:rPr>
                <w:rFonts w:asciiTheme="minorHAnsi" w:hAnsiTheme="minorHAnsi"/>
                <w:bCs/>
                <w:color w:val="000000"/>
                <w:sz w:val="16"/>
                <w:szCs w:val="16"/>
              </w:rPr>
              <w:br/>
              <w:t>(47.3 - 50.2)</w:t>
            </w:r>
          </w:p>
        </w:tc>
        <w:tc>
          <w:tcPr>
            <w:tcW w:w="720" w:type="dxa"/>
            <w:tcBorders>
              <w:top w:val="nil"/>
              <w:left w:val="nil"/>
              <w:bottom w:val="single" w:sz="4" w:space="0" w:color="auto"/>
              <w:right w:val="nil"/>
            </w:tcBorders>
            <w:shd w:val="clear" w:color="auto" w:fill="DAEEF3" w:themeFill="accent5" w:themeFillTint="33"/>
            <w:vAlign w:val="center"/>
          </w:tcPr>
          <w:p w14:paraId="712FE15D"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261</w:t>
            </w:r>
          </w:p>
        </w:tc>
        <w:tc>
          <w:tcPr>
            <w:tcW w:w="1080" w:type="dxa"/>
            <w:tcBorders>
              <w:top w:val="nil"/>
              <w:left w:val="nil"/>
              <w:bottom w:val="single" w:sz="4" w:space="0" w:color="auto"/>
              <w:right w:val="single" w:sz="4" w:space="0" w:color="auto"/>
            </w:tcBorders>
            <w:shd w:val="clear" w:color="auto" w:fill="DAEEF3" w:themeFill="accent5" w:themeFillTint="33"/>
            <w:vAlign w:val="center"/>
          </w:tcPr>
          <w:p w14:paraId="54E5ADA9"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r w:rsidRPr="00AF3A24">
              <w:rPr>
                <w:rFonts w:asciiTheme="minorHAnsi" w:hAnsiTheme="minorHAnsi"/>
                <w:bCs/>
                <w:color w:val="000000"/>
                <w:sz w:val="16"/>
                <w:szCs w:val="16"/>
              </w:rPr>
              <w:br/>
              <w:t>(1.7 - 2.4)</w:t>
            </w:r>
          </w:p>
        </w:tc>
        <w:tc>
          <w:tcPr>
            <w:tcW w:w="720" w:type="dxa"/>
            <w:tcBorders>
              <w:top w:val="nil"/>
              <w:left w:val="nil"/>
              <w:bottom w:val="single" w:sz="4" w:space="0" w:color="auto"/>
              <w:right w:val="nil"/>
            </w:tcBorders>
            <w:shd w:val="clear" w:color="auto" w:fill="DAEEF3" w:themeFill="accent5" w:themeFillTint="33"/>
            <w:vAlign w:val="center"/>
          </w:tcPr>
          <w:p w14:paraId="0A44166C"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174</w:t>
            </w:r>
          </w:p>
        </w:tc>
        <w:tc>
          <w:tcPr>
            <w:tcW w:w="1069" w:type="dxa"/>
            <w:tcBorders>
              <w:top w:val="nil"/>
              <w:left w:val="nil"/>
              <w:bottom w:val="single" w:sz="4" w:space="0" w:color="auto"/>
              <w:right w:val="single" w:sz="4" w:space="0" w:color="auto"/>
            </w:tcBorders>
            <w:shd w:val="clear" w:color="auto" w:fill="DAEEF3" w:themeFill="accent5" w:themeFillTint="33"/>
            <w:vAlign w:val="center"/>
          </w:tcPr>
          <w:p w14:paraId="711CE188" w14:textId="77777777" w:rsidR="00FB0B7B" w:rsidRPr="00AF3A24" w:rsidRDefault="00FB0B7B" w:rsidP="004557FE">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r w:rsidRPr="00AF3A24">
              <w:rPr>
                <w:rFonts w:asciiTheme="minorHAnsi" w:hAnsiTheme="minorHAnsi"/>
                <w:bCs/>
                <w:color w:val="000000"/>
                <w:sz w:val="16"/>
                <w:szCs w:val="16"/>
              </w:rPr>
              <w:br/>
              <w:t>(1.1 - 1.6)</w:t>
            </w:r>
          </w:p>
        </w:tc>
        <w:tc>
          <w:tcPr>
            <w:tcW w:w="1137" w:type="dxa"/>
            <w:tcBorders>
              <w:top w:val="nil"/>
              <w:left w:val="nil"/>
              <w:bottom w:val="single" w:sz="4" w:space="0" w:color="auto"/>
              <w:right w:val="single" w:sz="4" w:space="0" w:color="auto"/>
            </w:tcBorders>
            <w:shd w:val="clear" w:color="auto" w:fill="B6DDE8" w:themeFill="accent5" w:themeFillTint="66"/>
            <w:vAlign w:val="center"/>
          </w:tcPr>
          <w:p w14:paraId="7C05165D" w14:textId="77777777" w:rsidR="00FB0B7B" w:rsidRPr="00AF3A24" w:rsidRDefault="00195C2A" w:rsidP="004557F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851" w:type="dxa"/>
            <w:vMerge/>
            <w:tcBorders>
              <w:left w:val="nil"/>
              <w:bottom w:val="single" w:sz="4" w:space="0" w:color="auto"/>
              <w:right w:val="single" w:sz="4" w:space="0" w:color="auto"/>
            </w:tcBorders>
            <w:shd w:val="clear" w:color="auto" w:fill="B6DDE8" w:themeFill="accent5" w:themeFillTint="66"/>
          </w:tcPr>
          <w:p w14:paraId="6A37E6A4" w14:textId="77777777" w:rsidR="00FB0B7B" w:rsidRPr="00AF3A24" w:rsidRDefault="00FB0B7B" w:rsidP="004557FE">
            <w:pPr>
              <w:spacing w:before="0" w:line="240" w:lineRule="auto"/>
              <w:jc w:val="center"/>
              <w:rPr>
                <w:rFonts w:asciiTheme="minorHAnsi" w:hAnsiTheme="minorHAnsi"/>
                <w:bCs/>
                <w:color w:val="000000"/>
                <w:sz w:val="16"/>
                <w:szCs w:val="16"/>
              </w:rPr>
            </w:pPr>
          </w:p>
        </w:tc>
      </w:tr>
    </w:tbl>
    <w:p w14:paraId="5043881A" w14:textId="77777777" w:rsidR="00FB0B7B" w:rsidRPr="00AF3A24" w:rsidRDefault="00FB0B7B" w:rsidP="00FB0B7B">
      <w:pPr>
        <w:spacing w:before="0" w:line="240" w:lineRule="auto"/>
        <w:ind w:left="-567"/>
        <w:rPr>
          <w:rFonts w:asciiTheme="minorHAnsi" w:hAnsiTheme="minorHAnsi" w:cstheme="minorHAnsi"/>
          <w:sz w:val="16"/>
        </w:rPr>
      </w:pPr>
      <w:r w:rsidRPr="00AF3A24">
        <w:rPr>
          <w:rFonts w:asciiTheme="minorHAnsi" w:hAnsiTheme="minorHAnsi" w:cstheme="minorHAnsi"/>
          <w:sz w:val="16"/>
        </w:rPr>
        <w:t>Notes:</w:t>
      </w:r>
    </w:p>
    <w:p w14:paraId="49C93F90" w14:textId="77777777" w:rsidR="00FB0B7B" w:rsidRPr="00AF3A24" w:rsidRDefault="00FB0B7B" w:rsidP="004F129A">
      <w:pPr>
        <w:pStyle w:val="ListParagraph"/>
        <w:numPr>
          <w:ilvl w:val="0"/>
          <w:numId w:val="57"/>
        </w:numPr>
        <w:spacing w:line="240" w:lineRule="auto"/>
        <w:ind w:left="-284" w:hanging="283"/>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4898434A" w14:textId="77777777" w:rsidR="00FB0B7B" w:rsidRPr="00AF3A24" w:rsidRDefault="00FB0B7B" w:rsidP="004F129A">
      <w:pPr>
        <w:pStyle w:val="ListParagraph"/>
        <w:numPr>
          <w:ilvl w:val="0"/>
          <w:numId w:val="57"/>
        </w:numPr>
        <w:spacing w:line="240" w:lineRule="auto"/>
        <w:ind w:left="-284" w:hanging="283"/>
        <w:rPr>
          <w:rFonts w:asciiTheme="minorHAnsi" w:hAnsiTheme="minorHAnsi" w:cstheme="minorHAnsi"/>
          <w:sz w:val="16"/>
        </w:rPr>
      </w:pPr>
      <w:r>
        <w:rPr>
          <w:rFonts w:asciiTheme="minorHAnsi" w:hAnsiTheme="minorHAnsi" w:cstheme="minorHAnsi"/>
          <w:sz w:val="16"/>
        </w:rPr>
        <w:t>Due to small cell sizes/</w:t>
      </w:r>
      <w:r w:rsidRPr="00AF3A24">
        <w:rPr>
          <w:rFonts w:asciiTheme="minorHAnsi" w:hAnsiTheme="minorHAnsi" w:cstheme="minorHAnsi"/>
          <w:sz w:val="16"/>
        </w:rPr>
        <w:t>denominators (n&lt;30), the ‘problem’ and ‘moderate-risk’ categories have been combined to enable their inclusion in these analyses.</w:t>
      </w:r>
    </w:p>
    <w:p w14:paraId="145A4EC5" w14:textId="77777777" w:rsidR="00FB0B7B" w:rsidRDefault="00FB0B7B" w:rsidP="004F129A">
      <w:pPr>
        <w:pStyle w:val="ListParagraph"/>
        <w:numPr>
          <w:ilvl w:val="0"/>
          <w:numId w:val="57"/>
        </w:numPr>
        <w:spacing w:line="240" w:lineRule="auto"/>
        <w:ind w:left="-284" w:hanging="283"/>
        <w:rPr>
          <w:rFonts w:asciiTheme="minorHAnsi" w:hAnsiTheme="minorHAnsi" w:cstheme="minorHAnsi"/>
          <w:sz w:val="16"/>
        </w:rPr>
      </w:pPr>
      <w:r w:rsidRPr="003B5436">
        <w:rPr>
          <w:rFonts w:asciiTheme="minorHAnsi" w:hAnsiTheme="minorHAnsi" w:cstheme="minorHAnsi"/>
          <w:sz w:val="16"/>
        </w:rPr>
        <w:t>Logistic regression analyses have controlled for gender, age, ethnicity, neighbourhood deprivation, and geography (urban/rural).</w:t>
      </w:r>
      <w:r w:rsidRPr="003B5436">
        <w:rPr>
          <w:rFonts w:asciiTheme="minorHAnsi" w:hAnsiTheme="minorHAnsi" w:cstheme="minorHAnsi"/>
          <w:sz w:val="16"/>
          <w:highlight w:val="yellow"/>
        </w:rPr>
        <w:t xml:space="preserve"> </w:t>
      </w:r>
    </w:p>
    <w:p w14:paraId="678C89B8" w14:textId="363230DC" w:rsidR="00FB0B7B" w:rsidRPr="00451597" w:rsidRDefault="00FB0B7B" w:rsidP="004F129A">
      <w:pPr>
        <w:pStyle w:val="ListParagraph"/>
        <w:numPr>
          <w:ilvl w:val="0"/>
          <w:numId w:val="57"/>
        </w:numPr>
        <w:spacing w:line="240" w:lineRule="auto"/>
        <w:ind w:left="-284" w:hanging="283"/>
        <w:rPr>
          <w:rFonts w:asciiTheme="minorHAnsi" w:hAnsiTheme="minorHAnsi" w:cstheme="minorHAnsi"/>
          <w:sz w:val="16"/>
        </w:rPr>
      </w:pPr>
      <w:r w:rsidRPr="00451597">
        <w:rPr>
          <w:rFonts w:asciiTheme="minorHAnsi" w:hAnsiTheme="minorHAnsi" w:cstheme="minorHAnsi"/>
          <w:sz w:val="16"/>
          <w:szCs w:val="16"/>
        </w:rPr>
        <w:t>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Cite&gt;&lt;Author&gt;Ahmad&lt;/Author&gt;&lt;Year&gt;2001&lt;/Year&gt;&lt;RecNum&gt;912&lt;/RecNum&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645B95">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645B95">
        <w:rPr>
          <w:rFonts w:asciiTheme="minorHAnsi" w:hAnsiTheme="minorHAnsi" w:cstheme="minorHAnsi"/>
          <w:noProof/>
          <w:sz w:val="16"/>
          <w:szCs w:val="16"/>
        </w:rPr>
        <w:t>)</w:t>
      </w:r>
      <w:r w:rsidR="00645B95">
        <w:rPr>
          <w:rFonts w:asciiTheme="minorHAnsi" w:hAnsiTheme="minorHAnsi" w:cstheme="minorHAnsi"/>
          <w:sz w:val="16"/>
          <w:szCs w:val="16"/>
        </w:rPr>
        <w:fldChar w:fldCharType="end"/>
      </w:r>
      <w:r w:rsidRPr="00451597">
        <w:rPr>
          <w:rFonts w:asciiTheme="minorHAnsi" w:hAnsiTheme="minorHAnsi" w:cstheme="minorHAnsi"/>
          <w:sz w:val="16"/>
          <w:szCs w:val="16"/>
        </w:rPr>
        <w:t>.</w:t>
      </w:r>
    </w:p>
    <w:p w14:paraId="158C53DA" w14:textId="77777777" w:rsidR="00FB0B7B" w:rsidRPr="00F20647" w:rsidRDefault="00FB0B7B" w:rsidP="004F129A">
      <w:pPr>
        <w:pStyle w:val="ListParagraph"/>
        <w:numPr>
          <w:ilvl w:val="0"/>
          <w:numId w:val="57"/>
        </w:numPr>
        <w:spacing w:line="240" w:lineRule="auto"/>
        <w:ind w:left="-284" w:right="2126" w:hanging="283"/>
        <w:rPr>
          <w:rFonts w:asciiTheme="minorHAnsi" w:hAnsiTheme="minorHAnsi" w:cstheme="minorHAnsi"/>
          <w:sz w:val="16"/>
        </w:rPr>
      </w:pPr>
      <w:r w:rsidRPr="00F20647">
        <w:rPr>
          <w:rFonts w:asciiTheme="minorHAnsi" w:hAnsiTheme="minorHAnsi" w:cstheme="minorHAnsi"/>
          <w:sz w:val="16"/>
        </w:rPr>
        <w:t>Based on prioritised ethnic reporting.</w:t>
      </w:r>
    </w:p>
    <w:p w14:paraId="43799D46" w14:textId="77777777" w:rsidR="003868A2" w:rsidRDefault="003868A2">
      <w:pPr>
        <w:spacing w:before="0" w:after="200" w:line="276" w:lineRule="auto"/>
        <w:jc w:val="left"/>
        <w:rPr>
          <w:rFonts w:asciiTheme="minorHAnsi" w:hAnsiTheme="minorHAnsi" w:cstheme="minorHAnsi"/>
          <w:b/>
          <w:bCs/>
          <w:iCs/>
          <w:color w:val="1F497D"/>
        </w:rPr>
      </w:pPr>
    </w:p>
    <w:p w14:paraId="2B93606C" w14:textId="219C3912" w:rsidR="003072C2" w:rsidRPr="00365827" w:rsidRDefault="0072417E" w:rsidP="00365827">
      <w:pPr>
        <w:pStyle w:val="Caption"/>
        <w:keepNext/>
        <w:spacing w:line="276" w:lineRule="auto"/>
        <w:ind w:left="142" w:hanging="993"/>
        <w:rPr>
          <w:rFonts w:asciiTheme="minorHAnsi" w:hAnsiTheme="minorHAnsi"/>
          <w:i/>
          <w:vertAlign w:val="superscript"/>
        </w:rPr>
      </w:pPr>
      <w:bookmarkStart w:id="297" w:name="_Toc425426892"/>
      <w:r w:rsidRPr="0072417E">
        <w:rPr>
          <w:rFonts w:asciiTheme="minorHAnsi" w:hAnsiTheme="minorHAnsi"/>
          <w:i/>
        </w:rPr>
        <w:lastRenderedPageBreak/>
        <w:t xml:space="preserve">Table </w:t>
      </w:r>
      <w:r w:rsidRPr="0072417E">
        <w:rPr>
          <w:rFonts w:asciiTheme="minorHAnsi" w:hAnsiTheme="minorHAnsi"/>
          <w:i/>
        </w:rPr>
        <w:fldChar w:fldCharType="begin"/>
      </w:r>
      <w:r w:rsidRPr="0072417E">
        <w:rPr>
          <w:rFonts w:asciiTheme="minorHAnsi" w:hAnsiTheme="minorHAnsi"/>
          <w:i/>
        </w:rPr>
        <w:instrText xml:space="preserve"> SEQ Table \* ARABIC </w:instrText>
      </w:r>
      <w:r w:rsidRPr="0072417E">
        <w:rPr>
          <w:rFonts w:asciiTheme="minorHAnsi" w:hAnsiTheme="minorHAnsi"/>
          <w:i/>
        </w:rPr>
        <w:fldChar w:fldCharType="separate"/>
      </w:r>
      <w:r w:rsidR="00D71107">
        <w:rPr>
          <w:rFonts w:asciiTheme="minorHAnsi" w:hAnsiTheme="minorHAnsi"/>
          <w:i/>
          <w:noProof/>
        </w:rPr>
        <w:t>25</w:t>
      </w:r>
      <w:r w:rsidRPr="0072417E">
        <w:rPr>
          <w:rFonts w:asciiTheme="minorHAnsi" w:hAnsiTheme="minorHAnsi"/>
          <w:i/>
        </w:rPr>
        <w:fldChar w:fldCharType="end"/>
      </w:r>
      <w:r w:rsidRPr="0072417E">
        <w:rPr>
          <w:rFonts w:asciiTheme="minorHAnsi" w:hAnsiTheme="minorHAnsi"/>
          <w:i/>
        </w:rPr>
        <w:t>: Gambling status - changes over time</w:t>
      </w:r>
      <w:r w:rsidR="00057250">
        <w:rPr>
          <w:rFonts w:asciiTheme="minorHAnsi" w:hAnsiTheme="minorHAnsi"/>
          <w:i/>
        </w:rPr>
        <w:t xml:space="preserve"> </w:t>
      </w:r>
      <w:r w:rsidRPr="0072417E">
        <w:rPr>
          <w:rFonts w:asciiTheme="minorHAnsi" w:hAnsiTheme="minorHAnsi"/>
          <w:i/>
        </w:rPr>
        <w:t>- comparison of 2006/07 NZHS and 2011/12 NZHS, by ethnicity, total population aged 15 years and over (</w:t>
      </w:r>
      <w:r w:rsidR="00057250">
        <w:rPr>
          <w:rFonts w:asciiTheme="minorHAnsi" w:hAnsiTheme="minorHAnsi"/>
          <w:i/>
        </w:rPr>
        <w:t xml:space="preserve">adjusted prevalence; </w:t>
      </w:r>
      <w:r w:rsidR="003736B9">
        <w:rPr>
          <w:rFonts w:asciiTheme="minorHAnsi" w:hAnsiTheme="minorHAnsi"/>
          <w:i/>
        </w:rPr>
        <w:t>2002/03 NZHS N=12,529,</w:t>
      </w:r>
      <w:r w:rsidR="003736B9">
        <w:rPr>
          <w:rFonts w:asciiTheme="minorHAnsi" w:hAnsiTheme="minorHAnsi" w:cstheme="minorHAnsi"/>
          <w:i/>
        </w:rPr>
        <w:t xml:space="preserve"> </w:t>
      </w:r>
      <w:r w:rsidR="003736B9" w:rsidRPr="0072417E">
        <w:rPr>
          <w:rFonts w:asciiTheme="minorHAnsi" w:hAnsiTheme="minorHAnsi"/>
          <w:i/>
        </w:rPr>
        <w:t>2006/07 NZHS N=12,488, 2011/12 NZHS N=12,596</w:t>
      </w:r>
      <w:r w:rsidRPr="0072417E">
        <w:rPr>
          <w:rFonts w:asciiTheme="minorHAnsi" w:hAnsiTheme="minorHAnsi"/>
          <w:i/>
        </w:rPr>
        <w:t xml:space="preserve">) </w:t>
      </w:r>
      <w:r w:rsidRPr="0072417E">
        <w:rPr>
          <w:rFonts w:asciiTheme="minorHAnsi" w:hAnsiTheme="minorHAnsi"/>
          <w:i/>
          <w:vertAlign w:val="superscript"/>
        </w:rPr>
        <w:t>1</w:t>
      </w:r>
      <w:bookmarkEnd w:id="297"/>
    </w:p>
    <w:tbl>
      <w:tblPr>
        <w:tblStyle w:val="TableGrid"/>
        <w:tblW w:w="10025" w:type="dxa"/>
        <w:jc w:val="center"/>
        <w:tblLayout w:type="fixed"/>
        <w:tblLook w:val="04A0" w:firstRow="1" w:lastRow="0" w:firstColumn="1" w:lastColumn="0" w:noHBand="0" w:noVBand="1"/>
      </w:tblPr>
      <w:tblGrid>
        <w:gridCol w:w="1176"/>
        <w:gridCol w:w="2552"/>
        <w:gridCol w:w="694"/>
        <w:gridCol w:w="1109"/>
        <w:gridCol w:w="720"/>
        <w:gridCol w:w="1080"/>
        <w:gridCol w:w="720"/>
        <w:gridCol w:w="1080"/>
        <w:gridCol w:w="894"/>
      </w:tblGrid>
      <w:tr w:rsidR="00365827" w:rsidRPr="00365827" w14:paraId="743146C5" w14:textId="77777777" w:rsidTr="00365827">
        <w:trPr>
          <w:trHeight w:val="340"/>
          <w:jc w:val="center"/>
        </w:trPr>
        <w:tc>
          <w:tcPr>
            <w:tcW w:w="1176" w:type="dxa"/>
            <w:vMerge w:val="restart"/>
            <w:tcBorders>
              <w:top w:val="single" w:sz="4" w:space="0" w:color="auto"/>
            </w:tcBorders>
            <w:shd w:val="clear" w:color="auto" w:fill="92CDDC" w:themeFill="accent5" w:themeFillTint="99"/>
            <w:vAlign w:val="center"/>
          </w:tcPr>
          <w:p w14:paraId="4FE6C87B" w14:textId="77777777" w:rsidR="00365827" w:rsidRDefault="00365827" w:rsidP="00262B8E">
            <w:pPr>
              <w:spacing w:before="0" w:line="240" w:lineRule="auto"/>
              <w:ind w:left="78"/>
              <w:jc w:val="left"/>
              <w:rPr>
                <w:rFonts w:asciiTheme="minorHAnsi" w:hAnsiTheme="minorHAnsi" w:cstheme="minorHAnsi"/>
                <w:b/>
                <w:sz w:val="18"/>
                <w:szCs w:val="18"/>
              </w:rPr>
            </w:pPr>
            <w:r>
              <w:rPr>
                <w:rFonts w:asciiTheme="minorHAnsi" w:hAnsiTheme="minorHAnsi" w:cstheme="minorHAnsi"/>
                <w:b/>
                <w:sz w:val="18"/>
                <w:szCs w:val="18"/>
              </w:rPr>
              <w:t>ETHNICITY</w:t>
            </w:r>
          </w:p>
        </w:tc>
        <w:tc>
          <w:tcPr>
            <w:tcW w:w="2552" w:type="dxa"/>
            <w:vMerge w:val="restart"/>
            <w:tcBorders>
              <w:top w:val="single" w:sz="4" w:space="0" w:color="auto"/>
            </w:tcBorders>
            <w:shd w:val="clear" w:color="auto" w:fill="92CDDC" w:themeFill="accent5" w:themeFillTint="99"/>
            <w:vAlign w:val="center"/>
          </w:tcPr>
          <w:p w14:paraId="63A5E7D4" w14:textId="77777777" w:rsidR="00365827" w:rsidRDefault="00365827" w:rsidP="005D0844">
            <w:pPr>
              <w:spacing w:before="0" w:line="240" w:lineRule="auto"/>
              <w:ind w:left="36"/>
              <w:jc w:val="left"/>
              <w:rPr>
                <w:rFonts w:asciiTheme="minorHAnsi" w:hAnsiTheme="minorHAnsi" w:cstheme="minorHAnsi"/>
                <w:b/>
                <w:sz w:val="18"/>
                <w:szCs w:val="18"/>
              </w:rPr>
            </w:pPr>
            <w:r>
              <w:rPr>
                <w:rFonts w:asciiTheme="minorHAnsi" w:hAnsiTheme="minorHAnsi" w:cstheme="minorHAnsi"/>
                <w:b/>
                <w:sz w:val="18"/>
                <w:szCs w:val="18"/>
              </w:rPr>
              <w:t>GAMBLING STATUS</w:t>
            </w:r>
          </w:p>
        </w:tc>
        <w:tc>
          <w:tcPr>
            <w:tcW w:w="5403" w:type="dxa"/>
            <w:gridSpan w:val="6"/>
            <w:tcBorders>
              <w:top w:val="single" w:sz="4" w:space="0" w:color="auto"/>
              <w:bottom w:val="nil"/>
              <w:right w:val="single" w:sz="4" w:space="0" w:color="auto"/>
            </w:tcBorders>
            <w:shd w:val="clear" w:color="auto" w:fill="92CDDC" w:themeFill="accent5" w:themeFillTint="99"/>
            <w:vAlign w:val="center"/>
          </w:tcPr>
          <w:p w14:paraId="6EBBA55A" w14:textId="77777777" w:rsidR="00365827" w:rsidRPr="00BB426A" w:rsidRDefault="00365827" w:rsidP="00365827">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NZHS SURVEY WAVE</w:t>
            </w:r>
          </w:p>
        </w:tc>
        <w:tc>
          <w:tcPr>
            <w:tcW w:w="894" w:type="dxa"/>
            <w:vMerge w:val="restart"/>
            <w:tcBorders>
              <w:top w:val="single" w:sz="4" w:space="0" w:color="auto"/>
              <w:left w:val="nil"/>
              <w:right w:val="single" w:sz="4" w:space="0" w:color="auto"/>
            </w:tcBorders>
            <w:shd w:val="clear" w:color="auto" w:fill="92CDDC" w:themeFill="accent5" w:themeFillTint="99"/>
            <w:vAlign w:val="center"/>
          </w:tcPr>
          <w:p w14:paraId="2FC358C5" w14:textId="77777777" w:rsidR="00365827" w:rsidRPr="00BB426A" w:rsidRDefault="00365827" w:rsidP="005D0844">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 xml:space="preserve">p-value </w:t>
            </w:r>
            <w:r w:rsidRPr="001837AA">
              <w:rPr>
                <w:rFonts w:asciiTheme="minorHAnsi" w:hAnsiTheme="minorHAnsi" w:cstheme="minorHAnsi"/>
                <w:b/>
                <w:sz w:val="18"/>
                <w:szCs w:val="18"/>
                <w:vertAlign w:val="superscript"/>
              </w:rPr>
              <w:t>2</w:t>
            </w:r>
          </w:p>
        </w:tc>
      </w:tr>
      <w:tr w:rsidR="00365827" w:rsidRPr="00365827" w14:paraId="1A10AD22" w14:textId="77777777" w:rsidTr="00365827">
        <w:trPr>
          <w:trHeight w:val="340"/>
          <w:jc w:val="center"/>
        </w:trPr>
        <w:tc>
          <w:tcPr>
            <w:tcW w:w="1176" w:type="dxa"/>
            <w:vMerge/>
            <w:shd w:val="clear" w:color="auto" w:fill="92CDDC" w:themeFill="accent5" w:themeFillTint="99"/>
            <w:vAlign w:val="center"/>
          </w:tcPr>
          <w:p w14:paraId="2174DF2A" w14:textId="77777777" w:rsidR="00365827" w:rsidRDefault="00365827" w:rsidP="00262B8E">
            <w:pPr>
              <w:spacing w:before="0" w:line="240" w:lineRule="auto"/>
              <w:ind w:left="78"/>
              <w:jc w:val="left"/>
              <w:rPr>
                <w:rFonts w:asciiTheme="minorHAnsi" w:hAnsiTheme="minorHAnsi" w:cstheme="minorHAnsi"/>
                <w:b/>
                <w:sz w:val="18"/>
                <w:szCs w:val="18"/>
              </w:rPr>
            </w:pPr>
          </w:p>
        </w:tc>
        <w:tc>
          <w:tcPr>
            <w:tcW w:w="2552" w:type="dxa"/>
            <w:vMerge/>
            <w:shd w:val="clear" w:color="auto" w:fill="92CDDC" w:themeFill="accent5" w:themeFillTint="99"/>
            <w:vAlign w:val="center"/>
          </w:tcPr>
          <w:p w14:paraId="1BA221CE" w14:textId="77777777" w:rsidR="00365827" w:rsidRDefault="00365827" w:rsidP="005D0844">
            <w:pPr>
              <w:spacing w:before="0" w:line="240" w:lineRule="auto"/>
              <w:ind w:left="36"/>
              <w:jc w:val="left"/>
              <w:rPr>
                <w:rFonts w:asciiTheme="minorHAnsi" w:hAnsiTheme="minorHAnsi" w:cstheme="minorHAnsi"/>
                <w:b/>
                <w:sz w:val="18"/>
                <w:szCs w:val="18"/>
              </w:rPr>
            </w:pPr>
          </w:p>
        </w:tc>
        <w:tc>
          <w:tcPr>
            <w:tcW w:w="1803" w:type="dxa"/>
            <w:gridSpan w:val="2"/>
            <w:tcBorders>
              <w:top w:val="single" w:sz="4" w:space="0" w:color="auto"/>
              <w:bottom w:val="nil"/>
            </w:tcBorders>
            <w:shd w:val="clear" w:color="auto" w:fill="92CDDC" w:themeFill="accent5" w:themeFillTint="99"/>
            <w:vAlign w:val="center"/>
          </w:tcPr>
          <w:p w14:paraId="35F7A39E" w14:textId="77777777" w:rsidR="00365827" w:rsidRPr="00AF3A24" w:rsidRDefault="00365827" w:rsidP="00365827">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2002/03</w:t>
            </w:r>
          </w:p>
          <w:p w14:paraId="784CBEAF" w14:textId="77777777" w:rsidR="00365827" w:rsidRPr="00365827" w:rsidRDefault="00365827" w:rsidP="00365827">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(N=12,529)</w:t>
            </w:r>
          </w:p>
        </w:tc>
        <w:tc>
          <w:tcPr>
            <w:tcW w:w="1800" w:type="dxa"/>
            <w:gridSpan w:val="2"/>
            <w:tcBorders>
              <w:top w:val="single" w:sz="4" w:space="0" w:color="auto"/>
              <w:left w:val="nil"/>
              <w:bottom w:val="nil"/>
              <w:right w:val="single" w:sz="4" w:space="0" w:color="auto"/>
            </w:tcBorders>
            <w:shd w:val="clear" w:color="auto" w:fill="92CDDC" w:themeFill="accent5" w:themeFillTint="99"/>
            <w:vAlign w:val="center"/>
          </w:tcPr>
          <w:p w14:paraId="333C3B0F" w14:textId="77777777" w:rsidR="00365827" w:rsidRPr="00BB426A" w:rsidRDefault="00365827" w:rsidP="00365827">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2006/07</w:t>
            </w:r>
          </w:p>
          <w:p w14:paraId="28B26F1D" w14:textId="77777777" w:rsidR="00365827" w:rsidRPr="00365827" w:rsidRDefault="00365827" w:rsidP="00365827">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(N=12,488)</w:t>
            </w:r>
          </w:p>
        </w:tc>
        <w:tc>
          <w:tcPr>
            <w:tcW w:w="1800" w:type="dxa"/>
            <w:gridSpan w:val="2"/>
            <w:tcBorders>
              <w:top w:val="single" w:sz="4" w:space="0" w:color="auto"/>
              <w:left w:val="nil"/>
              <w:bottom w:val="nil"/>
              <w:right w:val="single" w:sz="4" w:space="0" w:color="auto"/>
            </w:tcBorders>
            <w:shd w:val="clear" w:color="auto" w:fill="92CDDC" w:themeFill="accent5" w:themeFillTint="99"/>
            <w:vAlign w:val="center"/>
          </w:tcPr>
          <w:p w14:paraId="605D7C02" w14:textId="77777777" w:rsidR="00365827" w:rsidRPr="00BB426A" w:rsidRDefault="00365827" w:rsidP="00365827">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2011/12</w:t>
            </w:r>
          </w:p>
          <w:p w14:paraId="7D6B35B6" w14:textId="77777777" w:rsidR="00365827" w:rsidRPr="00365827" w:rsidRDefault="00365827" w:rsidP="00365827">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(N=12,596)</w:t>
            </w:r>
          </w:p>
        </w:tc>
        <w:tc>
          <w:tcPr>
            <w:tcW w:w="894" w:type="dxa"/>
            <w:vMerge/>
            <w:tcBorders>
              <w:left w:val="nil"/>
              <w:right w:val="single" w:sz="4" w:space="0" w:color="auto"/>
            </w:tcBorders>
            <w:shd w:val="clear" w:color="auto" w:fill="92CDDC" w:themeFill="accent5" w:themeFillTint="99"/>
            <w:vAlign w:val="center"/>
          </w:tcPr>
          <w:p w14:paraId="14F870EB" w14:textId="77777777" w:rsidR="00365827" w:rsidRPr="00365827" w:rsidRDefault="00365827" w:rsidP="005D0844">
            <w:pPr>
              <w:spacing w:before="0" w:line="240" w:lineRule="auto"/>
              <w:jc w:val="center"/>
              <w:rPr>
                <w:rFonts w:asciiTheme="minorHAnsi" w:hAnsiTheme="minorHAnsi" w:cstheme="minorHAnsi"/>
                <w:b/>
                <w:sz w:val="18"/>
                <w:szCs w:val="18"/>
              </w:rPr>
            </w:pPr>
          </w:p>
        </w:tc>
      </w:tr>
      <w:tr w:rsidR="00365827" w:rsidRPr="00AF3A24" w14:paraId="351F7785" w14:textId="77777777" w:rsidTr="00365827">
        <w:trPr>
          <w:trHeight w:val="340"/>
          <w:jc w:val="center"/>
        </w:trPr>
        <w:tc>
          <w:tcPr>
            <w:tcW w:w="1176" w:type="dxa"/>
            <w:vMerge/>
            <w:shd w:val="clear" w:color="auto" w:fill="92CDDC" w:themeFill="accent5" w:themeFillTint="99"/>
            <w:vAlign w:val="center"/>
          </w:tcPr>
          <w:p w14:paraId="0CCEA8F4" w14:textId="77777777" w:rsidR="00365827" w:rsidRDefault="00365827" w:rsidP="00262B8E">
            <w:pPr>
              <w:spacing w:before="0" w:line="240" w:lineRule="auto"/>
              <w:ind w:left="78"/>
              <w:jc w:val="left"/>
              <w:rPr>
                <w:rFonts w:asciiTheme="minorHAnsi" w:hAnsiTheme="minorHAnsi" w:cstheme="minorHAnsi"/>
                <w:sz w:val="16"/>
                <w:szCs w:val="16"/>
              </w:rPr>
            </w:pPr>
          </w:p>
        </w:tc>
        <w:tc>
          <w:tcPr>
            <w:tcW w:w="2552" w:type="dxa"/>
            <w:vMerge/>
            <w:tcBorders>
              <w:bottom w:val="nil"/>
            </w:tcBorders>
            <w:shd w:val="clear" w:color="auto" w:fill="92CDDC" w:themeFill="accent5" w:themeFillTint="99"/>
            <w:vAlign w:val="center"/>
          </w:tcPr>
          <w:p w14:paraId="6F344392" w14:textId="77777777" w:rsidR="00365827" w:rsidRPr="00262B8E" w:rsidRDefault="00365827" w:rsidP="005D0844">
            <w:pPr>
              <w:spacing w:before="0" w:line="240" w:lineRule="auto"/>
              <w:ind w:left="36"/>
              <w:jc w:val="left"/>
              <w:rPr>
                <w:rFonts w:asciiTheme="minorHAnsi" w:hAnsiTheme="minorHAnsi" w:cstheme="minorHAnsi"/>
                <w:sz w:val="16"/>
                <w:szCs w:val="16"/>
              </w:rPr>
            </w:pPr>
          </w:p>
        </w:tc>
        <w:tc>
          <w:tcPr>
            <w:tcW w:w="694" w:type="dxa"/>
            <w:tcBorders>
              <w:top w:val="single" w:sz="4" w:space="0" w:color="auto"/>
              <w:bottom w:val="nil"/>
            </w:tcBorders>
            <w:shd w:val="clear" w:color="auto" w:fill="92CDDC" w:themeFill="accent5" w:themeFillTint="99"/>
            <w:vAlign w:val="center"/>
          </w:tcPr>
          <w:p w14:paraId="43113B50" w14:textId="77777777" w:rsidR="00365827" w:rsidRPr="00BB426A" w:rsidRDefault="00365827" w:rsidP="002A1D31">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w:t>
            </w:r>
          </w:p>
        </w:tc>
        <w:tc>
          <w:tcPr>
            <w:tcW w:w="1109" w:type="dxa"/>
            <w:tcBorders>
              <w:top w:val="single" w:sz="4" w:space="0" w:color="auto"/>
              <w:bottom w:val="nil"/>
            </w:tcBorders>
            <w:shd w:val="clear" w:color="auto" w:fill="92CDDC" w:themeFill="accent5" w:themeFillTint="99"/>
            <w:vAlign w:val="center"/>
          </w:tcPr>
          <w:p w14:paraId="071D4EE6" w14:textId="77777777" w:rsidR="00365827" w:rsidRPr="00BB426A" w:rsidRDefault="00365827" w:rsidP="002A1D31">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w:t>
            </w:r>
          </w:p>
          <w:p w14:paraId="0A687113" w14:textId="77777777" w:rsidR="00365827" w:rsidRPr="00BB426A" w:rsidRDefault="00365827" w:rsidP="002A1D31">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(95% CI)</w:t>
            </w:r>
          </w:p>
        </w:tc>
        <w:tc>
          <w:tcPr>
            <w:tcW w:w="720" w:type="dxa"/>
            <w:tcBorders>
              <w:top w:val="single" w:sz="4" w:space="0" w:color="auto"/>
              <w:left w:val="nil"/>
              <w:bottom w:val="nil"/>
              <w:right w:val="nil"/>
            </w:tcBorders>
            <w:shd w:val="clear" w:color="auto" w:fill="92CDDC" w:themeFill="accent5" w:themeFillTint="99"/>
            <w:vAlign w:val="center"/>
          </w:tcPr>
          <w:p w14:paraId="63C69D1F"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w:t>
            </w:r>
          </w:p>
        </w:tc>
        <w:tc>
          <w:tcPr>
            <w:tcW w:w="1080" w:type="dxa"/>
            <w:tcBorders>
              <w:top w:val="single" w:sz="4" w:space="0" w:color="auto"/>
              <w:left w:val="nil"/>
              <w:bottom w:val="nil"/>
              <w:right w:val="single" w:sz="4" w:space="0" w:color="auto"/>
            </w:tcBorders>
            <w:shd w:val="clear" w:color="auto" w:fill="92CDDC" w:themeFill="accent5" w:themeFillTint="99"/>
            <w:vAlign w:val="center"/>
          </w:tcPr>
          <w:p w14:paraId="5586A971"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w:t>
            </w:r>
          </w:p>
          <w:p w14:paraId="2A1F4592"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(95% CI)</w:t>
            </w:r>
          </w:p>
        </w:tc>
        <w:tc>
          <w:tcPr>
            <w:tcW w:w="720" w:type="dxa"/>
            <w:tcBorders>
              <w:top w:val="single" w:sz="4" w:space="0" w:color="auto"/>
              <w:left w:val="nil"/>
              <w:bottom w:val="nil"/>
              <w:right w:val="nil"/>
            </w:tcBorders>
            <w:shd w:val="clear" w:color="auto" w:fill="92CDDC" w:themeFill="accent5" w:themeFillTint="99"/>
            <w:vAlign w:val="center"/>
          </w:tcPr>
          <w:p w14:paraId="0CBCACA3"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n</w:t>
            </w:r>
          </w:p>
        </w:tc>
        <w:tc>
          <w:tcPr>
            <w:tcW w:w="1080" w:type="dxa"/>
            <w:tcBorders>
              <w:top w:val="single" w:sz="4" w:space="0" w:color="auto"/>
              <w:left w:val="nil"/>
              <w:bottom w:val="nil"/>
              <w:right w:val="single" w:sz="4" w:space="0" w:color="auto"/>
            </w:tcBorders>
            <w:shd w:val="clear" w:color="auto" w:fill="92CDDC" w:themeFill="accent5" w:themeFillTint="99"/>
            <w:vAlign w:val="center"/>
          </w:tcPr>
          <w:p w14:paraId="3D379E57"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w:t>
            </w:r>
          </w:p>
          <w:p w14:paraId="19C24121" w14:textId="77777777" w:rsidR="00365827" w:rsidRPr="00BB426A" w:rsidRDefault="00365827" w:rsidP="003072C2">
            <w:pPr>
              <w:spacing w:before="0" w:line="240" w:lineRule="auto"/>
              <w:jc w:val="center"/>
              <w:rPr>
                <w:rFonts w:asciiTheme="minorHAnsi" w:hAnsiTheme="minorHAnsi" w:cstheme="minorHAnsi"/>
                <w:b/>
                <w:sz w:val="18"/>
                <w:szCs w:val="18"/>
              </w:rPr>
            </w:pPr>
            <w:r w:rsidRPr="00BB426A">
              <w:rPr>
                <w:rFonts w:asciiTheme="minorHAnsi" w:hAnsiTheme="minorHAnsi" w:cstheme="minorHAnsi"/>
                <w:b/>
                <w:sz w:val="18"/>
                <w:szCs w:val="18"/>
              </w:rPr>
              <w:t>(95% CI)</w:t>
            </w:r>
          </w:p>
        </w:tc>
        <w:tc>
          <w:tcPr>
            <w:tcW w:w="894" w:type="dxa"/>
            <w:vMerge/>
            <w:tcBorders>
              <w:left w:val="nil"/>
              <w:right w:val="single" w:sz="4" w:space="0" w:color="auto"/>
            </w:tcBorders>
            <w:shd w:val="clear" w:color="auto" w:fill="92CDDC" w:themeFill="accent5" w:themeFillTint="99"/>
            <w:vAlign w:val="center"/>
          </w:tcPr>
          <w:p w14:paraId="4C495A71" w14:textId="77777777" w:rsidR="00365827" w:rsidRDefault="00365827" w:rsidP="005D0844">
            <w:pPr>
              <w:spacing w:before="0" w:line="240" w:lineRule="auto"/>
              <w:jc w:val="center"/>
              <w:rPr>
                <w:rFonts w:asciiTheme="minorHAnsi" w:hAnsiTheme="minorHAnsi"/>
                <w:bCs/>
                <w:color w:val="000000"/>
                <w:sz w:val="16"/>
                <w:szCs w:val="16"/>
              </w:rPr>
            </w:pPr>
          </w:p>
        </w:tc>
      </w:tr>
      <w:tr w:rsidR="003072C2" w:rsidRPr="00AF3A24" w14:paraId="031096E7" w14:textId="77777777" w:rsidTr="003072C2">
        <w:trPr>
          <w:trHeight w:val="340"/>
          <w:jc w:val="center"/>
        </w:trPr>
        <w:tc>
          <w:tcPr>
            <w:tcW w:w="1176" w:type="dxa"/>
            <w:vMerge w:val="restart"/>
            <w:tcBorders>
              <w:top w:val="single" w:sz="4" w:space="0" w:color="auto"/>
            </w:tcBorders>
            <w:shd w:val="clear" w:color="auto" w:fill="DAEEF3" w:themeFill="accent5" w:themeFillTint="33"/>
            <w:vAlign w:val="center"/>
          </w:tcPr>
          <w:p w14:paraId="1338F453" w14:textId="77777777" w:rsidR="003072C2" w:rsidRPr="00AF3A24" w:rsidRDefault="003072C2" w:rsidP="00262B8E">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 xml:space="preserve">Māori </w:t>
            </w:r>
          </w:p>
        </w:tc>
        <w:tc>
          <w:tcPr>
            <w:tcW w:w="2552" w:type="dxa"/>
            <w:tcBorders>
              <w:top w:val="single" w:sz="4" w:space="0" w:color="auto"/>
              <w:bottom w:val="nil"/>
            </w:tcBorders>
            <w:shd w:val="clear" w:color="auto" w:fill="DAEEF3" w:themeFill="accent5" w:themeFillTint="33"/>
            <w:vAlign w:val="center"/>
          </w:tcPr>
          <w:p w14:paraId="0B01C0D0"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Non-gambler</w:t>
            </w:r>
          </w:p>
        </w:tc>
        <w:tc>
          <w:tcPr>
            <w:tcW w:w="1803" w:type="dxa"/>
            <w:gridSpan w:val="2"/>
            <w:tcBorders>
              <w:top w:val="single" w:sz="4" w:space="0" w:color="auto"/>
              <w:bottom w:val="nil"/>
            </w:tcBorders>
            <w:shd w:val="clear" w:color="auto" w:fill="DAEEF3" w:themeFill="accent5" w:themeFillTint="33"/>
            <w:vAlign w:val="center"/>
          </w:tcPr>
          <w:p w14:paraId="5D4EA8ED" w14:textId="77777777" w:rsidR="003072C2" w:rsidRPr="000154BA" w:rsidRDefault="003072C2" w:rsidP="003072C2">
            <w:pPr>
              <w:jc w:val="center"/>
              <w:rPr>
                <w:rFonts w:asciiTheme="minorHAnsi" w:hAnsiTheme="minorHAnsi"/>
                <w:bCs/>
                <w:color w:val="000000"/>
                <w:sz w:val="16"/>
                <w:szCs w:val="16"/>
              </w:rPr>
            </w:pPr>
            <w:r w:rsidRPr="00AF3A24">
              <w:rPr>
                <w:rFonts w:asciiTheme="minorHAnsi" w:hAnsiTheme="minorHAnsi"/>
                <w:bCs/>
                <w:color w:val="000000"/>
                <w:sz w:val="16"/>
                <w:szCs w:val="16"/>
              </w:rPr>
              <w:t>Not available</w:t>
            </w:r>
          </w:p>
        </w:tc>
        <w:tc>
          <w:tcPr>
            <w:tcW w:w="720" w:type="dxa"/>
            <w:tcBorders>
              <w:top w:val="single" w:sz="4" w:space="0" w:color="auto"/>
              <w:left w:val="nil"/>
              <w:bottom w:val="nil"/>
              <w:right w:val="nil"/>
            </w:tcBorders>
            <w:shd w:val="clear" w:color="auto" w:fill="DAEEF3" w:themeFill="accent5" w:themeFillTint="33"/>
            <w:vAlign w:val="center"/>
          </w:tcPr>
          <w:p w14:paraId="2DB3833C"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868</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5ABE674B"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31.2</w:t>
            </w:r>
          </w:p>
          <w:p w14:paraId="558D818F"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(28.7 </w:t>
            </w:r>
            <w:r w:rsidRPr="00AF3A24">
              <w:rPr>
                <w:rFonts w:asciiTheme="minorHAnsi" w:hAnsiTheme="minorHAnsi"/>
                <w:bCs/>
                <w:color w:val="000000"/>
                <w:sz w:val="16"/>
                <w:szCs w:val="16"/>
              </w:rPr>
              <w:t>-</w:t>
            </w:r>
            <w:r>
              <w:rPr>
                <w:rFonts w:asciiTheme="minorHAnsi" w:hAnsiTheme="minorHAnsi"/>
                <w:bCs/>
                <w:color w:val="000000"/>
                <w:sz w:val="16"/>
                <w:szCs w:val="16"/>
              </w:rPr>
              <w:t xml:space="preserve"> 33.6)</w:t>
            </w:r>
          </w:p>
        </w:tc>
        <w:tc>
          <w:tcPr>
            <w:tcW w:w="720" w:type="dxa"/>
            <w:tcBorders>
              <w:top w:val="single" w:sz="4" w:space="0" w:color="auto"/>
              <w:left w:val="nil"/>
              <w:bottom w:val="nil"/>
              <w:right w:val="nil"/>
            </w:tcBorders>
            <w:shd w:val="clear" w:color="auto" w:fill="DAEEF3" w:themeFill="accent5" w:themeFillTint="33"/>
            <w:vAlign w:val="center"/>
          </w:tcPr>
          <w:p w14:paraId="30B03892"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1,178</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737708E9"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51.4</w:t>
            </w:r>
          </w:p>
          <w:p w14:paraId="389DC49C"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(48.3 </w:t>
            </w:r>
            <w:r w:rsidRPr="00AF3A24">
              <w:rPr>
                <w:rFonts w:asciiTheme="minorHAnsi" w:hAnsiTheme="minorHAnsi"/>
                <w:bCs/>
                <w:color w:val="000000"/>
                <w:sz w:val="16"/>
                <w:szCs w:val="16"/>
              </w:rPr>
              <w:t>-</w:t>
            </w:r>
            <w:r>
              <w:rPr>
                <w:rFonts w:asciiTheme="minorHAnsi" w:hAnsiTheme="minorHAnsi"/>
                <w:bCs/>
                <w:color w:val="000000"/>
                <w:sz w:val="16"/>
                <w:szCs w:val="16"/>
              </w:rPr>
              <w:t xml:space="preserve"> 54.4)</w:t>
            </w:r>
          </w:p>
        </w:tc>
        <w:tc>
          <w:tcPr>
            <w:tcW w:w="894" w:type="dxa"/>
            <w:vMerge w:val="restart"/>
            <w:tcBorders>
              <w:top w:val="single" w:sz="4" w:space="0" w:color="auto"/>
              <w:left w:val="nil"/>
              <w:right w:val="single" w:sz="4" w:space="0" w:color="auto"/>
            </w:tcBorders>
            <w:shd w:val="clear" w:color="auto" w:fill="DAEEF3" w:themeFill="accent5" w:themeFillTint="33"/>
            <w:vAlign w:val="center"/>
          </w:tcPr>
          <w:p w14:paraId="178C7927" w14:textId="77777777" w:rsidR="003072C2" w:rsidRPr="00AF3A24" w:rsidRDefault="003072C2" w:rsidP="005D0844">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&lt;0.0001</w:t>
            </w:r>
          </w:p>
        </w:tc>
      </w:tr>
      <w:tr w:rsidR="003072C2" w:rsidRPr="00AF3A24" w14:paraId="35D4EF67" w14:textId="77777777" w:rsidTr="003072C2">
        <w:trPr>
          <w:trHeight w:val="340"/>
          <w:jc w:val="center"/>
        </w:trPr>
        <w:tc>
          <w:tcPr>
            <w:tcW w:w="1176" w:type="dxa"/>
            <w:vMerge/>
            <w:shd w:val="clear" w:color="auto" w:fill="DAEEF3" w:themeFill="accent5" w:themeFillTint="33"/>
            <w:vAlign w:val="center"/>
          </w:tcPr>
          <w:p w14:paraId="2E79C534"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108F38F5"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Non-problem</w:t>
            </w:r>
            <w:r>
              <w:rPr>
                <w:rFonts w:asciiTheme="minorHAnsi" w:hAnsiTheme="minorHAnsi" w:cstheme="minorHAnsi"/>
                <w:sz w:val="16"/>
                <w:szCs w:val="16"/>
              </w:rPr>
              <w:t xml:space="preserve"> / recreational</w:t>
            </w:r>
            <w:r w:rsidRPr="00262B8E">
              <w:rPr>
                <w:rFonts w:asciiTheme="minorHAnsi" w:hAnsiTheme="minorHAnsi" w:cstheme="minorHAnsi"/>
                <w:sz w:val="16"/>
                <w:szCs w:val="16"/>
              </w:rPr>
              <w:t xml:space="preserve"> gambler</w:t>
            </w:r>
          </w:p>
        </w:tc>
        <w:tc>
          <w:tcPr>
            <w:tcW w:w="1803" w:type="dxa"/>
            <w:gridSpan w:val="2"/>
            <w:tcBorders>
              <w:top w:val="nil"/>
              <w:bottom w:val="nil"/>
            </w:tcBorders>
            <w:shd w:val="clear" w:color="auto" w:fill="DAEEF3" w:themeFill="accent5" w:themeFillTint="33"/>
            <w:vAlign w:val="center"/>
          </w:tcPr>
          <w:p w14:paraId="6188CA0C"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57BC0D4B"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1,890</w:t>
            </w:r>
          </w:p>
        </w:tc>
        <w:tc>
          <w:tcPr>
            <w:tcW w:w="1080" w:type="dxa"/>
            <w:tcBorders>
              <w:top w:val="nil"/>
              <w:left w:val="nil"/>
              <w:bottom w:val="nil"/>
              <w:right w:val="single" w:sz="4" w:space="0" w:color="auto"/>
            </w:tcBorders>
            <w:shd w:val="clear" w:color="auto" w:fill="DAEEF3" w:themeFill="accent5" w:themeFillTint="33"/>
            <w:vAlign w:val="bottom"/>
          </w:tcPr>
          <w:p w14:paraId="6456D56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57.5</w:t>
            </w:r>
          </w:p>
          <w:p w14:paraId="7245C47B"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(55.0 </w:t>
            </w:r>
            <w:r w:rsidRPr="00AF3A24">
              <w:rPr>
                <w:rFonts w:asciiTheme="minorHAnsi" w:hAnsiTheme="minorHAnsi"/>
                <w:bCs/>
                <w:color w:val="000000"/>
                <w:sz w:val="16"/>
                <w:szCs w:val="16"/>
              </w:rPr>
              <w:t>-</w:t>
            </w:r>
            <w:r>
              <w:rPr>
                <w:rFonts w:asciiTheme="minorHAnsi" w:hAnsiTheme="minorHAnsi"/>
                <w:bCs/>
                <w:color w:val="000000"/>
                <w:sz w:val="16"/>
                <w:szCs w:val="16"/>
              </w:rPr>
              <w:t xml:space="preserve"> 60.1)</w:t>
            </w:r>
          </w:p>
        </w:tc>
        <w:tc>
          <w:tcPr>
            <w:tcW w:w="720" w:type="dxa"/>
            <w:tcBorders>
              <w:top w:val="nil"/>
              <w:left w:val="nil"/>
              <w:bottom w:val="nil"/>
              <w:right w:val="nil"/>
            </w:tcBorders>
            <w:shd w:val="clear" w:color="auto" w:fill="DAEEF3" w:themeFill="accent5" w:themeFillTint="33"/>
            <w:vAlign w:val="center"/>
          </w:tcPr>
          <w:p w14:paraId="798F8A62"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1,221</w:t>
            </w:r>
          </w:p>
        </w:tc>
        <w:tc>
          <w:tcPr>
            <w:tcW w:w="1080" w:type="dxa"/>
            <w:tcBorders>
              <w:top w:val="nil"/>
              <w:left w:val="nil"/>
              <w:bottom w:val="nil"/>
              <w:right w:val="single" w:sz="4" w:space="0" w:color="auto"/>
            </w:tcBorders>
            <w:shd w:val="clear" w:color="auto" w:fill="DAEEF3" w:themeFill="accent5" w:themeFillTint="33"/>
            <w:vAlign w:val="bottom"/>
          </w:tcPr>
          <w:p w14:paraId="12BCBA6E"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41.6</w:t>
            </w:r>
          </w:p>
          <w:p w14:paraId="6D48C5EE"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(38.8 - 44.4)</w:t>
            </w:r>
          </w:p>
        </w:tc>
        <w:tc>
          <w:tcPr>
            <w:tcW w:w="894" w:type="dxa"/>
            <w:vMerge/>
            <w:tcBorders>
              <w:left w:val="nil"/>
              <w:right w:val="single" w:sz="4" w:space="0" w:color="auto"/>
            </w:tcBorders>
            <w:shd w:val="clear" w:color="auto" w:fill="DAEEF3" w:themeFill="accent5" w:themeFillTint="33"/>
            <w:vAlign w:val="center"/>
          </w:tcPr>
          <w:p w14:paraId="1BDE2F9A"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3F3C99CC" w14:textId="77777777" w:rsidTr="003072C2">
        <w:trPr>
          <w:trHeight w:val="340"/>
          <w:jc w:val="center"/>
        </w:trPr>
        <w:tc>
          <w:tcPr>
            <w:tcW w:w="1176" w:type="dxa"/>
            <w:vMerge/>
            <w:shd w:val="clear" w:color="auto" w:fill="DAEEF3" w:themeFill="accent5" w:themeFillTint="33"/>
            <w:vAlign w:val="center"/>
          </w:tcPr>
          <w:p w14:paraId="44F10EB2"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6ECD990E"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Low-risk</w:t>
            </w:r>
            <w:r>
              <w:rPr>
                <w:rFonts w:asciiTheme="minorHAnsi" w:hAnsiTheme="minorHAnsi" w:cstheme="minorHAnsi"/>
                <w:sz w:val="16"/>
                <w:szCs w:val="16"/>
              </w:rPr>
              <w:t xml:space="preserve"> </w:t>
            </w:r>
            <w:r w:rsidRPr="00262B8E">
              <w:rPr>
                <w:rFonts w:asciiTheme="minorHAnsi" w:hAnsiTheme="minorHAnsi" w:cstheme="minorHAnsi"/>
                <w:sz w:val="16"/>
                <w:szCs w:val="16"/>
              </w:rPr>
              <w:t>gambler</w:t>
            </w:r>
          </w:p>
        </w:tc>
        <w:tc>
          <w:tcPr>
            <w:tcW w:w="1803" w:type="dxa"/>
            <w:gridSpan w:val="2"/>
            <w:tcBorders>
              <w:top w:val="nil"/>
              <w:bottom w:val="nil"/>
            </w:tcBorders>
            <w:shd w:val="clear" w:color="auto" w:fill="DAEEF3" w:themeFill="accent5" w:themeFillTint="33"/>
            <w:vAlign w:val="center"/>
          </w:tcPr>
          <w:p w14:paraId="6075987C"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1A67A431"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225</w:t>
            </w:r>
          </w:p>
        </w:tc>
        <w:tc>
          <w:tcPr>
            <w:tcW w:w="1080" w:type="dxa"/>
            <w:tcBorders>
              <w:top w:val="nil"/>
              <w:left w:val="nil"/>
              <w:bottom w:val="nil"/>
              <w:right w:val="single" w:sz="4" w:space="0" w:color="auto"/>
            </w:tcBorders>
            <w:shd w:val="clear" w:color="auto" w:fill="DAEEF3" w:themeFill="accent5" w:themeFillTint="33"/>
            <w:vAlign w:val="bottom"/>
          </w:tcPr>
          <w:p w14:paraId="1512A8CC"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6.7</w:t>
            </w:r>
          </w:p>
          <w:p w14:paraId="07E2480B"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(5.4 </w:t>
            </w:r>
            <w:r w:rsidRPr="00AF3A24">
              <w:rPr>
                <w:rFonts w:asciiTheme="minorHAnsi" w:hAnsiTheme="minorHAnsi"/>
                <w:bCs/>
                <w:color w:val="000000"/>
                <w:sz w:val="16"/>
                <w:szCs w:val="16"/>
              </w:rPr>
              <w:t>-</w:t>
            </w:r>
            <w:r>
              <w:rPr>
                <w:rFonts w:asciiTheme="minorHAnsi" w:hAnsiTheme="minorHAnsi"/>
                <w:bCs/>
                <w:color w:val="000000"/>
                <w:sz w:val="16"/>
                <w:szCs w:val="16"/>
              </w:rPr>
              <w:t xml:space="preserve"> 7.9)</w:t>
            </w:r>
          </w:p>
        </w:tc>
        <w:tc>
          <w:tcPr>
            <w:tcW w:w="720" w:type="dxa"/>
            <w:tcBorders>
              <w:top w:val="nil"/>
              <w:left w:val="nil"/>
              <w:bottom w:val="nil"/>
              <w:right w:val="nil"/>
            </w:tcBorders>
            <w:shd w:val="clear" w:color="auto" w:fill="DAEEF3" w:themeFill="accent5" w:themeFillTint="33"/>
            <w:vAlign w:val="center"/>
          </w:tcPr>
          <w:p w14:paraId="0EF28EBD"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101</w:t>
            </w:r>
          </w:p>
        </w:tc>
        <w:tc>
          <w:tcPr>
            <w:tcW w:w="1080" w:type="dxa"/>
            <w:tcBorders>
              <w:top w:val="nil"/>
              <w:left w:val="nil"/>
              <w:bottom w:val="nil"/>
              <w:right w:val="single" w:sz="4" w:space="0" w:color="auto"/>
            </w:tcBorders>
            <w:shd w:val="clear" w:color="auto" w:fill="DAEEF3" w:themeFill="accent5" w:themeFillTint="33"/>
            <w:vAlign w:val="bottom"/>
          </w:tcPr>
          <w:p w14:paraId="0A5A99BE"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4.7</w:t>
            </w:r>
          </w:p>
          <w:p w14:paraId="50C8C086"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(2.5 </w:t>
            </w:r>
            <w:r w:rsidRPr="00AF3A24">
              <w:rPr>
                <w:rFonts w:asciiTheme="minorHAnsi" w:hAnsiTheme="minorHAnsi"/>
                <w:bCs/>
                <w:color w:val="000000"/>
                <w:sz w:val="16"/>
                <w:szCs w:val="16"/>
              </w:rPr>
              <w:t>-</w:t>
            </w:r>
            <w:r>
              <w:rPr>
                <w:rFonts w:asciiTheme="minorHAnsi" w:hAnsiTheme="minorHAnsi"/>
                <w:bCs/>
                <w:color w:val="000000"/>
                <w:sz w:val="16"/>
                <w:szCs w:val="16"/>
              </w:rPr>
              <w:t xml:space="preserve"> 4.7)</w:t>
            </w:r>
          </w:p>
        </w:tc>
        <w:tc>
          <w:tcPr>
            <w:tcW w:w="894" w:type="dxa"/>
            <w:vMerge/>
            <w:tcBorders>
              <w:left w:val="nil"/>
              <w:right w:val="single" w:sz="4" w:space="0" w:color="auto"/>
            </w:tcBorders>
            <w:shd w:val="clear" w:color="auto" w:fill="DAEEF3" w:themeFill="accent5" w:themeFillTint="33"/>
            <w:vAlign w:val="center"/>
          </w:tcPr>
          <w:p w14:paraId="408EBEDA"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202F49E2" w14:textId="77777777" w:rsidTr="003072C2">
        <w:trPr>
          <w:trHeight w:val="340"/>
          <w:jc w:val="center"/>
        </w:trPr>
        <w:tc>
          <w:tcPr>
            <w:tcW w:w="1176" w:type="dxa"/>
            <w:vMerge/>
            <w:tcBorders>
              <w:bottom w:val="nil"/>
            </w:tcBorders>
            <w:shd w:val="clear" w:color="auto" w:fill="DAEEF3" w:themeFill="accent5" w:themeFillTint="33"/>
            <w:vAlign w:val="center"/>
          </w:tcPr>
          <w:p w14:paraId="12E4F078"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73E9D866"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Moderate-risk</w:t>
            </w:r>
            <w:r>
              <w:rPr>
                <w:rFonts w:asciiTheme="minorHAnsi" w:hAnsiTheme="minorHAnsi" w:cstheme="minorHAnsi"/>
                <w:sz w:val="16"/>
                <w:szCs w:val="16"/>
              </w:rPr>
              <w:t xml:space="preserve"> </w:t>
            </w:r>
            <w:r w:rsidRPr="00262B8E">
              <w:rPr>
                <w:rFonts w:asciiTheme="minorHAnsi" w:hAnsiTheme="minorHAnsi" w:cstheme="minorHAnsi"/>
                <w:sz w:val="16"/>
                <w:szCs w:val="16"/>
              </w:rPr>
              <w:t>/</w:t>
            </w:r>
            <w:r>
              <w:rPr>
                <w:rFonts w:asciiTheme="minorHAnsi" w:hAnsiTheme="minorHAnsi" w:cstheme="minorHAnsi"/>
                <w:sz w:val="16"/>
                <w:szCs w:val="16"/>
              </w:rPr>
              <w:t xml:space="preserve"> </w:t>
            </w:r>
            <w:r w:rsidRPr="00262B8E">
              <w:rPr>
                <w:rFonts w:asciiTheme="minorHAnsi" w:hAnsiTheme="minorHAnsi" w:cstheme="minorHAnsi"/>
                <w:sz w:val="16"/>
                <w:szCs w:val="16"/>
              </w:rPr>
              <w:t>problem gambler</w:t>
            </w:r>
          </w:p>
        </w:tc>
        <w:tc>
          <w:tcPr>
            <w:tcW w:w="1803" w:type="dxa"/>
            <w:gridSpan w:val="2"/>
            <w:tcBorders>
              <w:top w:val="nil"/>
              <w:bottom w:val="nil"/>
            </w:tcBorders>
            <w:shd w:val="clear" w:color="auto" w:fill="DAEEF3" w:themeFill="accent5" w:themeFillTint="33"/>
            <w:vAlign w:val="center"/>
          </w:tcPr>
          <w:p w14:paraId="6D1FB2B8"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74182BCF"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177</w:t>
            </w:r>
          </w:p>
        </w:tc>
        <w:tc>
          <w:tcPr>
            <w:tcW w:w="1080" w:type="dxa"/>
            <w:tcBorders>
              <w:top w:val="nil"/>
              <w:left w:val="nil"/>
              <w:bottom w:val="nil"/>
              <w:right w:val="single" w:sz="4" w:space="0" w:color="auto"/>
            </w:tcBorders>
            <w:shd w:val="clear" w:color="auto" w:fill="DAEEF3" w:themeFill="accent5" w:themeFillTint="33"/>
            <w:vAlign w:val="bottom"/>
          </w:tcPr>
          <w:p w14:paraId="5E55A4D9" w14:textId="77777777" w:rsidR="003072C2"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4</w:t>
            </w:r>
            <w:r w:rsidRPr="000154BA">
              <w:rPr>
                <w:rFonts w:asciiTheme="minorHAnsi" w:hAnsiTheme="minorHAnsi"/>
                <w:bCs/>
                <w:color w:val="000000"/>
                <w:sz w:val="16"/>
                <w:szCs w:val="16"/>
              </w:rPr>
              <w:t>.</w:t>
            </w:r>
            <w:r>
              <w:rPr>
                <w:rFonts w:asciiTheme="minorHAnsi" w:hAnsiTheme="minorHAnsi"/>
                <w:bCs/>
                <w:color w:val="000000"/>
                <w:sz w:val="16"/>
                <w:szCs w:val="16"/>
              </w:rPr>
              <w:t>7</w:t>
            </w:r>
          </w:p>
          <w:p w14:paraId="16A21464" w14:textId="77777777" w:rsidR="003072C2" w:rsidRPr="000154BA" w:rsidRDefault="003072C2" w:rsidP="007F0A03">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(3.7 </w:t>
            </w:r>
            <w:r w:rsidRPr="00AF3A24">
              <w:rPr>
                <w:rFonts w:asciiTheme="minorHAnsi" w:hAnsiTheme="minorHAnsi"/>
                <w:bCs/>
                <w:color w:val="000000"/>
                <w:sz w:val="16"/>
                <w:szCs w:val="16"/>
              </w:rPr>
              <w:t>-</w:t>
            </w:r>
            <w:r>
              <w:rPr>
                <w:rFonts w:asciiTheme="minorHAnsi" w:hAnsiTheme="minorHAnsi"/>
                <w:bCs/>
                <w:color w:val="000000"/>
                <w:sz w:val="16"/>
                <w:szCs w:val="16"/>
              </w:rPr>
              <w:t xml:space="preserve"> 5.6)</w:t>
            </w:r>
          </w:p>
        </w:tc>
        <w:tc>
          <w:tcPr>
            <w:tcW w:w="720" w:type="dxa"/>
            <w:tcBorders>
              <w:top w:val="nil"/>
              <w:left w:val="nil"/>
              <w:bottom w:val="nil"/>
              <w:right w:val="nil"/>
            </w:tcBorders>
            <w:shd w:val="clear" w:color="auto" w:fill="DAEEF3" w:themeFill="accent5" w:themeFillTint="33"/>
            <w:vAlign w:val="center"/>
          </w:tcPr>
          <w:p w14:paraId="62F507F5"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85</w:t>
            </w:r>
          </w:p>
        </w:tc>
        <w:tc>
          <w:tcPr>
            <w:tcW w:w="1080" w:type="dxa"/>
            <w:tcBorders>
              <w:top w:val="nil"/>
              <w:left w:val="nil"/>
              <w:bottom w:val="nil"/>
              <w:right w:val="single" w:sz="4" w:space="0" w:color="auto"/>
            </w:tcBorders>
            <w:shd w:val="clear" w:color="auto" w:fill="DAEEF3" w:themeFill="accent5" w:themeFillTint="33"/>
            <w:vAlign w:val="bottom"/>
          </w:tcPr>
          <w:p w14:paraId="6D3F34B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3.3</w:t>
            </w:r>
          </w:p>
          <w:p w14:paraId="2CD65435"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(2.2 </w:t>
            </w:r>
            <w:r w:rsidRPr="00AF3A24">
              <w:rPr>
                <w:rFonts w:asciiTheme="minorHAnsi" w:hAnsiTheme="minorHAnsi"/>
                <w:bCs/>
                <w:color w:val="000000"/>
                <w:sz w:val="16"/>
                <w:szCs w:val="16"/>
              </w:rPr>
              <w:t>-</w:t>
            </w:r>
            <w:r>
              <w:rPr>
                <w:rFonts w:asciiTheme="minorHAnsi" w:hAnsiTheme="minorHAnsi"/>
                <w:bCs/>
                <w:color w:val="000000"/>
                <w:sz w:val="16"/>
                <w:szCs w:val="16"/>
              </w:rPr>
              <w:t xml:space="preserve"> 4.4)</w:t>
            </w:r>
          </w:p>
        </w:tc>
        <w:tc>
          <w:tcPr>
            <w:tcW w:w="894" w:type="dxa"/>
            <w:vMerge/>
            <w:tcBorders>
              <w:left w:val="nil"/>
              <w:right w:val="single" w:sz="4" w:space="0" w:color="auto"/>
            </w:tcBorders>
            <w:shd w:val="clear" w:color="auto" w:fill="DAEEF3" w:themeFill="accent5" w:themeFillTint="33"/>
            <w:vAlign w:val="center"/>
          </w:tcPr>
          <w:p w14:paraId="35693552"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51789B5B" w14:textId="77777777" w:rsidTr="003072C2">
        <w:trPr>
          <w:trHeight w:val="340"/>
          <w:jc w:val="center"/>
        </w:trPr>
        <w:tc>
          <w:tcPr>
            <w:tcW w:w="1176" w:type="dxa"/>
            <w:vMerge w:val="restart"/>
            <w:tcBorders>
              <w:top w:val="single" w:sz="4" w:space="0" w:color="auto"/>
            </w:tcBorders>
            <w:shd w:val="clear" w:color="auto" w:fill="DAEEF3" w:themeFill="accent5" w:themeFillTint="33"/>
            <w:vAlign w:val="center"/>
          </w:tcPr>
          <w:p w14:paraId="51321454" w14:textId="77777777" w:rsidR="003072C2" w:rsidRPr="00AF3A24" w:rsidRDefault="003072C2" w:rsidP="00262B8E">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Pacific</w:t>
            </w:r>
          </w:p>
        </w:tc>
        <w:tc>
          <w:tcPr>
            <w:tcW w:w="2552" w:type="dxa"/>
            <w:tcBorders>
              <w:top w:val="single" w:sz="4" w:space="0" w:color="auto"/>
              <w:bottom w:val="nil"/>
            </w:tcBorders>
            <w:shd w:val="clear" w:color="auto" w:fill="DAEEF3" w:themeFill="accent5" w:themeFillTint="33"/>
            <w:vAlign w:val="center"/>
          </w:tcPr>
          <w:p w14:paraId="0942C152"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Non-gambler</w:t>
            </w:r>
          </w:p>
        </w:tc>
        <w:tc>
          <w:tcPr>
            <w:tcW w:w="1803" w:type="dxa"/>
            <w:gridSpan w:val="2"/>
            <w:tcBorders>
              <w:top w:val="single" w:sz="4" w:space="0" w:color="auto"/>
              <w:bottom w:val="nil"/>
            </w:tcBorders>
            <w:shd w:val="clear" w:color="auto" w:fill="DAEEF3" w:themeFill="accent5" w:themeFillTint="33"/>
            <w:vAlign w:val="center"/>
          </w:tcPr>
          <w:p w14:paraId="60FF225B"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single" w:sz="4" w:space="0" w:color="auto"/>
              <w:left w:val="nil"/>
              <w:bottom w:val="nil"/>
              <w:right w:val="nil"/>
            </w:tcBorders>
            <w:shd w:val="clear" w:color="auto" w:fill="DAEEF3" w:themeFill="accent5" w:themeFillTint="33"/>
            <w:vAlign w:val="center"/>
          </w:tcPr>
          <w:p w14:paraId="36D5E669"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376</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46F50C75"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50</w:t>
            </w:r>
            <w:r>
              <w:rPr>
                <w:rFonts w:asciiTheme="minorHAnsi" w:hAnsiTheme="minorHAnsi"/>
                <w:bCs/>
                <w:color w:val="000000"/>
                <w:sz w:val="16"/>
                <w:szCs w:val="16"/>
              </w:rPr>
              <w:t>.0</w:t>
            </w:r>
          </w:p>
          <w:p w14:paraId="41EBB4D4"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(45.7 </w:t>
            </w:r>
            <w:r w:rsidRPr="00AF3A24">
              <w:rPr>
                <w:rFonts w:asciiTheme="minorHAnsi" w:hAnsiTheme="minorHAnsi"/>
                <w:bCs/>
                <w:color w:val="000000"/>
                <w:sz w:val="16"/>
                <w:szCs w:val="16"/>
              </w:rPr>
              <w:t>-</w:t>
            </w:r>
            <w:r>
              <w:rPr>
                <w:rFonts w:asciiTheme="minorHAnsi" w:hAnsiTheme="minorHAnsi"/>
                <w:bCs/>
                <w:color w:val="000000"/>
                <w:sz w:val="16"/>
                <w:szCs w:val="16"/>
              </w:rPr>
              <w:t xml:space="preserve"> 54.2)</w:t>
            </w:r>
          </w:p>
        </w:tc>
        <w:tc>
          <w:tcPr>
            <w:tcW w:w="720" w:type="dxa"/>
            <w:tcBorders>
              <w:top w:val="single" w:sz="4" w:space="0" w:color="auto"/>
              <w:left w:val="nil"/>
              <w:bottom w:val="nil"/>
              <w:right w:val="nil"/>
            </w:tcBorders>
            <w:shd w:val="clear" w:color="auto" w:fill="DAEEF3" w:themeFill="accent5" w:themeFillTint="33"/>
            <w:vAlign w:val="center"/>
          </w:tcPr>
          <w:p w14:paraId="0A84F812"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480</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2A2D6FDB"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58.2</w:t>
            </w:r>
          </w:p>
          <w:p w14:paraId="2C28E992"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(53.7 </w:t>
            </w:r>
            <w:r w:rsidRPr="00AF3A24">
              <w:rPr>
                <w:rFonts w:asciiTheme="minorHAnsi" w:hAnsiTheme="minorHAnsi"/>
                <w:bCs/>
                <w:color w:val="000000"/>
                <w:sz w:val="16"/>
                <w:szCs w:val="16"/>
              </w:rPr>
              <w:t>-</w:t>
            </w:r>
            <w:r>
              <w:rPr>
                <w:rFonts w:asciiTheme="minorHAnsi" w:hAnsiTheme="minorHAnsi"/>
                <w:bCs/>
                <w:color w:val="000000"/>
                <w:sz w:val="16"/>
                <w:szCs w:val="16"/>
              </w:rPr>
              <w:t xml:space="preserve"> 62.7)</w:t>
            </w:r>
          </w:p>
        </w:tc>
        <w:tc>
          <w:tcPr>
            <w:tcW w:w="894" w:type="dxa"/>
            <w:vMerge/>
            <w:tcBorders>
              <w:left w:val="nil"/>
              <w:right w:val="single" w:sz="4" w:space="0" w:color="auto"/>
            </w:tcBorders>
            <w:shd w:val="clear" w:color="auto" w:fill="DAEEF3" w:themeFill="accent5" w:themeFillTint="33"/>
            <w:vAlign w:val="center"/>
          </w:tcPr>
          <w:p w14:paraId="389544AE" w14:textId="77777777" w:rsidR="003072C2" w:rsidRPr="00AF3A24" w:rsidRDefault="003072C2" w:rsidP="005D0844">
            <w:pPr>
              <w:spacing w:before="0" w:line="240" w:lineRule="auto"/>
              <w:jc w:val="center"/>
              <w:rPr>
                <w:rFonts w:asciiTheme="minorHAnsi" w:hAnsiTheme="minorHAnsi"/>
                <w:bCs/>
                <w:color w:val="000000"/>
                <w:sz w:val="16"/>
                <w:szCs w:val="16"/>
              </w:rPr>
            </w:pPr>
          </w:p>
        </w:tc>
      </w:tr>
      <w:tr w:rsidR="003072C2" w:rsidRPr="00AF3A24" w14:paraId="47101D1E" w14:textId="77777777" w:rsidTr="003072C2">
        <w:trPr>
          <w:trHeight w:val="340"/>
          <w:jc w:val="center"/>
        </w:trPr>
        <w:tc>
          <w:tcPr>
            <w:tcW w:w="1176" w:type="dxa"/>
            <w:vMerge/>
            <w:shd w:val="clear" w:color="auto" w:fill="DAEEF3" w:themeFill="accent5" w:themeFillTint="33"/>
            <w:vAlign w:val="center"/>
          </w:tcPr>
          <w:p w14:paraId="1AECCB3A"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093D2965"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Non-problem</w:t>
            </w:r>
            <w:r>
              <w:rPr>
                <w:rFonts w:asciiTheme="minorHAnsi" w:hAnsiTheme="minorHAnsi" w:cstheme="minorHAnsi"/>
                <w:sz w:val="16"/>
                <w:szCs w:val="16"/>
              </w:rPr>
              <w:t xml:space="preserve"> / recreational</w:t>
            </w:r>
            <w:r w:rsidRPr="00262B8E">
              <w:rPr>
                <w:rFonts w:asciiTheme="minorHAnsi" w:hAnsiTheme="minorHAnsi" w:cstheme="minorHAnsi"/>
                <w:sz w:val="16"/>
                <w:szCs w:val="16"/>
              </w:rPr>
              <w:t xml:space="preserve"> gambler</w:t>
            </w:r>
          </w:p>
        </w:tc>
        <w:tc>
          <w:tcPr>
            <w:tcW w:w="1803" w:type="dxa"/>
            <w:gridSpan w:val="2"/>
            <w:tcBorders>
              <w:top w:val="nil"/>
              <w:bottom w:val="nil"/>
            </w:tcBorders>
            <w:shd w:val="clear" w:color="auto" w:fill="DAEEF3" w:themeFill="accent5" w:themeFillTint="33"/>
            <w:vAlign w:val="center"/>
          </w:tcPr>
          <w:p w14:paraId="0A69B973"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14FC1545"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435</w:t>
            </w:r>
          </w:p>
        </w:tc>
        <w:tc>
          <w:tcPr>
            <w:tcW w:w="1080" w:type="dxa"/>
            <w:tcBorders>
              <w:top w:val="nil"/>
              <w:left w:val="nil"/>
              <w:bottom w:val="nil"/>
              <w:right w:val="single" w:sz="4" w:space="0" w:color="auto"/>
            </w:tcBorders>
            <w:shd w:val="clear" w:color="auto" w:fill="DAEEF3" w:themeFill="accent5" w:themeFillTint="33"/>
            <w:vAlign w:val="bottom"/>
          </w:tcPr>
          <w:p w14:paraId="25C8BD2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40.4</w:t>
            </w:r>
          </w:p>
          <w:p w14:paraId="210D46C7"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(36.2 </w:t>
            </w:r>
            <w:r w:rsidRPr="00AF3A24">
              <w:rPr>
                <w:rFonts w:asciiTheme="minorHAnsi" w:hAnsiTheme="minorHAnsi"/>
                <w:bCs/>
                <w:color w:val="000000"/>
                <w:sz w:val="16"/>
                <w:szCs w:val="16"/>
              </w:rPr>
              <w:t>-</w:t>
            </w:r>
            <w:r>
              <w:rPr>
                <w:rFonts w:asciiTheme="minorHAnsi" w:hAnsiTheme="minorHAnsi"/>
                <w:bCs/>
                <w:color w:val="000000"/>
                <w:sz w:val="16"/>
                <w:szCs w:val="16"/>
              </w:rPr>
              <w:t xml:space="preserve"> 44.7)</w:t>
            </w:r>
          </w:p>
        </w:tc>
        <w:tc>
          <w:tcPr>
            <w:tcW w:w="720" w:type="dxa"/>
            <w:tcBorders>
              <w:top w:val="nil"/>
              <w:left w:val="nil"/>
              <w:bottom w:val="nil"/>
              <w:right w:val="nil"/>
            </w:tcBorders>
            <w:shd w:val="clear" w:color="auto" w:fill="DAEEF3" w:themeFill="accent5" w:themeFillTint="33"/>
            <w:vAlign w:val="center"/>
          </w:tcPr>
          <w:p w14:paraId="15611052"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308</w:t>
            </w:r>
          </w:p>
        </w:tc>
        <w:tc>
          <w:tcPr>
            <w:tcW w:w="1080" w:type="dxa"/>
            <w:tcBorders>
              <w:top w:val="nil"/>
              <w:left w:val="nil"/>
              <w:bottom w:val="nil"/>
              <w:right w:val="single" w:sz="4" w:space="0" w:color="auto"/>
            </w:tcBorders>
            <w:shd w:val="clear" w:color="auto" w:fill="DAEEF3" w:themeFill="accent5" w:themeFillTint="33"/>
            <w:vAlign w:val="bottom"/>
          </w:tcPr>
          <w:p w14:paraId="47BBCCF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34.2</w:t>
            </w:r>
          </w:p>
          <w:p w14:paraId="0AB2FBE5"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(30.1 </w:t>
            </w:r>
            <w:r w:rsidRPr="00AF3A24">
              <w:rPr>
                <w:rFonts w:asciiTheme="minorHAnsi" w:hAnsiTheme="minorHAnsi"/>
                <w:bCs/>
                <w:color w:val="000000"/>
                <w:sz w:val="16"/>
                <w:szCs w:val="16"/>
              </w:rPr>
              <w:t>-</w:t>
            </w:r>
            <w:r>
              <w:rPr>
                <w:rFonts w:asciiTheme="minorHAnsi" w:hAnsiTheme="minorHAnsi"/>
                <w:bCs/>
                <w:color w:val="000000"/>
                <w:sz w:val="16"/>
                <w:szCs w:val="16"/>
              </w:rPr>
              <w:t xml:space="preserve"> 38.2)</w:t>
            </w:r>
          </w:p>
        </w:tc>
        <w:tc>
          <w:tcPr>
            <w:tcW w:w="894" w:type="dxa"/>
            <w:vMerge/>
            <w:tcBorders>
              <w:left w:val="nil"/>
              <w:right w:val="single" w:sz="4" w:space="0" w:color="auto"/>
            </w:tcBorders>
            <w:shd w:val="clear" w:color="auto" w:fill="DAEEF3" w:themeFill="accent5" w:themeFillTint="33"/>
            <w:vAlign w:val="center"/>
          </w:tcPr>
          <w:p w14:paraId="0F7643B5"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58E2283A" w14:textId="77777777" w:rsidTr="003072C2">
        <w:trPr>
          <w:trHeight w:val="340"/>
          <w:jc w:val="center"/>
        </w:trPr>
        <w:tc>
          <w:tcPr>
            <w:tcW w:w="1176" w:type="dxa"/>
            <w:vMerge/>
            <w:shd w:val="clear" w:color="auto" w:fill="DAEEF3" w:themeFill="accent5" w:themeFillTint="33"/>
            <w:vAlign w:val="center"/>
          </w:tcPr>
          <w:p w14:paraId="5039E1BD"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5795E155"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Low-risk</w:t>
            </w:r>
            <w:r>
              <w:rPr>
                <w:rFonts w:asciiTheme="minorHAnsi" w:hAnsiTheme="minorHAnsi" w:cstheme="minorHAnsi"/>
                <w:sz w:val="16"/>
                <w:szCs w:val="16"/>
              </w:rPr>
              <w:t xml:space="preserve"> </w:t>
            </w:r>
            <w:r w:rsidRPr="00262B8E">
              <w:rPr>
                <w:rFonts w:asciiTheme="minorHAnsi" w:hAnsiTheme="minorHAnsi" w:cstheme="minorHAnsi"/>
                <w:sz w:val="16"/>
                <w:szCs w:val="16"/>
              </w:rPr>
              <w:t>gambler</w:t>
            </w:r>
          </w:p>
        </w:tc>
        <w:tc>
          <w:tcPr>
            <w:tcW w:w="1803" w:type="dxa"/>
            <w:gridSpan w:val="2"/>
            <w:tcBorders>
              <w:top w:val="nil"/>
              <w:bottom w:val="nil"/>
            </w:tcBorders>
            <w:shd w:val="clear" w:color="auto" w:fill="DAEEF3" w:themeFill="accent5" w:themeFillTint="33"/>
            <w:vAlign w:val="center"/>
          </w:tcPr>
          <w:p w14:paraId="2BF25345"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0A714C4C"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59</w:t>
            </w:r>
          </w:p>
        </w:tc>
        <w:tc>
          <w:tcPr>
            <w:tcW w:w="1080" w:type="dxa"/>
            <w:tcBorders>
              <w:top w:val="nil"/>
              <w:left w:val="nil"/>
              <w:bottom w:val="nil"/>
              <w:right w:val="single" w:sz="4" w:space="0" w:color="auto"/>
            </w:tcBorders>
            <w:shd w:val="clear" w:color="auto" w:fill="DAEEF3" w:themeFill="accent5" w:themeFillTint="33"/>
            <w:vAlign w:val="bottom"/>
          </w:tcPr>
          <w:p w14:paraId="3788A500"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5.3</w:t>
            </w:r>
          </w:p>
          <w:p w14:paraId="102EBCFB"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(3.6 </w:t>
            </w:r>
            <w:r w:rsidRPr="00AF3A24">
              <w:rPr>
                <w:rFonts w:asciiTheme="minorHAnsi" w:hAnsiTheme="minorHAnsi"/>
                <w:bCs/>
                <w:color w:val="000000"/>
                <w:sz w:val="16"/>
                <w:szCs w:val="16"/>
              </w:rPr>
              <w:t>-</w:t>
            </w:r>
            <w:r>
              <w:rPr>
                <w:rFonts w:asciiTheme="minorHAnsi" w:hAnsiTheme="minorHAnsi"/>
                <w:bCs/>
                <w:color w:val="000000"/>
                <w:sz w:val="16"/>
                <w:szCs w:val="16"/>
              </w:rPr>
              <w:t xml:space="preserve"> 7.0)</w:t>
            </w:r>
          </w:p>
        </w:tc>
        <w:tc>
          <w:tcPr>
            <w:tcW w:w="720" w:type="dxa"/>
            <w:tcBorders>
              <w:top w:val="nil"/>
              <w:left w:val="nil"/>
              <w:bottom w:val="nil"/>
              <w:right w:val="nil"/>
            </w:tcBorders>
            <w:shd w:val="clear" w:color="auto" w:fill="DAEEF3" w:themeFill="accent5" w:themeFillTint="33"/>
            <w:vAlign w:val="center"/>
          </w:tcPr>
          <w:p w14:paraId="6C14A3B3"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31</w:t>
            </w:r>
          </w:p>
        </w:tc>
        <w:tc>
          <w:tcPr>
            <w:tcW w:w="1080" w:type="dxa"/>
            <w:tcBorders>
              <w:top w:val="nil"/>
              <w:left w:val="nil"/>
              <w:bottom w:val="nil"/>
              <w:right w:val="single" w:sz="4" w:space="0" w:color="auto"/>
            </w:tcBorders>
            <w:shd w:val="clear" w:color="auto" w:fill="DAEEF3" w:themeFill="accent5" w:themeFillTint="33"/>
            <w:vAlign w:val="bottom"/>
          </w:tcPr>
          <w:p w14:paraId="6ED904E8"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4.3</w:t>
            </w:r>
          </w:p>
          <w:p w14:paraId="169E344A"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(2.4 </w:t>
            </w:r>
            <w:r w:rsidRPr="00AF3A24">
              <w:rPr>
                <w:rFonts w:asciiTheme="minorHAnsi" w:hAnsiTheme="minorHAnsi"/>
                <w:bCs/>
                <w:color w:val="000000"/>
                <w:sz w:val="16"/>
                <w:szCs w:val="16"/>
              </w:rPr>
              <w:t>-</w:t>
            </w:r>
            <w:r>
              <w:rPr>
                <w:rFonts w:asciiTheme="minorHAnsi" w:hAnsiTheme="minorHAnsi"/>
                <w:bCs/>
                <w:color w:val="000000"/>
                <w:sz w:val="16"/>
                <w:szCs w:val="16"/>
              </w:rPr>
              <w:t xml:space="preserve"> 6.2)</w:t>
            </w:r>
          </w:p>
        </w:tc>
        <w:tc>
          <w:tcPr>
            <w:tcW w:w="894" w:type="dxa"/>
            <w:vMerge/>
            <w:tcBorders>
              <w:left w:val="nil"/>
              <w:right w:val="single" w:sz="4" w:space="0" w:color="auto"/>
            </w:tcBorders>
            <w:shd w:val="clear" w:color="auto" w:fill="DAEEF3" w:themeFill="accent5" w:themeFillTint="33"/>
            <w:vAlign w:val="center"/>
          </w:tcPr>
          <w:p w14:paraId="4E48C609"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6AA9E02F" w14:textId="77777777" w:rsidTr="003072C2">
        <w:trPr>
          <w:trHeight w:val="340"/>
          <w:jc w:val="center"/>
        </w:trPr>
        <w:tc>
          <w:tcPr>
            <w:tcW w:w="1176" w:type="dxa"/>
            <w:vMerge/>
            <w:tcBorders>
              <w:bottom w:val="nil"/>
            </w:tcBorders>
            <w:shd w:val="clear" w:color="auto" w:fill="DAEEF3" w:themeFill="accent5" w:themeFillTint="33"/>
            <w:vAlign w:val="center"/>
          </w:tcPr>
          <w:p w14:paraId="772E148E"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3DD78379"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Moderate-risk</w:t>
            </w:r>
            <w:r>
              <w:rPr>
                <w:rFonts w:asciiTheme="minorHAnsi" w:hAnsiTheme="minorHAnsi" w:cstheme="minorHAnsi"/>
                <w:sz w:val="16"/>
                <w:szCs w:val="16"/>
              </w:rPr>
              <w:t xml:space="preserve"> </w:t>
            </w:r>
            <w:r w:rsidRPr="00262B8E">
              <w:rPr>
                <w:rFonts w:asciiTheme="minorHAnsi" w:hAnsiTheme="minorHAnsi" w:cstheme="minorHAnsi"/>
                <w:sz w:val="16"/>
                <w:szCs w:val="16"/>
              </w:rPr>
              <w:t>/</w:t>
            </w:r>
            <w:r>
              <w:rPr>
                <w:rFonts w:asciiTheme="minorHAnsi" w:hAnsiTheme="minorHAnsi" w:cstheme="minorHAnsi"/>
                <w:sz w:val="16"/>
                <w:szCs w:val="16"/>
              </w:rPr>
              <w:t xml:space="preserve"> </w:t>
            </w:r>
            <w:r w:rsidRPr="00262B8E">
              <w:rPr>
                <w:rFonts w:asciiTheme="minorHAnsi" w:hAnsiTheme="minorHAnsi" w:cstheme="minorHAnsi"/>
                <w:sz w:val="16"/>
                <w:szCs w:val="16"/>
              </w:rPr>
              <w:t>problem gambler</w:t>
            </w:r>
          </w:p>
        </w:tc>
        <w:tc>
          <w:tcPr>
            <w:tcW w:w="1803" w:type="dxa"/>
            <w:gridSpan w:val="2"/>
            <w:tcBorders>
              <w:top w:val="nil"/>
              <w:bottom w:val="nil"/>
            </w:tcBorders>
            <w:shd w:val="clear" w:color="auto" w:fill="DAEEF3" w:themeFill="accent5" w:themeFillTint="33"/>
            <w:vAlign w:val="center"/>
          </w:tcPr>
          <w:p w14:paraId="0FDB846A"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7373869C"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48</w:t>
            </w:r>
          </w:p>
        </w:tc>
        <w:tc>
          <w:tcPr>
            <w:tcW w:w="1080" w:type="dxa"/>
            <w:tcBorders>
              <w:top w:val="nil"/>
              <w:left w:val="nil"/>
              <w:bottom w:val="nil"/>
              <w:right w:val="single" w:sz="4" w:space="0" w:color="auto"/>
            </w:tcBorders>
            <w:shd w:val="clear" w:color="auto" w:fill="DAEEF3" w:themeFill="accent5" w:themeFillTint="33"/>
            <w:vAlign w:val="bottom"/>
          </w:tcPr>
          <w:p w14:paraId="3200000A"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4.4</w:t>
            </w:r>
          </w:p>
          <w:p w14:paraId="450E52BA"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(2.9 </w:t>
            </w:r>
            <w:r w:rsidRPr="00AF3A24">
              <w:rPr>
                <w:rFonts w:asciiTheme="minorHAnsi" w:hAnsiTheme="minorHAnsi"/>
                <w:bCs/>
                <w:color w:val="000000"/>
                <w:sz w:val="16"/>
                <w:szCs w:val="16"/>
              </w:rPr>
              <w:t>-</w:t>
            </w:r>
            <w:r>
              <w:rPr>
                <w:rFonts w:asciiTheme="minorHAnsi" w:hAnsiTheme="minorHAnsi"/>
                <w:bCs/>
                <w:color w:val="000000"/>
                <w:sz w:val="16"/>
                <w:szCs w:val="16"/>
              </w:rPr>
              <w:t xml:space="preserve"> 5.8)</w:t>
            </w:r>
          </w:p>
        </w:tc>
        <w:tc>
          <w:tcPr>
            <w:tcW w:w="720" w:type="dxa"/>
            <w:tcBorders>
              <w:top w:val="nil"/>
              <w:left w:val="nil"/>
              <w:bottom w:val="nil"/>
              <w:right w:val="nil"/>
            </w:tcBorders>
            <w:shd w:val="clear" w:color="auto" w:fill="DAEEF3" w:themeFill="accent5" w:themeFillTint="33"/>
            <w:vAlign w:val="center"/>
          </w:tcPr>
          <w:p w14:paraId="51889444"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30</w:t>
            </w:r>
          </w:p>
        </w:tc>
        <w:tc>
          <w:tcPr>
            <w:tcW w:w="1080" w:type="dxa"/>
            <w:tcBorders>
              <w:top w:val="nil"/>
              <w:left w:val="nil"/>
              <w:bottom w:val="nil"/>
              <w:right w:val="single" w:sz="4" w:space="0" w:color="auto"/>
            </w:tcBorders>
            <w:shd w:val="clear" w:color="auto" w:fill="DAEEF3" w:themeFill="accent5" w:themeFillTint="33"/>
            <w:vAlign w:val="bottom"/>
          </w:tcPr>
          <w:p w14:paraId="7FACE7B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3.4</w:t>
            </w:r>
          </w:p>
          <w:p w14:paraId="274250B7"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(1.5 </w:t>
            </w:r>
            <w:r w:rsidRPr="00AF3A24">
              <w:rPr>
                <w:rFonts w:asciiTheme="minorHAnsi" w:hAnsiTheme="minorHAnsi"/>
                <w:bCs/>
                <w:color w:val="000000"/>
                <w:sz w:val="16"/>
                <w:szCs w:val="16"/>
              </w:rPr>
              <w:t>-</w:t>
            </w:r>
            <w:r>
              <w:rPr>
                <w:rFonts w:asciiTheme="minorHAnsi" w:hAnsiTheme="minorHAnsi"/>
                <w:bCs/>
                <w:color w:val="000000"/>
                <w:sz w:val="16"/>
                <w:szCs w:val="16"/>
              </w:rPr>
              <w:t xml:space="preserve"> 5.2)</w:t>
            </w:r>
          </w:p>
        </w:tc>
        <w:tc>
          <w:tcPr>
            <w:tcW w:w="894" w:type="dxa"/>
            <w:vMerge/>
            <w:tcBorders>
              <w:left w:val="nil"/>
              <w:right w:val="single" w:sz="4" w:space="0" w:color="auto"/>
            </w:tcBorders>
            <w:shd w:val="clear" w:color="auto" w:fill="DAEEF3" w:themeFill="accent5" w:themeFillTint="33"/>
            <w:vAlign w:val="center"/>
          </w:tcPr>
          <w:p w14:paraId="361F526D"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769CE10D" w14:textId="77777777" w:rsidTr="003072C2">
        <w:trPr>
          <w:trHeight w:val="340"/>
          <w:jc w:val="center"/>
        </w:trPr>
        <w:tc>
          <w:tcPr>
            <w:tcW w:w="1176" w:type="dxa"/>
            <w:vMerge w:val="restart"/>
            <w:tcBorders>
              <w:top w:val="single" w:sz="4" w:space="0" w:color="auto"/>
            </w:tcBorders>
            <w:shd w:val="clear" w:color="auto" w:fill="DAEEF3" w:themeFill="accent5" w:themeFillTint="33"/>
            <w:vAlign w:val="center"/>
          </w:tcPr>
          <w:p w14:paraId="120A5AF2" w14:textId="77777777" w:rsidR="003072C2" w:rsidRPr="00AF3A24" w:rsidRDefault="003072C2" w:rsidP="00262B8E">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Asian</w:t>
            </w:r>
          </w:p>
        </w:tc>
        <w:tc>
          <w:tcPr>
            <w:tcW w:w="2552" w:type="dxa"/>
            <w:tcBorders>
              <w:top w:val="single" w:sz="4" w:space="0" w:color="auto"/>
              <w:bottom w:val="nil"/>
            </w:tcBorders>
            <w:shd w:val="clear" w:color="auto" w:fill="DAEEF3" w:themeFill="accent5" w:themeFillTint="33"/>
            <w:vAlign w:val="center"/>
          </w:tcPr>
          <w:p w14:paraId="324FB0A9"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Non-gambler</w:t>
            </w:r>
          </w:p>
        </w:tc>
        <w:tc>
          <w:tcPr>
            <w:tcW w:w="1803" w:type="dxa"/>
            <w:gridSpan w:val="2"/>
            <w:tcBorders>
              <w:top w:val="single" w:sz="4" w:space="0" w:color="auto"/>
              <w:bottom w:val="nil"/>
            </w:tcBorders>
            <w:shd w:val="clear" w:color="auto" w:fill="DAEEF3" w:themeFill="accent5" w:themeFillTint="33"/>
            <w:vAlign w:val="center"/>
          </w:tcPr>
          <w:p w14:paraId="36390675"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single" w:sz="4" w:space="0" w:color="auto"/>
              <w:left w:val="nil"/>
              <w:bottom w:val="nil"/>
              <w:right w:val="nil"/>
            </w:tcBorders>
            <w:shd w:val="clear" w:color="auto" w:fill="DAEEF3" w:themeFill="accent5" w:themeFillTint="33"/>
            <w:vAlign w:val="center"/>
          </w:tcPr>
          <w:p w14:paraId="44B97FC9"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801</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1B680E39"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59.1</w:t>
            </w:r>
          </w:p>
          <w:p w14:paraId="01F67023"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(55.9 </w:t>
            </w:r>
            <w:r w:rsidRPr="00AF3A24">
              <w:rPr>
                <w:rFonts w:asciiTheme="minorHAnsi" w:hAnsiTheme="minorHAnsi"/>
                <w:bCs/>
                <w:color w:val="000000"/>
                <w:sz w:val="16"/>
                <w:szCs w:val="16"/>
              </w:rPr>
              <w:t>-</w:t>
            </w:r>
            <w:r>
              <w:rPr>
                <w:rFonts w:asciiTheme="minorHAnsi" w:hAnsiTheme="minorHAnsi"/>
                <w:bCs/>
                <w:color w:val="000000"/>
                <w:sz w:val="16"/>
                <w:szCs w:val="16"/>
              </w:rPr>
              <w:t xml:space="preserve"> 62.3)</w:t>
            </w:r>
          </w:p>
        </w:tc>
        <w:tc>
          <w:tcPr>
            <w:tcW w:w="720" w:type="dxa"/>
            <w:tcBorders>
              <w:top w:val="single" w:sz="4" w:space="0" w:color="auto"/>
              <w:left w:val="nil"/>
              <w:bottom w:val="nil"/>
              <w:right w:val="nil"/>
            </w:tcBorders>
            <w:shd w:val="clear" w:color="auto" w:fill="DAEEF3" w:themeFill="accent5" w:themeFillTint="33"/>
            <w:vAlign w:val="center"/>
          </w:tcPr>
          <w:p w14:paraId="66389081"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561</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230CA1FF"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66.9</w:t>
            </w:r>
          </w:p>
          <w:p w14:paraId="36AF8B27"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(62.8 </w:t>
            </w:r>
            <w:r w:rsidRPr="00AF3A24">
              <w:rPr>
                <w:rFonts w:asciiTheme="minorHAnsi" w:hAnsiTheme="minorHAnsi"/>
                <w:bCs/>
                <w:color w:val="000000"/>
                <w:sz w:val="16"/>
                <w:szCs w:val="16"/>
              </w:rPr>
              <w:t>-</w:t>
            </w:r>
            <w:r>
              <w:rPr>
                <w:rFonts w:asciiTheme="minorHAnsi" w:hAnsiTheme="minorHAnsi"/>
                <w:bCs/>
                <w:color w:val="000000"/>
                <w:sz w:val="16"/>
                <w:szCs w:val="16"/>
              </w:rPr>
              <w:t xml:space="preserve"> 71.1)</w:t>
            </w:r>
          </w:p>
        </w:tc>
        <w:tc>
          <w:tcPr>
            <w:tcW w:w="894" w:type="dxa"/>
            <w:vMerge/>
            <w:tcBorders>
              <w:left w:val="nil"/>
              <w:right w:val="single" w:sz="4" w:space="0" w:color="auto"/>
            </w:tcBorders>
            <w:shd w:val="clear" w:color="auto" w:fill="DAEEF3" w:themeFill="accent5" w:themeFillTint="33"/>
            <w:vAlign w:val="center"/>
          </w:tcPr>
          <w:p w14:paraId="077A3701" w14:textId="77777777" w:rsidR="003072C2" w:rsidRPr="00AF3A24" w:rsidRDefault="003072C2" w:rsidP="005D0844">
            <w:pPr>
              <w:spacing w:before="0" w:line="240" w:lineRule="auto"/>
              <w:jc w:val="center"/>
              <w:rPr>
                <w:rFonts w:asciiTheme="minorHAnsi" w:hAnsiTheme="minorHAnsi"/>
                <w:bCs/>
                <w:color w:val="000000"/>
                <w:sz w:val="16"/>
                <w:szCs w:val="16"/>
              </w:rPr>
            </w:pPr>
          </w:p>
        </w:tc>
      </w:tr>
      <w:tr w:rsidR="003072C2" w:rsidRPr="00AF3A24" w14:paraId="3F5D0BA2" w14:textId="77777777" w:rsidTr="003072C2">
        <w:trPr>
          <w:trHeight w:val="340"/>
          <w:jc w:val="center"/>
        </w:trPr>
        <w:tc>
          <w:tcPr>
            <w:tcW w:w="1176" w:type="dxa"/>
            <w:vMerge/>
            <w:shd w:val="clear" w:color="auto" w:fill="DAEEF3" w:themeFill="accent5" w:themeFillTint="33"/>
            <w:vAlign w:val="center"/>
          </w:tcPr>
          <w:p w14:paraId="7B7298B2"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7658D0EF"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Non-problem</w:t>
            </w:r>
            <w:r>
              <w:rPr>
                <w:rFonts w:asciiTheme="minorHAnsi" w:hAnsiTheme="minorHAnsi" w:cstheme="minorHAnsi"/>
                <w:sz w:val="16"/>
                <w:szCs w:val="16"/>
              </w:rPr>
              <w:t xml:space="preserve"> / recreational</w:t>
            </w:r>
            <w:r w:rsidRPr="00262B8E">
              <w:rPr>
                <w:rFonts w:asciiTheme="minorHAnsi" w:hAnsiTheme="minorHAnsi" w:cstheme="minorHAnsi"/>
                <w:sz w:val="16"/>
                <w:szCs w:val="16"/>
              </w:rPr>
              <w:t xml:space="preserve"> gambler</w:t>
            </w:r>
          </w:p>
        </w:tc>
        <w:tc>
          <w:tcPr>
            <w:tcW w:w="1803" w:type="dxa"/>
            <w:gridSpan w:val="2"/>
            <w:tcBorders>
              <w:top w:val="nil"/>
              <w:bottom w:val="nil"/>
            </w:tcBorders>
            <w:shd w:val="clear" w:color="auto" w:fill="DAEEF3" w:themeFill="accent5" w:themeFillTint="33"/>
            <w:vAlign w:val="center"/>
          </w:tcPr>
          <w:p w14:paraId="48544CCC"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6512FE35"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600</w:t>
            </w:r>
          </w:p>
        </w:tc>
        <w:tc>
          <w:tcPr>
            <w:tcW w:w="1080" w:type="dxa"/>
            <w:tcBorders>
              <w:top w:val="nil"/>
              <w:left w:val="nil"/>
              <w:bottom w:val="nil"/>
              <w:right w:val="single" w:sz="4" w:space="0" w:color="auto"/>
            </w:tcBorders>
            <w:shd w:val="clear" w:color="auto" w:fill="DAEEF3" w:themeFill="accent5" w:themeFillTint="33"/>
            <w:vAlign w:val="bottom"/>
          </w:tcPr>
          <w:p w14:paraId="24AF17C3"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35.9</w:t>
            </w:r>
          </w:p>
          <w:p w14:paraId="6C2F6BE1"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(32.8 </w:t>
            </w:r>
            <w:r w:rsidRPr="00AF3A24">
              <w:rPr>
                <w:rFonts w:asciiTheme="minorHAnsi" w:hAnsiTheme="minorHAnsi"/>
                <w:bCs/>
                <w:color w:val="000000"/>
                <w:sz w:val="16"/>
                <w:szCs w:val="16"/>
              </w:rPr>
              <w:t>-</w:t>
            </w:r>
            <w:r>
              <w:rPr>
                <w:rFonts w:asciiTheme="minorHAnsi" w:hAnsiTheme="minorHAnsi"/>
                <w:bCs/>
                <w:color w:val="000000"/>
                <w:sz w:val="16"/>
                <w:szCs w:val="16"/>
              </w:rPr>
              <w:t xml:space="preserve"> 39.1)</w:t>
            </w:r>
          </w:p>
        </w:tc>
        <w:tc>
          <w:tcPr>
            <w:tcW w:w="720" w:type="dxa"/>
            <w:tcBorders>
              <w:top w:val="nil"/>
              <w:left w:val="nil"/>
              <w:bottom w:val="nil"/>
              <w:right w:val="nil"/>
            </w:tcBorders>
            <w:shd w:val="clear" w:color="auto" w:fill="DAEEF3" w:themeFill="accent5" w:themeFillTint="33"/>
            <w:vAlign w:val="center"/>
          </w:tcPr>
          <w:p w14:paraId="724A80FC"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283</w:t>
            </w:r>
          </w:p>
        </w:tc>
        <w:tc>
          <w:tcPr>
            <w:tcW w:w="1080" w:type="dxa"/>
            <w:tcBorders>
              <w:top w:val="nil"/>
              <w:left w:val="nil"/>
              <w:bottom w:val="nil"/>
              <w:right w:val="single" w:sz="4" w:space="0" w:color="auto"/>
            </w:tcBorders>
            <w:shd w:val="clear" w:color="auto" w:fill="DAEEF3" w:themeFill="accent5" w:themeFillTint="33"/>
            <w:vAlign w:val="bottom"/>
          </w:tcPr>
          <w:p w14:paraId="2F433344"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30.1</w:t>
            </w:r>
          </w:p>
          <w:p w14:paraId="40128AF3"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(26.0 </w:t>
            </w:r>
            <w:r w:rsidRPr="00AF3A24">
              <w:rPr>
                <w:rFonts w:asciiTheme="minorHAnsi" w:hAnsiTheme="minorHAnsi"/>
                <w:bCs/>
                <w:color w:val="000000"/>
                <w:sz w:val="16"/>
                <w:szCs w:val="16"/>
              </w:rPr>
              <w:t>-</w:t>
            </w:r>
            <w:r>
              <w:rPr>
                <w:rFonts w:asciiTheme="minorHAnsi" w:hAnsiTheme="minorHAnsi"/>
                <w:bCs/>
                <w:color w:val="000000"/>
                <w:sz w:val="16"/>
                <w:szCs w:val="16"/>
              </w:rPr>
              <w:t xml:space="preserve"> 34.2)</w:t>
            </w:r>
          </w:p>
        </w:tc>
        <w:tc>
          <w:tcPr>
            <w:tcW w:w="894" w:type="dxa"/>
            <w:vMerge/>
            <w:tcBorders>
              <w:left w:val="nil"/>
              <w:right w:val="single" w:sz="4" w:space="0" w:color="auto"/>
            </w:tcBorders>
            <w:shd w:val="clear" w:color="auto" w:fill="DAEEF3" w:themeFill="accent5" w:themeFillTint="33"/>
            <w:vAlign w:val="center"/>
          </w:tcPr>
          <w:p w14:paraId="22695E8D"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7894A7EC" w14:textId="77777777" w:rsidTr="003072C2">
        <w:trPr>
          <w:trHeight w:val="340"/>
          <w:jc w:val="center"/>
        </w:trPr>
        <w:tc>
          <w:tcPr>
            <w:tcW w:w="1176" w:type="dxa"/>
            <w:vMerge/>
            <w:shd w:val="clear" w:color="auto" w:fill="DAEEF3" w:themeFill="accent5" w:themeFillTint="33"/>
            <w:vAlign w:val="center"/>
          </w:tcPr>
          <w:p w14:paraId="6F941978"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1FA205B5"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Low-risk</w:t>
            </w:r>
            <w:r>
              <w:rPr>
                <w:rFonts w:asciiTheme="minorHAnsi" w:hAnsiTheme="minorHAnsi" w:cstheme="minorHAnsi"/>
                <w:sz w:val="16"/>
                <w:szCs w:val="16"/>
              </w:rPr>
              <w:t xml:space="preserve"> </w:t>
            </w:r>
            <w:r w:rsidRPr="00262B8E">
              <w:rPr>
                <w:rFonts w:asciiTheme="minorHAnsi" w:hAnsiTheme="minorHAnsi" w:cstheme="minorHAnsi"/>
                <w:sz w:val="16"/>
                <w:szCs w:val="16"/>
              </w:rPr>
              <w:t>gambler</w:t>
            </w:r>
          </w:p>
        </w:tc>
        <w:tc>
          <w:tcPr>
            <w:tcW w:w="1803" w:type="dxa"/>
            <w:gridSpan w:val="2"/>
            <w:tcBorders>
              <w:top w:val="nil"/>
              <w:bottom w:val="nil"/>
            </w:tcBorders>
            <w:shd w:val="clear" w:color="auto" w:fill="DAEEF3" w:themeFill="accent5" w:themeFillTint="33"/>
            <w:vAlign w:val="center"/>
          </w:tcPr>
          <w:p w14:paraId="25C1C700"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15FC011A"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36</w:t>
            </w:r>
          </w:p>
        </w:tc>
        <w:tc>
          <w:tcPr>
            <w:tcW w:w="1080" w:type="dxa"/>
            <w:tcBorders>
              <w:top w:val="nil"/>
              <w:left w:val="nil"/>
              <w:bottom w:val="nil"/>
              <w:right w:val="single" w:sz="4" w:space="0" w:color="auto"/>
            </w:tcBorders>
            <w:shd w:val="clear" w:color="auto" w:fill="DAEEF3" w:themeFill="accent5" w:themeFillTint="33"/>
            <w:vAlign w:val="bottom"/>
          </w:tcPr>
          <w:p w14:paraId="7FC2FB76"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3.2</w:t>
            </w:r>
          </w:p>
          <w:p w14:paraId="7635E6D5"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(1.6 </w:t>
            </w:r>
            <w:r w:rsidRPr="00AF3A24">
              <w:rPr>
                <w:rFonts w:asciiTheme="minorHAnsi" w:hAnsiTheme="minorHAnsi"/>
                <w:bCs/>
                <w:color w:val="000000"/>
                <w:sz w:val="16"/>
                <w:szCs w:val="16"/>
              </w:rPr>
              <w:t>-</w:t>
            </w:r>
            <w:r>
              <w:rPr>
                <w:rFonts w:asciiTheme="minorHAnsi" w:hAnsiTheme="minorHAnsi"/>
                <w:bCs/>
                <w:color w:val="000000"/>
                <w:sz w:val="16"/>
                <w:szCs w:val="16"/>
              </w:rPr>
              <w:t xml:space="preserve"> 4.8)</w:t>
            </w:r>
          </w:p>
        </w:tc>
        <w:tc>
          <w:tcPr>
            <w:tcW w:w="720" w:type="dxa"/>
            <w:tcBorders>
              <w:top w:val="nil"/>
              <w:left w:val="nil"/>
              <w:bottom w:val="nil"/>
              <w:right w:val="nil"/>
            </w:tcBorders>
            <w:shd w:val="clear" w:color="auto" w:fill="DAEEF3" w:themeFill="accent5" w:themeFillTint="33"/>
            <w:vAlign w:val="center"/>
          </w:tcPr>
          <w:p w14:paraId="0CE57B15"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16</w:t>
            </w:r>
          </w:p>
        </w:tc>
        <w:tc>
          <w:tcPr>
            <w:tcW w:w="1080" w:type="dxa"/>
            <w:tcBorders>
              <w:top w:val="nil"/>
              <w:left w:val="nil"/>
              <w:bottom w:val="nil"/>
              <w:right w:val="single" w:sz="4" w:space="0" w:color="auto"/>
            </w:tcBorders>
            <w:shd w:val="clear" w:color="auto" w:fill="DAEEF3" w:themeFill="accent5" w:themeFillTint="33"/>
            <w:vAlign w:val="bottom"/>
          </w:tcPr>
          <w:p w14:paraId="5AAF984A"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2.3</w:t>
            </w:r>
          </w:p>
          <w:p w14:paraId="1D72298C"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(0.7 </w:t>
            </w:r>
            <w:r w:rsidRPr="00AF3A24">
              <w:rPr>
                <w:rFonts w:asciiTheme="minorHAnsi" w:hAnsiTheme="minorHAnsi"/>
                <w:bCs/>
                <w:color w:val="000000"/>
                <w:sz w:val="16"/>
                <w:szCs w:val="16"/>
              </w:rPr>
              <w:t>-</w:t>
            </w:r>
            <w:r>
              <w:rPr>
                <w:rFonts w:asciiTheme="minorHAnsi" w:hAnsiTheme="minorHAnsi"/>
                <w:bCs/>
                <w:color w:val="000000"/>
                <w:sz w:val="16"/>
                <w:szCs w:val="16"/>
              </w:rPr>
              <w:t xml:space="preserve"> 4.0)</w:t>
            </w:r>
          </w:p>
        </w:tc>
        <w:tc>
          <w:tcPr>
            <w:tcW w:w="894" w:type="dxa"/>
            <w:vMerge/>
            <w:tcBorders>
              <w:left w:val="nil"/>
              <w:right w:val="single" w:sz="4" w:space="0" w:color="auto"/>
            </w:tcBorders>
            <w:shd w:val="clear" w:color="auto" w:fill="DAEEF3" w:themeFill="accent5" w:themeFillTint="33"/>
            <w:vAlign w:val="center"/>
          </w:tcPr>
          <w:p w14:paraId="3FB0B175"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61C08CA8" w14:textId="77777777" w:rsidTr="003072C2">
        <w:trPr>
          <w:trHeight w:val="340"/>
          <w:jc w:val="center"/>
        </w:trPr>
        <w:tc>
          <w:tcPr>
            <w:tcW w:w="1176" w:type="dxa"/>
            <w:vMerge/>
            <w:tcBorders>
              <w:bottom w:val="single" w:sz="4" w:space="0" w:color="auto"/>
            </w:tcBorders>
            <w:shd w:val="clear" w:color="auto" w:fill="DAEEF3" w:themeFill="accent5" w:themeFillTint="33"/>
            <w:vAlign w:val="center"/>
          </w:tcPr>
          <w:p w14:paraId="79FB0171" w14:textId="77777777" w:rsidR="003072C2" w:rsidRPr="00AF3A24" w:rsidRDefault="003072C2" w:rsidP="00262B8E">
            <w:pPr>
              <w:spacing w:before="0" w:line="240" w:lineRule="auto"/>
              <w:ind w:left="78"/>
              <w:jc w:val="left"/>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2D733DDE"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Moderate-risk</w:t>
            </w:r>
            <w:r>
              <w:rPr>
                <w:rFonts w:asciiTheme="minorHAnsi" w:hAnsiTheme="minorHAnsi" w:cstheme="minorHAnsi"/>
                <w:sz w:val="16"/>
                <w:szCs w:val="16"/>
              </w:rPr>
              <w:t xml:space="preserve"> </w:t>
            </w:r>
            <w:r w:rsidRPr="00262B8E">
              <w:rPr>
                <w:rFonts w:asciiTheme="minorHAnsi" w:hAnsiTheme="minorHAnsi" w:cstheme="minorHAnsi"/>
                <w:sz w:val="16"/>
                <w:szCs w:val="16"/>
              </w:rPr>
              <w:t>/</w:t>
            </w:r>
            <w:r>
              <w:rPr>
                <w:rFonts w:asciiTheme="minorHAnsi" w:hAnsiTheme="minorHAnsi" w:cstheme="minorHAnsi"/>
                <w:sz w:val="16"/>
                <w:szCs w:val="16"/>
              </w:rPr>
              <w:t xml:space="preserve"> </w:t>
            </w:r>
            <w:r w:rsidRPr="00262B8E">
              <w:rPr>
                <w:rFonts w:asciiTheme="minorHAnsi" w:hAnsiTheme="minorHAnsi" w:cstheme="minorHAnsi"/>
                <w:sz w:val="16"/>
                <w:szCs w:val="16"/>
              </w:rPr>
              <w:t>problem gambler</w:t>
            </w:r>
          </w:p>
        </w:tc>
        <w:tc>
          <w:tcPr>
            <w:tcW w:w="1803" w:type="dxa"/>
            <w:gridSpan w:val="2"/>
            <w:tcBorders>
              <w:top w:val="nil"/>
              <w:bottom w:val="nil"/>
            </w:tcBorders>
            <w:shd w:val="clear" w:color="auto" w:fill="DAEEF3" w:themeFill="accent5" w:themeFillTint="33"/>
            <w:vAlign w:val="center"/>
          </w:tcPr>
          <w:p w14:paraId="39194431"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1959DDC6" w14:textId="77777777" w:rsidR="003072C2" w:rsidRPr="00980823" w:rsidRDefault="003072C2" w:rsidP="003072C2">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279DC3D5" w14:textId="77777777" w:rsidR="003072C2" w:rsidRPr="00980823" w:rsidRDefault="003072C2" w:rsidP="003072C2">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720" w:type="dxa"/>
            <w:tcBorders>
              <w:top w:val="nil"/>
              <w:left w:val="nil"/>
              <w:bottom w:val="nil"/>
              <w:right w:val="nil"/>
            </w:tcBorders>
            <w:shd w:val="clear" w:color="auto" w:fill="DAEEF3" w:themeFill="accent5" w:themeFillTint="33"/>
            <w:vAlign w:val="center"/>
          </w:tcPr>
          <w:p w14:paraId="6A6E801E" w14:textId="77777777" w:rsidR="003072C2" w:rsidRPr="00980823" w:rsidRDefault="003072C2" w:rsidP="003072C2">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nil"/>
              <w:left w:val="nil"/>
              <w:bottom w:val="nil"/>
              <w:right w:val="single" w:sz="4" w:space="0" w:color="auto"/>
            </w:tcBorders>
            <w:shd w:val="clear" w:color="auto" w:fill="DAEEF3" w:themeFill="accent5" w:themeFillTint="33"/>
            <w:vAlign w:val="center"/>
          </w:tcPr>
          <w:p w14:paraId="2C35F284" w14:textId="77777777" w:rsidR="003072C2" w:rsidRPr="00980823" w:rsidRDefault="003072C2" w:rsidP="003072C2">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894" w:type="dxa"/>
            <w:vMerge/>
            <w:tcBorders>
              <w:left w:val="nil"/>
              <w:right w:val="single" w:sz="4" w:space="0" w:color="auto"/>
            </w:tcBorders>
            <w:shd w:val="clear" w:color="auto" w:fill="DAEEF3" w:themeFill="accent5" w:themeFillTint="33"/>
            <w:vAlign w:val="center"/>
          </w:tcPr>
          <w:p w14:paraId="2CA56FD8"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39BC7DC1" w14:textId="77777777" w:rsidTr="003072C2">
        <w:trPr>
          <w:trHeight w:val="340"/>
          <w:jc w:val="center"/>
        </w:trPr>
        <w:tc>
          <w:tcPr>
            <w:tcW w:w="1176" w:type="dxa"/>
            <w:vMerge w:val="restart"/>
            <w:tcBorders>
              <w:top w:val="single" w:sz="4" w:space="0" w:color="auto"/>
            </w:tcBorders>
            <w:shd w:val="clear" w:color="auto" w:fill="DAEEF3" w:themeFill="accent5" w:themeFillTint="33"/>
            <w:vAlign w:val="center"/>
          </w:tcPr>
          <w:p w14:paraId="32E0E50B" w14:textId="77777777" w:rsidR="003072C2" w:rsidRPr="00AF3A24" w:rsidRDefault="003072C2" w:rsidP="00262B8E">
            <w:pPr>
              <w:spacing w:before="0" w:line="240" w:lineRule="auto"/>
              <w:ind w:left="78"/>
              <w:jc w:val="left"/>
              <w:rPr>
                <w:rFonts w:asciiTheme="minorHAnsi" w:hAnsiTheme="minorHAnsi" w:cstheme="minorHAnsi"/>
                <w:sz w:val="16"/>
                <w:szCs w:val="16"/>
              </w:rPr>
            </w:pPr>
            <w:r>
              <w:rPr>
                <w:rFonts w:asciiTheme="minorHAnsi" w:hAnsiTheme="minorHAnsi" w:cstheme="minorHAnsi"/>
                <w:sz w:val="16"/>
                <w:szCs w:val="16"/>
              </w:rPr>
              <w:t>European / Other</w:t>
            </w:r>
          </w:p>
        </w:tc>
        <w:tc>
          <w:tcPr>
            <w:tcW w:w="2552" w:type="dxa"/>
            <w:tcBorders>
              <w:top w:val="single" w:sz="4" w:space="0" w:color="auto"/>
              <w:bottom w:val="nil"/>
            </w:tcBorders>
            <w:shd w:val="clear" w:color="auto" w:fill="DAEEF3" w:themeFill="accent5" w:themeFillTint="33"/>
            <w:vAlign w:val="center"/>
          </w:tcPr>
          <w:p w14:paraId="78BFB2EE"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Non-gambler</w:t>
            </w:r>
          </w:p>
        </w:tc>
        <w:tc>
          <w:tcPr>
            <w:tcW w:w="1803" w:type="dxa"/>
            <w:gridSpan w:val="2"/>
            <w:tcBorders>
              <w:top w:val="single" w:sz="4" w:space="0" w:color="auto"/>
              <w:bottom w:val="nil"/>
            </w:tcBorders>
            <w:shd w:val="clear" w:color="auto" w:fill="DAEEF3" w:themeFill="accent5" w:themeFillTint="33"/>
            <w:vAlign w:val="center"/>
          </w:tcPr>
          <w:p w14:paraId="6D404FCA"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single" w:sz="4" w:space="0" w:color="auto"/>
              <w:left w:val="nil"/>
              <w:bottom w:val="nil"/>
              <w:right w:val="nil"/>
            </w:tcBorders>
            <w:shd w:val="clear" w:color="auto" w:fill="DAEEF3" w:themeFill="accent5" w:themeFillTint="33"/>
            <w:vAlign w:val="center"/>
          </w:tcPr>
          <w:p w14:paraId="5741F7FC"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2,219</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18D3654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37.5</w:t>
            </w:r>
          </w:p>
          <w:p w14:paraId="00E10966"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(35.2 </w:t>
            </w:r>
            <w:r w:rsidRPr="00AF3A24">
              <w:rPr>
                <w:rFonts w:asciiTheme="minorHAnsi" w:hAnsiTheme="minorHAnsi"/>
                <w:bCs/>
                <w:color w:val="000000"/>
                <w:sz w:val="16"/>
                <w:szCs w:val="16"/>
              </w:rPr>
              <w:t>-</w:t>
            </w:r>
            <w:r>
              <w:rPr>
                <w:rFonts w:asciiTheme="minorHAnsi" w:hAnsiTheme="minorHAnsi"/>
                <w:bCs/>
                <w:color w:val="000000"/>
                <w:sz w:val="16"/>
                <w:szCs w:val="16"/>
              </w:rPr>
              <w:t xml:space="preserve"> 39.7)</w:t>
            </w:r>
          </w:p>
        </w:tc>
        <w:tc>
          <w:tcPr>
            <w:tcW w:w="720" w:type="dxa"/>
            <w:tcBorders>
              <w:top w:val="single" w:sz="4" w:space="0" w:color="auto"/>
              <w:left w:val="nil"/>
              <w:bottom w:val="nil"/>
              <w:right w:val="nil"/>
            </w:tcBorders>
            <w:shd w:val="clear" w:color="auto" w:fill="DAEEF3" w:themeFill="accent5" w:themeFillTint="33"/>
            <w:vAlign w:val="center"/>
          </w:tcPr>
          <w:p w14:paraId="54322ECC"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3,828</w:t>
            </w:r>
          </w:p>
        </w:tc>
        <w:tc>
          <w:tcPr>
            <w:tcW w:w="1080" w:type="dxa"/>
            <w:tcBorders>
              <w:top w:val="single" w:sz="4" w:space="0" w:color="auto"/>
              <w:left w:val="nil"/>
              <w:bottom w:val="nil"/>
              <w:right w:val="single" w:sz="4" w:space="0" w:color="auto"/>
            </w:tcBorders>
            <w:shd w:val="clear" w:color="auto" w:fill="DAEEF3" w:themeFill="accent5" w:themeFillTint="33"/>
            <w:vAlign w:val="bottom"/>
          </w:tcPr>
          <w:p w14:paraId="243A306A"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52.2</w:t>
            </w:r>
          </w:p>
          <w:p w14:paraId="67600B74"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(50.2 </w:t>
            </w:r>
            <w:r w:rsidRPr="00AF3A24">
              <w:rPr>
                <w:rFonts w:asciiTheme="minorHAnsi" w:hAnsiTheme="minorHAnsi"/>
                <w:bCs/>
                <w:color w:val="000000"/>
                <w:sz w:val="16"/>
                <w:szCs w:val="16"/>
              </w:rPr>
              <w:t>-</w:t>
            </w:r>
            <w:r>
              <w:rPr>
                <w:rFonts w:asciiTheme="minorHAnsi" w:hAnsiTheme="minorHAnsi"/>
                <w:bCs/>
                <w:color w:val="000000"/>
                <w:sz w:val="16"/>
                <w:szCs w:val="16"/>
              </w:rPr>
              <w:t xml:space="preserve"> 54.3)</w:t>
            </w:r>
          </w:p>
        </w:tc>
        <w:tc>
          <w:tcPr>
            <w:tcW w:w="894" w:type="dxa"/>
            <w:vMerge/>
            <w:tcBorders>
              <w:left w:val="nil"/>
              <w:right w:val="single" w:sz="4" w:space="0" w:color="auto"/>
            </w:tcBorders>
            <w:shd w:val="clear" w:color="auto" w:fill="DAEEF3" w:themeFill="accent5" w:themeFillTint="33"/>
            <w:vAlign w:val="center"/>
          </w:tcPr>
          <w:p w14:paraId="6AA43CC7" w14:textId="77777777" w:rsidR="003072C2" w:rsidRPr="00AF3A24" w:rsidRDefault="003072C2" w:rsidP="005D0844">
            <w:pPr>
              <w:spacing w:before="0" w:line="240" w:lineRule="auto"/>
              <w:jc w:val="center"/>
              <w:rPr>
                <w:rFonts w:asciiTheme="minorHAnsi" w:hAnsiTheme="minorHAnsi"/>
                <w:bCs/>
                <w:color w:val="000000"/>
                <w:sz w:val="16"/>
                <w:szCs w:val="16"/>
              </w:rPr>
            </w:pPr>
          </w:p>
        </w:tc>
      </w:tr>
      <w:tr w:rsidR="003072C2" w:rsidRPr="00AF3A24" w14:paraId="3DC37255" w14:textId="77777777" w:rsidTr="003072C2">
        <w:trPr>
          <w:trHeight w:val="340"/>
          <w:jc w:val="center"/>
        </w:trPr>
        <w:tc>
          <w:tcPr>
            <w:tcW w:w="1176" w:type="dxa"/>
            <w:vMerge/>
            <w:shd w:val="clear" w:color="auto" w:fill="DAEEF3" w:themeFill="accent5" w:themeFillTint="33"/>
          </w:tcPr>
          <w:p w14:paraId="0F311854" w14:textId="77777777" w:rsidR="003072C2" w:rsidRPr="00AF3A24" w:rsidRDefault="003072C2" w:rsidP="005D0844">
            <w:pPr>
              <w:spacing w:before="0" w:line="240" w:lineRule="auto"/>
              <w:ind w:left="78"/>
              <w:jc w:val="center"/>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697EFF5E"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Non-problem</w:t>
            </w:r>
            <w:r>
              <w:rPr>
                <w:rFonts w:asciiTheme="minorHAnsi" w:hAnsiTheme="minorHAnsi" w:cstheme="minorHAnsi"/>
                <w:sz w:val="16"/>
                <w:szCs w:val="16"/>
              </w:rPr>
              <w:t xml:space="preserve"> / recreational</w:t>
            </w:r>
            <w:r w:rsidRPr="00262B8E">
              <w:rPr>
                <w:rFonts w:asciiTheme="minorHAnsi" w:hAnsiTheme="minorHAnsi" w:cstheme="minorHAnsi"/>
                <w:sz w:val="16"/>
                <w:szCs w:val="16"/>
              </w:rPr>
              <w:t xml:space="preserve"> gambler</w:t>
            </w:r>
          </w:p>
        </w:tc>
        <w:tc>
          <w:tcPr>
            <w:tcW w:w="1803" w:type="dxa"/>
            <w:gridSpan w:val="2"/>
            <w:tcBorders>
              <w:top w:val="nil"/>
              <w:bottom w:val="nil"/>
            </w:tcBorders>
            <w:shd w:val="clear" w:color="auto" w:fill="DAEEF3" w:themeFill="accent5" w:themeFillTint="33"/>
            <w:vAlign w:val="center"/>
          </w:tcPr>
          <w:p w14:paraId="4817A379"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4DE72921"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4,472</w:t>
            </w:r>
          </w:p>
        </w:tc>
        <w:tc>
          <w:tcPr>
            <w:tcW w:w="1080" w:type="dxa"/>
            <w:tcBorders>
              <w:top w:val="nil"/>
              <w:left w:val="nil"/>
              <w:bottom w:val="nil"/>
              <w:right w:val="single" w:sz="4" w:space="0" w:color="auto"/>
            </w:tcBorders>
            <w:shd w:val="clear" w:color="auto" w:fill="DAEEF3" w:themeFill="accent5" w:themeFillTint="33"/>
            <w:vAlign w:val="bottom"/>
          </w:tcPr>
          <w:p w14:paraId="3821BE77"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58.1</w:t>
            </w:r>
          </w:p>
          <w:p w14:paraId="0194AF27"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(55.8 </w:t>
            </w:r>
            <w:r w:rsidRPr="00AF3A24">
              <w:rPr>
                <w:rFonts w:asciiTheme="minorHAnsi" w:hAnsiTheme="minorHAnsi"/>
                <w:bCs/>
                <w:color w:val="000000"/>
                <w:sz w:val="16"/>
                <w:szCs w:val="16"/>
              </w:rPr>
              <w:t>-</w:t>
            </w:r>
            <w:r>
              <w:rPr>
                <w:rFonts w:asciiTheme="minorHAnsi" w:hAnsiTheme="minorHAnsi"/>
                <w:bCs/>
                <w:color w:val="000000"/>
                <w:sz w:val="16"/>
                <w:szCs w:val="16"/>
              </w:rPr>
              <w:t xml:space="preserve"> 60.4)</w:t>
            </w:r>
          </w:p>
        </w:tc>
        <w:tc>
          <w:tcPr>
            <w:tcW w:w="720" w:type="dxa"/>
            <w:tcBorders>
              <w:top w:val="nil"/>
              <w:left w:val="nil"/>
              <w:bottom w:val="nil"/>
              <w:right w:val="nil"/>
            </w:tcBorders>
            <w:shd w:val="clear" w:color="auto" w:fill="DAEEF3" w:themeFill="accent5" w:themeFillTint="33"/>
            <w:vAlign w:val="center"/>
          </w:tcPr>
          <w:p w14:paraId="40102F6E"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4,280</w:t>
            </w:r>
          </w:p>
        </w:tc>
        <w:tc>
          <w:tcPr>
            <w:tcW w:w="1080" w:type="dxa"/>
            <w:tcBorders>
              <w:top w:val="nil"/>
              <w:left w:val="nil"/>
              <w:bottom w:val="nil"/>
              <w:right w:val="single" w:sz="4" w:space="0" w:color="auto"/>
            </w:tcBorders>
            <w:shd w:val="clear" w:color="auto" w:fill="DAEEF3" w:themeFill="accent5" w:themeFillTint="33"/>
            <w:vAlign w:val="bottom"/>
          </w:tcPr>
          <w:p w14:paraId="47F854A5"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45.5</w:t>
            </w:r>
          </w:p>
          <w:p w14:paraId="1CD42066"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(43.5 </w:t>
            </w:r>
            <w:r w:rsidRPr="00AF3A24">
              <w:rPr>
                <w:rFonts w:asciiTheme="minorHAnsi" w:hAnsiTheme="minorHAnsi"/>
                <w:bCs/>
                <w:color w:val="000000"/>
                <w:sz w:val="16"/>
                <w:szCs w:val="16"/>
              </w:rPr>
              <w:t>-</w:t>
            </w:r>
            <w:r>
              <w:rPr>
                <w:rFonts w:asciiTheme="minorHAnsi" w:hAnsiTheme="minorHAnsi"/>
                <w:bCs/>
                <w:color w:val="000000"/>
                <w:sz w:val="16"/>
                <w:szCs w:val="16"/>
              </w:rPr>
              <w:t xml:space="preserve"> 47.6)</w:t>
            </w:r>
          </w:p>
        </w:tc>
        <w:tc>
          <w:tcPr>
            <w:tcW w:w="894" w:type="dxa"/>
            <w:vMerge/>
            <w:tcBorders>
              <w:left w:val="nil"/>
              <w:right w:val="single" w:sz="4" w:space="0" w:color="auto"/>
            </w:tcBorders>
            <w:shd w:val="clear" w:color="auto" w:fill="DAEEF3" w:themeFill="accent5" w:themeFillTint="33"/>
            <w:vAlign w:val="center"/>
          </w:tcPr>
          <w:p w14:paraId="10EBB675"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31E091F2" w14:textId="77777777" w:rsidTr="003072C2">
        <w:trPr>
          <w:trHeight w:val="340"/>
          <w:jc w:val="center"/>
        </w:trPr>
        <w:tc>
          <w:tcPr>
            <w:tcW w:w="1176" w:type="dxa"/>
            <w:vMerge/>
            <w:shd w:val="clear" w:color="auto" w:fill="DAEEF3" w:themeFill="accent5" w:themeFillTint="33"/>
          </w:tcPr>
          <w:p w14:paraId="0E05F9D4" w14:textId="77777777" w:rsidR="003072C2" w:rsidRPr="00AF3A24" w:rsidRDefault="003072C2" w:rsidP="005D0844">
            <w:pPr>
              <w:spacing w:before="0" w:line="240" w:lineRule="auto"/>
              <w:ind w:left="78"/>
              <w:jc w:val="center"/>
              <w:rPr>
                <w:rFonts w:asciiTheme="minorHAnsi" w:hAnsiTheme="minorHAnsi" w:cstheme="minorHAnsi"/>
                <w:sz w:val="16"/>
                <w:szCs w:val="16"/>
              </w:rPr>
            </w:pPr>
          </w:p>
        </w:tc>
        <w:tc>
          <w:tcPr>
            <w:tcW w:w="2552" w:type="dxa"/>
            <w:tcBorders>
              <w:top w:val="nil"/>
              <w:bottom w:val="nil"/>
            </w:tcBorders>
            <w:shd w:val="clear" w:color="auto" w:fill="DAEEF3" w:themeFill="accent5" w:themeFillTint="33"/>
            <w:vAlign w:val="center"/>
          </w:tcPr>
          <w:p w14:paraId="164DF06B"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Low-risk</w:t>
            </w:r>
            <w:r>
              <w:rPr>
                <w:rFonts w:asciiTheme="minorHAnsi" w:hAnsiTheme="minorHAnsi" w:cstheme="minorHAnsi"/>
                <w:sz w:val="16"/>
                <w:szCs w:val="16"/>
              </w:rPr>
              <w:t xml:space="preserve"> </w:t>
            </w:r>
            <w:r w:rsidRPr="00262B8E">
              <w:rPr>
                <w:rFonts w:asciiTheme="minorHAnsi" w:hAnsiTheme="minorHAnsi" w:cstheme="minorHAnsi"/>
                <w:sz w:val="16"/>
                <w:szCs w:val="16"/>
              </w:rPr>
              <w:t>gambler</w:t>
            </w:r>
          </w:p>
        </w:tc>
        <w:tc>
          <w:tcPr>
            <w:tcW w:w="1803" w:type="dxa"/>
            <w:gridSpan w:val="2"/>
            <w:tcBorders>
              <w:top w:val="nil"/>
              <w:bottom w:val="nil"/>
            </w:tcBorders>
            <w:shd w:val="clear" w:color="auto" w:fill="DAEEF3" w:themeFill="accent5" w:themeFillTint="33"/>
            <w:vAlign w:val="center"/>
          </w:tcPr>
          <w:p w14:paraId="470CE767"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nil"/>
              <w:right w:val="nil"/>
            </w:tcBorders>
            <w:shd w:val="clear" w:color="auto" w:fill="DAEEF3" w:themeFill="accent5" w:themeFillTint="33"/>
            <w:vAlign w:val="center"/>
          </w:tcPr>
          <w:p w14:paraId="55162C8A"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182</w:t>
            </w:r>
          </w:p>
        </w:tc>
        <w:tc>
          <w:tcPr>
            <w:tcW w:w="1080" w:type="dxa"/>
            <w:tcBorders>
              <w:top w:val="nil"/>
              <w:left w:val="nil"/>
              <w:bottom w:val="nil"/>
              <w:right w:val="single" w:sz="4" w:space="0" w:color="auto"/>
            </w:tcBorders>
            <w:shd w:val="clear" w:color="auto" w:fill="DAEEF3" w:themeFill="accent5" w:themeFillTint="33"/>
            <w:vAlign w:val="bottom"/>
          </w:tcPr>
          <w:p w14:paraId="4EB786F8"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3.1</w:t>
            </w:r>
          </w:p>
          <w:p w14:paraId="71C1B3F4"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(2.4 </w:t>
            </w:r>
            <w:r w:rsidRPr="00AF3A24">
              <w:rPr>
                <w:rFonts w:asciiTheme="minorHAnsi" w:hAnsiTheme="minorHAnsi"/>
                <w:bCs/>
                <w:color w:val="000000"/>
                <w:sz w:val="16"/>
                <w:szCs w:val="16"/>
              </w:rPr>
              <w:t>-</w:t>
            </w:r>
            <w:r>
              <w:rPr>
                <w:rFonts w:asciiTheme="minorHAnsi" w:hAnsiTheme="minorHAnsi"/>
                <w:bCs/>
                <w:color w:val="000000"/>
                <w:sz w:val="16"/>
                <w:szCs w:val="16"/>
              </w:rPr>
              <w:t xml:space="preserve"> 3.9)</w:t>
            </w:r>
          </w:p>
        </w:tc>
        <w:tc>
          <w:tcPr>
            <w:tcW w:w="720" w:type="dxa"/>
            <w:tcBorders>
              <w:top w:val="nil"/>
              <w:left w:val="nil"/>
              <w:bottom w:val="nil"/>
              <w:right w:val="nil"/>
            </w:tcBorders>
            <w:shd w:val="clear" w:color="auto" w:fill="DAEEF3" w:themeFill="accent5" w:themeFillTint="33"/>
            <w:vAlign w:val="center"/>
          </w:tcPr>
          <w:p w14:paraId="2F218C01"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124</w:t>
            </w:r>
          </w:p>
        </w:tc>
        <w:tc>
          <w:tcPr>
            <w:tcW w:w="1080" w:type="dxa"/>
            <w:tcBorders>
              <w:top w:val="nil"/>
              <w:left w:val="nil"/>
              <w:bottom w:val="nil"/>
              <w:right w:val="single" w:sz="4" w:space="0" w:color="auto"/>
            </w:tcBorders>
            <w:shd w:val="clear" w:color="auto" w:fill="DAEEF3" w:themeFill="accent5" w:themeFillTint="33"/>
            <w:vAlign w:val="bottom"/>
          </w:tcPr>
          <w:p w14:paraId="3504DFA6"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1.5</w:t>
            </w:r>
          </w:p>
          <w:p w14:paraId="1704C29E"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(1.0 </w:t>
            </w:r>
            <w:r w:rsidRPr="00AF3A24">
              <w:rPr>
                <w:rFonts w:asciiTheme="minorHAnsi" w:hAnsiTheme="minorHAnsi"/>
                <w:bCs/>
                <w:color w:val="000000"/>
                <w:sz w:val="16"/>
                <w:szCs w:val="16"/>
              </w:rPr>
              <w:t>-</w:t>
            </w:r>
            <w:r>
              <w:rPr>
                <w:rFonts w:asciiTheme="minorHAnsi" w:hAnsiTheme="minorHAnsi"/>
                <w:bCs/>
                <w:color w:val="000000"/>
                <w:sz w:val="16"/>
                <w:szCs w:val="16"/>
              </w:rPr>
              <w:t xml:space="preserve"> 2.0)</w:t>
            </w:r>
          </w:p>
        </w:tc>
        <w:tc>
          <w:tcPr>
            <w:tcW w:w="894" w:type="dxa"/>
            <w:vMerge/>
            <w:tcBorders>
              <w:left w:val="nil"/>
              <w:right w:val="single" w:sz="4" w:space="0" w:color="auto"/>
            </w:tcBorders>
            <w:shd w:val="clear" w:color="auto" w:fill="DAEEF3" w:themeFill="accent5" w:themeFillTint="33"/>
            <w:vAlign w:val="center"/>
          </w:tcPr>
          <w:p w14:paraId="2CAADCAD" w14:textId="77777777" w:rsidR="003072C2" w:rsidRPr="00AF3A24" w:rsidRDefault="003072C2" w:rsidP="005D0844">
            <w:pPr>
              <w:spacing w:before="0" w:line="240" w:lineRule="auto"/>
              <w:jc w:val="center"/>
              <w:rPr>
                <w:rFonts w:asciiTheme="minorHAnsi" w:hAnsiTheme="minorHAnsi"/>
                <w:b/>
                <w:bCs/>
                <w:color w:val="000000"/>
                <w:sz w:val="16"/>
                <w:szCs w:val="16"/>
              </w:rPr>
            </w:pPr>
          </w:p>
        </w:tc>
      </w:tr>
      <w:tr w:rsidR="003072C2" w:rsidRPr="00AF3A24" w14:paraId="2F33A725" w14:textId="77777777" w:rsidTr="003072C2">
        <w:trPr>
          <w:trHeight w:val="340"/>
          <w:jc w:val="center"/>
        </w:trPr>
        <w:tc>
          <w:tcPr>
            <w:tcW w:w="1176" w:type="dxa"/>
            <w:vMerge/>
            <w:shd w:val="clear" w:color="auto" w:fill="DAEEF3" w:themeFill="accent5" w:themeFillTint="33"/>
          </w:tcPr>
          <w:p w14:paraId="0F4BB421" w14:textId="77777777" w:rsidR="003072C2" w:rsidRPr="00AF3A24" w:rsidRDefault="003072C2" w:rsidP="005D0844">
            <w:pPr>
              <w:spacing w:before="0" w:line="240" w:lineRule="auto"/>
              <w:ind w:left="78"/>
              <w:jc w:val="center"/>
              <w:rPr>
                <w:rFonts w:asciiTheme="minorHAnsi" w:hAnsiTheme="minorHAnsi" w:cstheme="minorHAnsi"/>
                <w:sz w:val="16"/>
                <w:szCs w:val="16"/>
              </w:rPr>
            </w:pPr>
          </w:p>
        </w:tc>
        <w:tc>
          <w:tcPr>
            <w:tcW w:w="2552" w:type="dxa"/>
            <w:tcBorders>
              <w:top w:val="nil"/>
              <w:bottom w:val="single" w:sz="4" w:space="0" w:color="auto"/>
            </w:tcBorders>
            <w:shd w:val="clear" w:color="auto" w:fill="DAEEF3" w:themeFill="accent5" w:themeFillTint="33"/>
            <w:vAlign w:val="center"/>
          </w:tcPr>
          <w:p w14:paraId="664A06D7" w14:textId="77777777" w:rsidR="003072C2" w:rsidRPr="00262B8E" w:rsidRDefault="003072C2" w:rsidP="005D0844">
            <w:pPr>
              <w:spacing w:before="0" w:line="240" w:lineRule="auto"/>
              <w:ind w:left="36"/>
              <w:jc w:val="left"/>
              <w:rPr>
                <w:rFonts w:asciiTheme="minorHAnsi" w:hAnsiTheme="minorHAnsi" w:cstheme="minorHAnsi"/>
                <w:sz w:val="16"/>
                <w:szCs w:val="16"/>
              </w:rPr>
            </w:pPr>
            <w:r w:rsidRPr="00262B8E">
              <w:rPr>
                <w:rFonts w:asciiTheme="minorHAnsi" w:hAnsiTheme="minorHAnsi" w:cstheme="minorHAnsi"/>
                <w:sz w:val="16"/>
                <w:szCs w:val="16"/>
              </w:rPr>
              <w:t>Moderate-risk</w:t>
            </w:r>
            <w:r>
              <w:rPr>
                <w:rFonts w:asciiTheme="minorHAnsi" w:hAnsiTheme="minorHAnsi" w:cstheme="minorHAnsi"/>
                <w:sz w:val="16"/>
                <w:szCs w:val="16"/>
              </w:rPr>
              <w:t xml:space="preserve"> </w:t>
            </w:r>
            <w:r w:rsidRPr="00262B8E">
              <w:rPr>
                <w:rFonts w:asciiTheme="minorHAnsi" w:hAnsiTheme="minorHAnsi" w:cstheme="minorHAnsi"/>
                <w:sz w:val="16"/>
                <w:szCs w:val="16"/>
              </w:rPr>
              <w:t>/</w:t>
            </w:r>
            <w:r>
              <w:rPr>
                <w:rFonts w:asciiTheme="minorHAnsi" w:hAnsiTheme="minorHAnsi" w:cstheme="minorHAnsi"/>
                <w:sz w:val="16"/>
                <w:szCs w:val="16"/>
              </w:rPr>
              <w:t xml:space="preserve"> </w:t>
            </w:r>
            <w:r w:rsidRPr="00262B8E">
              <w:rPr>
                <w:rFonts w:asciiTheme="minorHAnsi" w:hAnsiTheme="minorHAnsi" w:cstheme="minorHAnsi"/>
                <w:sz w:val="16"/>
                <w:szCs w:val="16"/>
              </w:rPr>
              <w:t>problem gambler</w:t>
            </w:r>
          </w:p>
        </w:tc>
        <w:tc>
          <w:tcPr>
            <w:tcW w:w="1803" w:type="dxa"/>
            <w:gridSpan w:val="2"/>
            <w:tcBorders>
              <w:top w:val="nil"/>
              <w:bottom w:val="single" w:sz="4" w:space="0" w:color="auto"/>
            </w:tcBorders>
            <w:shd w:val="clear" w:color="auto" w:fill="DAEEF3" w:themeFill="accent5" w:themeFillTint="33"/>
            <w:vAlign w:val="center"/>
          </w:tcPr>
          <w:p w14:paraId="40F5506E" w14:textId="77777777" w:rsidR="003072C2" w:rsidRDefault="003072C2" w:rsidP="003072C2">
            <w:pPr>
              <w:jc w:val="center"/>
            </w:pPr>
            <w:r w:rsidRPr="00007B61">
              <w:rPr>
                <w:rFonts w:asciiTheme="minorHAnsi" w:hAnsiTheme="minorHAnsi"/>
                <w:bCs/>
                <w:color w:val="000000"/>
                <w:sz w:val="16"/>
                <w:szCs w:val="16"/>
              </w:rPr>
              <w:t>Not available</w:t>
            </w:r>
          </w:p>
        </w:tc>
        <w:tc>
          <w:tcPr>
            <w:tcW w:w="720" w:type="dxa"/>
            <w:tcBorders>
              <w:top w:val="nil"/>
              <w:left w:val="nil"/>
              <w:bottom w:val="single" w:sz="4" w:space="0" w:color="auto"/>
              <w:right w:val="nil"/>
            </w:tcBorders>
            <w:shd w:val="clear" w:color="auto" w:fill="DAEEF3" w:themeFill="accent5" w:themeFillTint="33"/>
            <w:vAlign w:val="center"/>
          </w:tcPr>
          <w:p w14:paraId="1E1B5C23" w14:textId="77777777" w:rsidR="003072C2" w:rsidRPr="00AF3A24" w:rsidRDefault="003072C2" w:rsidP="005D0844">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73</w:t>
            </w:r>
          </w:p>
        </w:tc>
        <w:tc>
          <w:tcPr>
            <w:tcW w:w="1080" w:type="dxa"/>
            <w:tcBorders>
              <w:top w:val="nil"/>
              <w:left w:val="nil"/>
              <w:bottom w:val="single" w:sz="4" w:space="0" w:color="auto"/>
              <w:right w:val="single" w:sz="4" w:space="0" w:color="auto"/>
            </w:tcBorders>
            <w:shd w:val="clear" w:color="auto" w:fill="DAEEF3" w:themeFill="accent5" w:themeFillTint="33"/>
            <w:vAlign w:val="bottom"/>
          </w:tcPr>
          <w:p w14:paraId="1AAA6BD5"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1.3</w:t>
            </w:r>
          </w:p>
          <w:p w14:paraId="16F777F0"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(0.7 </w:t>
            </w:r>
            <w:r w:rsidRPr="00AF3A24">
              <w:rPr>
                <w:rFonts w:asciiTheme="minorHAnsi" w:hAnsiTheme="minorHAnsi"/>
                <w:bCs/>
                <w:color w:val="000000"/>
                <w:sz w:val="16"/>
                <w:szCs w:val="16"/>
              </w:rPr>
              <w:t>-</w:t>
            </w:r>
            <w:r>
              <w:rPr>
                <w:rFonts w:asciiTheme="minorHAnsi" w:hAnsiTheme="minorHAnsi"/>
                <w:bCs/>
                <w:color w:val="000000"/>
                <w:sz w:val="16"/>
                <w:szCs w:val="16"/>
              </w:rPr>
              <w:t xml:space="preserve"> 1.9)</w:t>
            </w:r>
          </w:p>
        </w:tc>
        <w:tc>
          <w:tcPr>
            <w:tcW w:w="720" w:type="dxa"/>
            <w:tcBorders>
              <w:top w:val="nil"/>
              <w:left w:val="nil"/>
              <w:bottom w:val="single" w:sz="4" w:space="0" w:color="auto"/>
              <w:right w:val="nil"/>
            </w:tcBorders>
            <w:shd w:val="clear" w:color="auto" w:fill="DAEEF3" w:themeFill="accent5" w:themeFillTint="33"/>
            <w:vAlign w:val="center"/>
          </w:tcPr>
          <w:p w14:paraId="2EC0F673"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62</w:t>
            </w:r>
          </w:p>
        </w:tc>
        <w:tc>
          <w:tcPr>
            <w:tcW w:w="1080" w:type="dxa"/>
            <w:tcBorders>
              <w:top w:val="nil"/>
              <w:left w:val="nil"/>
              <w:bottom w:val="single" w:sz="4" w:space="0" w:color="auto"/>
              <w:right w:val="single" w:sz="4" w:space="0" w:color="auto"/>
            </w:tcBorders>
            <w:shd w:val="clear" w:color="auto" w:fill="DAEEF3" w:themeFill="accent5" w:themeFillTint="33"/>
            <w:vAlign w:val="bottom"/>
          </w:tcPr>
          <w:p w14:paraId="3BBB5F76" w14:textId="77777777" w:rsidR="003072C2" w:rsidRDefault="003072C2" w:rsidP="000154BA">
            <w:pPr>
              <w:spacing w:before="0" w:line="240" w:lineRule="auto"/>
              <w:jc w:val="center"/>
              <w:rPr>
                <w:rFonts w:asciiTheme="minorHAnsi" w:hAnsiTheme="minorHAnsi"/>
                <w:bCs/>
                <w:color w:val="000000"/>
                <w:sz w:val="16"/>
                <w:szCs w:val="16"/>
              </w:rPr>
            </w:pPr>
            <w:r w:rsidRPr="000154BA">
              <w:rPr>
                <w:rFonts w:asciiTheme="minorHAnsi" w:hAnsiTheme="minorHAnsi"/>
                <w:bCs/>
                <w:color w:val="000000"/>
                <w:sz w:val="16"/>
                <w:szCs w:val="16"/>
              </w:rPr>
              <w:t>0.7</w:t>
            </w:r>
          </w:p>
          <w:p w14:paraId="1E4A08DC" w14:textId="77777777" w:rsidR="003072C2" w:rsidRPr="000154BA" w:rsidRDefault="003072C2" w:rsidP="000154BA">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(0.5 </w:t>
            </w:r>
            <w:r w:rsidRPr="00AF3A24">
              <w:rPr>
                <w:rFonts w:asciiTheme="minorHAnsi" w:hAnsiTheme="minorHAnsi"/>
                <w:bCs/>
                <w:color w:val="000000"/>
                <w:sz w:val="16"/>
                <w:szCs w:val="16"/>
              </w:rPr>
              <w:t>-</w:t>
            </w:r>
            <w:r>
              <w:rPr>
                <w:rFonts w:asciiTheme="minorHAnsi" w:hAnsiTheme="minorHAnsi"/>
                <w:bCs/>
                <w:color w:val="000000"/>
                <w:sz w:val="16"/>
                <w:szCs w:val="16"/>
              </w:rPr>
              <w:t xml:space="preserve"> 1.0)</w:t>
            </w:r>
          </w:p>
        </w:tc>
        <w:tc>
          <w:tcPr>
            <w:tcW w:w="894" w:type="dxa"/>
            <w:vMerge/>
            <w:tcBorders>
              <w:left w:val="nil"/>
              <w:right w:val="single" w:sz="4" w:space="0" w:color="auto"/>
            </w:tcBorders>
            <w:shd w:val="clear" w:color="auto" w:fill="DAEEF3" w:themeFill="accent5" w:themeFillTint="33"/>
            <w:vAlign w:val="center"/>
          </w:tcPr>
          <w:p w14:paraId="1942B558" w14:textId="77777777" w:rsidR="003072C2" w:rsidRPr="00AF3A24" w:rsidRDefault="003072C2" w:rsidP="005D0844">
            <w:pPr>
              <w:spacing w:before="0" w:line="240" w:lineRule="auto"/>
              <w:jc w:val="center"/>
              <w:rPr>
                <w:rFonts w:asciiTheme="minorHAnsi" w:hAnsiTheme="minorHAnsi"/>
                <w:b/>
                <w:bCs/>
                <w:color w:val="000000"/>
                <w:sz w:val="16"/>
                <w:szCs w:val="16"/>
              </w:rPr>
            </w:pPr>
          </w:p>
        </w:tc>
      </w:tr>
    </w:tbl>
    <w:p w14:paraId="6B9FF66E" w14:textId="77777777" w:rsidR="00357E6E" w:rsidRPr="00AF3A24" w:rsidRDefault="00357E6E" w:rsidP="00357E6E">
      <w:pPr>
        <w:spacing w:before="0" w:line="240" w:lineRule="auto"/>
        <w:ind w:left="709"/>
        <w:rPr>
          <w:rFonts w:asciiTheme="minorHAnsi" w:hAnsiTheme="minorHAnsi" w:cstheme="minorHAnsi"/>
          <w:sz w:val="16"/>
          <w:szCs w:val="16"/>
        </w:rPr>
      </w:pPr>
      <w:r w:rsidRPr="00AF3A24">
        <w:rPr>
          <w:rFonts w:asciiTheme="minorHAnsi" w:hAnsiTheme="minorHAnsi" w:cstheme="minorHAnsi"/>
          <w:sz w:val="16"/>
          <w:szCs w:val="16"/>
        </w:rPr>
        <w:t>Notes:</w:t>
      </w:r>
    </w:p>
    <w:p w14:paraId="72BDB871" w14:textId="1B842493" w:rsidR="00357E6E" w:rsidRPr="00AF3A24" w:rsidRDefault="00357E6E" w:rsidP="004F129A">
      <w:pPr>
        <w:pStyle w:val="ListParagraph"/>
        <w:numPr>
          <w:ilvl w:val="0"/>
          <w:numId w:val="101"/>
        </w:numPr>
        <w:spacing w:line="240" w:lineRule="auto"/>
        <w:ind w:left="993" w:hanging="284"/>
        <w:rPr>
          <w:rFonts w:asciiTheme="minorHAnsi" w:hAnsiTheme="minorHAnsi" w:cstheme="minorHAnsi"/>
          <w:sz w:val="16"/>
          <w:szCs w:val="16"/>
        </w:rPr>
      </w:pPr>
      <w:r w:rsidRPr="00AF3A24">
        <w:rPr>
          <w:rFonts w:asciiTheme="minorHAnsi" w:hAnsiTheme="minorHAnsi" w:cstheme="minorHAnsi"/>
          <w:sz w:val="16"/>
          <w:szCs w:val="16"/>
        </w:rPr>
        <w:t xml:space="preserve">Sources: 2002/03, 2006/07 and 2011/12 New Zealand Health Surveys. </w:t>
      </w:r>
      <w:r>
        <w:rPr>
          <w:rFonts w:asciiTheme="minorHAnsi" w:hAnsiTheme="minorHAnsi" w:cstheme="minorHAnsi"/>
          <w:sz w:val="16"/>
          <w:szCs w:val="16"/>
        </w:rPr>
        <w:t xml:space="preserve">NB: Percentages and 95% confidence intervals have been age-standardised in accordance with World Health Organisation (WHO) age population distributions </w:t>
      </w:r>
      <w:r>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Pr>
          <w:rFonts w:asciiTheme="minorHAnsi" w:hAnsiTheme="minorHAnsi" w:cstheme="minorHAnsi"/>
          <w:sz w:val="16"/>
          <w:szCs w:val="16"/>
        </w:rPr>
        <w:fldChar w:fldCharType="separate"/>
      </w:r>
      <w:r>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Pr>
          <w:rFonts w:asciiTheme="minorHAnsi" w:hAnsiTheme="minorHAnsi" w:cstheme="minorHAnsi"/>
          <w:noProof/>
          <w:sz w:val="16"/>
          <w:szCs w:val="16"/>
        </w:rPr>
        <w:t>)</w:t>
      </w:r>
      <w:r>
        <w:rPr>
          <w:rFonts w:asciiTheme="minorHAnsi" w:hAnsiTheme="minorHAnsi" w:cstheme="minorHAnsi"/>
          <w:sz w:val="16"/>
          <w:szCs w:val="16"/>
        </w:rPr>
        <w:fldChar w:fldCharType="end"/>
      </w:r>
      <w:r>
        <w:rPr>
          <w:rFonts w:asciiTheme="minorHAnsi" w:hAnsiTheme="minorHAnsi" w:cstheme="minorHAnsi"/>
          <w:sz w:val="16"/>
          <w:szCs w:val="16"/>
        </w:rPr>
        <w:t>. As such, the results presented here differ slightly to those presented earlier in</w:t>
      </w:r>
      <w:r w:rsidR="00DC770D">
        <w:rPr>
          <w:rFonts w:asciiTheme="minorHAnsi" w:hAnsiTheme="minorHAnsi" w:cstheme="minorHAnsi"/>
          <w:sz w:val="16"/>
          <w:szCs w:val="16"/>
        </w:rPr>
        <w:t xml:space="preserve"> Table 7</w:t>
      </w:r>
      <w:r>
        <w:rPr>
          <w:rFonts w:asciiTheme="minorHAnsi" w:hAnsiTheme="minorHAnsi" w:cstheme="minorHAnsi"/>
          <w:sz w:val="16"/>
          <w:szCs w:val="16"/>
        </w:rPr>
        <w:t xml:space="preserve">. </w:t>
      </w:r>
    </w:p>
    <w:p w14:paraId="7359C933" w14:textId="77777777" w:rsidR="00357E6E" w:rsidRDefault="00357E6E" w:rsidP="004F129A">
      <w:pPr>
        <w:pStyle w:val="ListParagraph"/>
        <w:numPr>
          <w:ilvl w:val="0"/>
          <w:numId w:val="101"/>
        </w:numPr>
        <w:spacing w:after="200" w:line="240" w:lineRule="auto"/>
        <w:ind w:left="993" w:hanging="284"/>
        <w:jc w:val="left"/>
        <w:rPr>
          <w:rFonts w:asciiTheme="minorHAnsi" w:hAnsiTheme="minorHAnsi" w:cstheme="minorHAnsi"/>
          <w:sz w:val="16"/>
        </w:rPr>
      </w:pPr>
      <w:r w:rsidRPr="00AF3A24">
        <w:rPr>
          <w:rFonts w:asciiTheme="minorHAnsi" w:hAnsiTheme="minorHAnsi" w:cstheme="minorHAnsi"/>
          <w:sz w:val="16"/>
        </w:rPr>
        <w:t>Logistic regression analys</w:t>
      </w:r>
      <w:r w:rsidR="00AC1D66">
        <w:rPr>
          <w:rFonts w:asciiTheme="minorHAnsi" w:hAnsiTheme="minorHAnsi" w:cstheme="minorHAnsi"/>
          <w:sz w:val="16"/>
        </w:rPr>
        <w:t>i</w:t>
      </w:r>
      <w:r w:rsidRPr="00AF3A24">
        <w:rPr>
          <w:rFonts w:asciiTheme="minorHAnsi" w:hAnsiTheme="minorHAnsi" w:cstheme="minorHAnsi"/>
          <w:sz w:val="16"/>
        </w:rPr>
        <w:t>s ha</w:t>
      </w:r>
      <w:r w:rsidR="00AC1D66">
        <w:rPr>
          <w:rFonts w:asciiTheme="minorHAnsi" w:hAnsiTheme="minorHAnsi" w:cstheme="minorHAnsi"/>
          <w:sz w:val="16"/>
        </w:rPr>
        <w:t>s</w:t>
      </w:r>
      <w:r w:rsidRPr="00AF3A24">
        <w:rPr>
          <w:rFonts w:asciiTheme="minorHAnsi" w:hAnsiTheme="minorHAnsi" w:cstheme="minorHAnsi"/>
          <w:sz w:val="16"/>
        </w:rPr>
        <w:t xml:space="preserve"> controlled for gender, age, neighbourhood deprivation, and geography (urban/rural).</w:t>
      </w:r>
    </w:p>
    <w:p w14:paraId="568896FF" w14:textId="77777777" w:rsidR="00A63D1D" w:rsidRPr="0072417E" w:rsidRDefault="00A63D1D" w:rsidP="0072417E">
      <w:pPr>
        <w:sectPr w:rsidR="00A63D1D" w:rsidRPr="0072417E" w:rsidSect="003A39BC">
          <w:pgSz w:w="12240" w:h="15840"/>
          <w:pgMar w:top="1440" w:right="993" w:bottom="1381" w:left="1276" w:header="720" w:footer="339" w:gutter="0"/>
          <w:cols w:space="720"/>
          <w:docGrid w:linePitch="360"/>
        </w:sectPr>
      </w:pPr>
    </w:p>
    <w:p w14:paraId="51159D03" w14:textId="77777777" w:rsidR="00274F16" w:rsidRPr="00FB0B7B" w:rsidRDefault="00C55DC0" w:rsidP="008F7A58">
      <w:pPr>
        <w:pStyle w:val="FionasAppendixtitles"/>
        <w:ind w:left="1134"/>
      </w:pPr>
      <w:bookmarkStart w:id="298" w:name="_Ref398027669"/>
      <w:bookmarkStart w:id="299" w:name="_Toc403833218"/>
      <w:r>
        <w:lastRenderedPageBreak/>
        <w:t>Socio-demographics</w:t>
      </w:r>
      <w:r w:rsidR="00C54BD6" w:rsidRPr="00FB0B7B">
        <w:t xml:space="preserve"> </w:t>
      </w:r>
      <w:r w:rsidR="00274F16" w:rsidRPr="00FB0B7B">
        <w:t>and gambling</w:t>
      </w:r>
      <w:bookmarkEnd w:id="298"/>
      <w:bookmarkEnd w:id="299"/>
    </w:p>
    <w:p w14:paraId="453556E7" w14:textId="71DF6263" w:rsidR="00C54BD6" w:rsidRPr="00AF3A24" w:rsidRDefault="00C54BD6" w:rsidP="00C54BD6">
      <w:pPr>
        <w:pStyle w:val="Caption"/>
        <w:keepNext/>
        <w:spacing w:line="276" w:lineRule="auto"/>
        <w:ind w:left="993" w:hanging="993"/>
        <w:rPr>
          <w:rFonts w:asciiTheme="minorHAnsi" w:hAnsiTheme="minorHAnsi" w:cstheme="minorHAnsi"/>
          <w:i/>
          <w:vertAlign w:val="superscript"/>
        </w:rPr>
      </w:pPr>
      <w:bookmarkStart w:id="300" w:name="_Ref397512233"/>
      <w:bookmarkStart w:id="301" w:name="_Toc425426893"/>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26</w:t>
      </w:r>
      <w:r w:rsidRPr="00AF3A24">
        <w:rPr>
          <w:rFonts w:asciiTheme="minorHAnsi" w:hAnsiTheme="minorHAnsi"/>
          <w:i/>
        </w:rPr>
        <w:fldChar w:fldCharType="end"/>
      </w:r>
      <w:bookmarkEnd w:id="300"/>
      <w:r w:rsidRPr="00AF3A24">
        <w:rPr>
          <w:rFonts w:asciiTheme="minorHAnsi" w:hAnsiTheme="minorHAnsi"/>
          <w:i/>
        </w:rPr>
        <w:t>:</w:t>
      </w:r>
      <w:r w:rsidRPr="00AF3A24">
        <w:rPr>
          <w:rFonts w:asciiTheme="minorHAnsi" w:hAnsiTheme="minorHAnsi" w:cstheme="minorHAnsi"/>
          <w:i/>
        </w:rPr>
        <w:tab/>
      </w:r>
      <w:r w:rsidR="00C55DC0">
        <w:rPr>
          <w:rFonts w:asciiTheme="minorHAnsi" w:hAnsiTheme="minorHAnsi" w:cstheme="minorHAnsi"/>
          <w:i/>
        </w:rPr>
        <w:t>Socio-demographics</w:t>
      </w:r>
      <w:r w:rsidRPr="00AF3A24">
        <w:rPr>
          <w:rFonts w:asciiTheme="minorHAnsi" w:hAnsiTheme="minorHAnsi" w:cstheme="minorHAnsi"/>
          <w:i/>
        </w:rPr>
        <w:t xml:space="preserve"> and gambling status (PGSI categorisation)</w:t>
      </w:r>
      <w:r w:rsidR="005B0859">
        <w:rPr>
          <w:rFonts w:asciiTheme="minorHAnsi" w:hAnsiTheme="minorHAnsi" w:cstheme="minorHAnsi"/>
          <w:i/>
        </w:rPr>
        <w:t>, total population aged 15 years and over</w:t>
      </w:r>
      <w:r w:rsidRPr="00AF3A24">
        <w:rPr>
          <w:rFonts w:asciiTheme="minorHAnsi" w:hAnsiTheme="minorHAnsi" w:cstheme="minorHAnsi"/>
          <w:i/>
        </w:rPr>
        <w:t xml:space="preserve"> (unadjusted prevalence) </w:t>
      </w:r>
      <w:r w:rsidRPr="00AF3A24">
        <w:rPr>
          <w:rFonts w:asciiTheme="minorHAnsi" w:hAnsiTheme="minorHAnsi" w:cstheme="minorHAnsi"/>
          <w:i/>
          <w:vertAlign w:val="superscript"/>
        </w:rPr>
        <w:t>1</w:t>
      </w:r>
      <w:bookmarkEnd w:id="301"/>
    </w:p>
    <w:tbl>
      <w:tblPr>
        <w:tblStyle w:val="TableGrid"/>
        <w:tblW w:w="12896" w:type="dxa"/>
        <w:jc w:val="center"/>
        <w:tblLayout w:type="fixed"/>
        <w:tblLook w:val="04A0" w:firstRow="1" w:lastRow="0" w:firstColumn="1" w:lastColumn="0" w:noHBand="0" w:noVBand="1"/>
      </w:tblPr>
      <w:tblGrid>
        <w:gridCol w:w="3062"/>
        <w:gridCol w:w="895"/>
        <w:gridCol w:w="1080"/>
        <w:gridCol w:w="839"/>
        <w:gridCol w:w="1080"/>
        <w:gridCol w:w="900"/>
        <w:gridCol w:w="1080"/>
        <w:gridCol w:w="900"/>
        <w:gridCol w:w="1080"/>
        <w:gridCol w:w="900"/>
        <w:gridCol w:w="1080"/>
      </w:tblGrid>
      <w:tr w:rsidR="00C54BD6" w:rsidRPr="00AF3A24" w14:paraId="715D27CC" w14:textId="77777777" w:rsidTr="00A310A6">
        <w:trPr>
          <w:trHeight w:val="386"/>
          <w:jc w:val="center"/>
        </w:trPr>
        <w:tc>
          <w:tcPr>
            <w:tcW w:w="3062" w:type="dxa"/>
            <w:vMerge w:val="restart"/>
            <w:shd w:val="clear" w:color="auto" w:fill="92CDDC" w:themeFill="accent5" w:themeFillTint="99"/>
            <w:vAlign w:val="center"/>
          </w:tcPr>
          <w:p w14:paraId="2A53BB74" w14:textId="77777777" w:rsidR="00C54BD6" w:rsidRPr="00AF3A24" w:rsidRDefault="00C54BD6"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VARIABLE</w:t>
            </w:r>
          </w:p>
        </w:tc>
        <w:tc>
          <w:tcPr>
            <w:tcW w:w="1975" w:type="dxa"/>
            <w:gridSpan w:val="2"/>
            <w:vMerge w:val="restart"/>
            <w:shd w:val="clear" w:color="auto" w:fill="92CDDC" w:themeFill="accent5" w:themeFillTint="99"/>
            <w:vAlign w:val="center"/>
          </w:tcPr>
          <w:p w14:paraId="694B1B51"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TOTAL ADULT POPULATION</w:t>
            </w:r>
          </w:p>
        </w:tc>
        <w:tc>
          <w:tcPr>
            <w:tcW w:w="7859" w:type="dxa"/>
            <w:gridSpan w:val="8"/>
            <w:tcBorders>
              <w:bottom w:val="single" w:sz="4" w:space="0" w:color="auto"/>
            </w:tcBorders>
            <w:shd w:val="clear" w:color="auto" w:fill="92CDDC" w:themeFill="accent5" w:themeFillTint="99"/>
            <w:vAlign w:val="center"/>
          </w:tcPr>
          <w:p w14:paraId="0163EBE4"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r>
      <w:tr w:rsidR="00C54BD6" w:rsidRPr="00AF3A24" w14:paraId="40D8EC5F" w14:textId="77777777" w:rsidTr="00A310A6">
        <w:trPr>
          <w:trHeight w:val="435"/>
          <w:jc w:val="center"/>
        </w:trPr>
        <w:tc>
          <w:tcPr>
            <w:tcW w:w="3062" w:type="dxa"/>
            <w:vMerge/>
            <w:shd w:val="clear" w:color="auto" w:fill="92CDDC" w:themeFill="accent5" w:themeFillTint="99"/>
            <w:vAlign w:val="center"/>
          </w:tcPr>
          <w:p w14:paraId="1DCCB021" w14:textId="77777777" w:rsidR="00C54BD6" w:rsidRPr="00AF3A24" w:rsidRDefault="00C54BD6" w:rsidP="00A310A6">
            <w:pPr>
              <w:spacing w:before="0" w:line="240" w:lineRule="auto"/>
              <w:jc w:val="left"/>
              <w:rPr>
                <w:rFonts w:asciiTheme="minorHAnsi" w:hAnsiTheme="minorHAnsi" w:cstheme="minorHAnsi"/>
                <w:b/>
                <w:sz w:val="18"/>
                <w:szCs w:val="18"/>
              </w:rPr>
            </w:pPr>
          </w:p>
        </w:tc>
        <w:tc>
          <w:tcPr>
            <w:tcW w:w="1975" w:type="dxa"/>
            <w:gridSpan w:val="2"/>
            <w:vMerge/>
            <w:tcBorders>
              <w:bottom w:val="single" w:sz="4" w:space="0" w:color="auto"/>
            </w:tcBorders>
            <w:shd w:val="clear" w:color="auto" w:fill="92CDDC" w:themeFill="accent5" w:themeFillTint="99"/>
          </w:tcPr>
          <w:p w14:paraId="508D9A1C" w14:textId="77777777" w:rsidR="00C54BD6" w:rsidRPr="00AF3A24" w:rsidRDefault="00C54BD6" w:rsidP="00A310A6">
            <w:pPr>
              <w:spacing w:before="0" w:line="240" w:lineRule="auto"/>
              <w:jc w:val="center"/>
              <w:rPr>
                <w:rFonts w:asciiTheme="minorHAnsi" w:hAnsiTheme="minorHAnsi" w:cstheme="minorHAnsi"/>
                <w:b/>
                <w:sz w:val="18"/>
                <w:szCs w:val="18"/>
              </w:rPr>
            </w:pPr>
          </w:p>
        </w:tc>
        <w:tc>
          <w:tcPr>
            <w:tcW w:w="1919" w:type="dxa"/>
            <w:gridSpan w:val="2"/>
            <w:tcBorders>
              <w:bottom w:val="single" w:sz="4" w:space="0" w:color="auto"/>
            </w:tcBorders>
            <w:shd w:val="clear" w:color="auto" w:fill="92CDDC" w:themeFill="accent5" w:themeFillTint="99"/>
            <w:vAlign w:val="center"/>
          </w:tcPr>
          <w:p w14:paraId="635DFFE2"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Non-gambler</w:t>
            </w:r>
          </w:p>
        </w:tc>
        <w:tc>
          <w:tcPr>
            <w:tcW w:w="1980" w:type="dxa"/>
            <w:gridSpan w:val="2"/>
            <w:tcBorders>
              <w:bottom w:val="single" w:sz="4" w:space="0" w:color="auto"/>
            </w:tcBorders>
            <w:shd w:val="clear" w:color="auto" w:fill="92CDDC" w:themeFill="accent5" w:themeFillTint="99"/>
            <w:vAlign w:val="center"/>
          </w:tcPr>
          <w:p w14:paraId="282E6788"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Non-problem / </w:t>
            </w:r>
            <w:r w:rsidR="00847789">
              <w:rPr>
                <w:rFonts w:asciiTheme="minorHAnsi" w:hAnsiTheme="minorHAnsi" w:cstheme="minorHAnsi"/>
                <w:b/>
                <w:sz w:val="18"/>
                <w:szCs w:val="18"/>
              </w:rPr>
              <w:t>r</w:t>
            </w:r>
            <w:r w:rsidRPr="00AF3A24">
              <w:rPr>
                <w:rFonts w:asciiTheme="minorHAnsi" w:hAnsiTheme="minorHAnsi" w:cstheme="minorHAnsi"/>
                <w:b/>
                <w:sz w:val="18"/>
                <w:szCs w:val="18"/>
              </w:rPr>
              <w:t>ecreational</w:t>
            </w:r>
          </w:p>
        </w:tc>
        <w:tc>
          <w:tcPr>
            <w:tcW w:w="1980" w:type="dxa"/>
            <w:gridSpan w:val="2"/>
            <w:tcBorders>
              <w:bottom w:val="single" w:sz="4" w:space="0" w:color="auto"/>
            </w:tcBorders>
            <w:shd w:val="clear" w:color="auto" w:fill="92CDDC" w:themeFill="accent5" w:themeFillTint="99"/>
            <w:vAlign w:val="center"/>
          </w:tcPr>
          <w:p w14:paraId="17468B80"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Low-risk</w:t>
            </w:r>
          </w:p>
        </w:tc>
        <w:tc>
          <w:tcPr>
            <w:tcW w:w="1980" w:type="dxa"/>
            <w:gridSpan w:val="2"/>
            <w:tcBorders>
              <w:bottom w:val="single" w:sz="4" w:space="0" w:color="auto"/>
            </w:tcBorders>
            <w:shd w:val="clear" w:color="auto" w:fill="92CDDC" w:themeFill="accent5" w:themeFillTint="99"/>
            <w:vAlign w:val="center"/>
          </w:tcPr>
          <w:p w14:paraId="08625EBB" w14:textId="77777777" w:rsidR="00C54BD6" w:rsidRPr="00AF3A24" w:rsidRDefault="00C54BD6" w:rsidP="0019754F">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19754F" w:rsidRPr="00AF3A24">
              <w:rPr>
                <w:rFonts w:asciiTheme="minorHAnsi" w:hAnsiTheme="minorHAnsi" w:cstheme="minorHAnsi"/>
                <w:b/>
                <w:sz w:val="18"/>
                <w:szCs w:val="18"/>
              </w:rPr>
              <w:t xml:space="preserve">Moderate-risk </w:t>
            </w:r>
            <w:r w:rsidR="0019754F">
              <w:rPr>
                <w:rFonts w:asciiTheme="minorHAnsi" w:hAnsiTheme="minorHAnsi" w:cstheme="minorHAnsi"/>
                <w:b/>
                <w:sz w:val="18"/>
                <w:szCs w:val="18"/>
              </w:rPr>
              <w:t>and Problem</w:t>
            </w:r>
            <w:r w:rsidRPr="00AF3A24">
              <w:rPr>
                <w:rFonts w:asciiTheme="minorHAnsi" w:hAnsiTheme="minorHAnsi" w:cstheme="minorHAnsi"/>
                <w:b/>
                <w:sz w:val="18"/>
                <w:szCs w:val="18"/>
              </w:rPr>
              <w:t xml:space="preserve"> </w:t>
            </w:r>
            <w:r w:rsidRPr="00AF3A24">
              <w:rPr>
                <w:rFonts w:asciiTheme="minorHAnsi" w:hAnsiTheme="minorHAnsi" w:cstheme="minorHAnsi"/>
                <w:b/>
                <w:sz w:val="18"/>
                <w:szCs w:val="18"/>
                <w:vertAlign w:val="superscript"/>
              </w:rPr>
              <w:t>2</w:t>
            </w:r>
          </w:p>
        </w:tc>
      </w:tr>
      <w:tr w:rsidR="00C54BD6" w:rsidRPr="00AF3A24" w14:paraId="57E1588D" w14:textId="77777777" w:rsidTr="00A310A6">
        <w:trPr>
          <w:trHeight w:val="386"/>
          <w:jc w:val="center"/>
        </w:trPr>
        <w:tc>
          <w:tcPr>
            <w:tcW w:w="3062" w:type="dxa"/>
            <w:vMerge/>
            <w:tcBorders>
              <w:bottom w:val="single" w:sz="4" w:space="0" w:color="auto"/>
            </w:tcBorders>
            <w:shd w:val="clear" w:color="auto" w:fill="92CDDC" w:themeFill="accent5" w:themeFillTint="99"/>
          </w:tcPr>
          <w:p w14:paraId="5CF0DA71" w14:textId="77777777" w:rsidR="00C54BD6" w:rsidRPr="00AF3A24" w:rsidRDefault="00C54BD6" w:rsidP="00A310A6">
            <w:pPr>
              <w:spacing w:before="0" w:line="240" w:lineRule="auto"/>
              <w:jc w:val="left"/>
              <w:rPr>
                <w:rFonts w:asciiTheme="minorHAnsi" w:hAnsiTheme="minorHAnsi" w:cstheme="minorHAnsi"/>
                <w:b/>
                <w:sz w:val="18"/>
                <w:szCs w:val="18"/>
              </w:rPr>
            </w:pPr>
          </w:p>
        </w:tc>
        <w:tc>
          <w:tcPr>
            <w:tcW w:w="895" w:type="dxa"/>
            <w:tcBorders>
              <w:bottom w:val="single" w:sz="4" w:space="0" w:color="auto"/>
            </w:tcBorders>
            <w:shd w:val="clear" w:color="auto" w:fill="92CDDC" w:themeFill="accent5" w:themeFillTint="99"/>
            <w:vAlign w:val="center"/>
          </w:tcPr>
          <w:p w14:paraId="1EF90A67"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5310D3BB"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7977D42"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839" w:type="dxa"/>
            <w:tcBorders>
              <w:bottom w:val="single" w:sz="4" w:space="0" w:color="auto"/>
            </w:tcBorders>
            <w:shd w:val="clear" w:color="auto" w:fill="92CDDC" w:themeFill="accent5" w:themeFillTint="99"/>
            <w:vAlign w:val="center"/>
          </w:tcPr>
          <w:p w14:paraId="19AD1C07"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21190439"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7C3C3B7"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0C38287D"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6175F131"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4B2BDF8"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582E8C6A"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0CCD96A0"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61842FA"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2BCE5C45"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26B688AD"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3A624DF"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C54BD6" w:rsidRPr="00AF3A24" w14:paraId="07E89A7B"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7B0EF562" w14:textId="77777777" w:rsidR="00C54BD6" w:rsidRPr="00AF3A24" w:rsidRDefault="00C54BD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HIGHEST LEVEL OF EDUCATION (N=12,536):</w:t>
            </w:r>
          </w:p>
        </w:tc>
      </w:tr>
      <w:tr w:rsidR="00C54BD6" w:rsidRPr="00AF3A24" w14:paraId="72EFCA23" w14:textId="77777777" w:rsidTr="00A310A6">
        <w:trPr>
          <w:jc w:val="center"/>
        </w:trPr>
        <w:tc>
          <w:tcPr>
            <w:tcW w:w="3062" w:type="dxa"/>
            <w:tcBorders>
              <w:top w:val="single" w:sz="4" w:space="0" w:color="auto"/>
              <w:bottom w:val="single" w:sz="8" w:space="0" w:color="auto"/>
              <w:right w:val="single" w:sz="4" w:space="0" w:color="auto"/>
            </w:tcBorders>
            <w:shd w:val="clear" w:color="auto" w:fill="DAEEF3" w:themeFill="accent5" w:themeFillTint="33"/>
            <w:vAlign w:val="center"/>
          </w:tcPr>
          <w:p w14:paraId="017B0720"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No secondary school qualifications</w:t>
            </w:r>
          </w:p>
        </w:tc>
        <w:tc>
          <w:tcPr>
            <w:tcW w:w="895" w:type="dxa"/>
            <w:tcBorders>
              <w:top w:val="single" w:sz="4" w:space="0" w:color="auto"/>
              <w:bottom w:val="single" w:sz="8" w:space="0" w:color="auto"/>
              <w:right w:val="nil"/>
            </w:tcBorders>
            <w:shd w:val="clear" w:color="auto" w:fill="DAEEF3" w:themeFill="accent5" w:themeFillTint="33"/>
            <w:vAlign w:val="center"/>
          </w:tcPr>
          <w:p w14:paraId="67CD1111"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2,653</w:t>
            </w:r>
          </w:p>
        </w:tc>
        <w:tc>
          <w:tcPr>
            <w:tcW w:w="1080" w:type="dxa"/>
            <w:tcBorders>
              <w:top w:val="single" w:sz="4" w:space="0" w:color="auto"/>
              <w:left w:val="nil"/>
              <w:bottom w:val="single" w:sz="8" w:space="0" w:color="auto"/>
              <w:right w:val="single" w:sz="4" w:space="0" w:color="auto"/>
            </w:tcBorders>
            <w:shd w:val="clear" w:color="auto" w:fill="DAEEF3" w:themeFill="accent5" w:themeFillTint="33"/>
            <w:vAlign w:val="center"/>
          </w:tcPr>
          <w:p w14:paraId="4114AD17"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17.1</w:t>
            </w:r>
            <w:r w:rsidRPr="00AF3A24">
              <w:rPr>
                <w:rFonts w:asciiTheme="minorHAnsi" w:hAnsiTheme="minorHAnsi"/>
                <w:b/>
                <w:bCs/>
                <w:color w:val="000000"/>
                <w:sz w:val="16"/>
                <w:szCs w:val="18"/>
              </w:rPr>
              <w:br/>
              <w:t>(16.1 - 18.1)</w:t>
            </w:r>
          </w:p>
        </w:tc>
        <w:tc>
          <w:tcPr>
            <w:tcW w:w="839" w:type="dxa"/>
            <w:tcBorders>
              <w:top w:val="single" w:sz="4" w:space="0" w:color="auto"/>
              <w:left w:val="single" w:sz="4" w:space="0" w:color="auto"/>
              <w:bottom w:val="single" w:sz="8" w:space="0" w:color="auto"/>
              <w:right w:val="nil"/>
            </w:tcBorders>
            <w:shd w:val="clear" w:color="auto" w:fill="DAEEF3" w:themeFill="accent5" w:themeFillTint="33"/>
            <w:vAlign w:val="center"/>
          </w:tcPr>
          <w:p w14:paraId="51413095"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w:t>
            </w:r>
            <w:r>
              <w:rPr>
                <w:rFonts w:asciiTheme="minorHAnsi" w:hAnsiTheme="minorHAnsi"/>
                <w:bCs/>
                <w:color w:val="000000"/>
                <w:sz w:val="16"/>
                <w:szCs w:val="16"/>
              </w:rPr>
              <w:t>,</w:t>
            </w:r>
            <w:r w:rsidRPr="00B06593">
              <w:rPr>
                <w:rFonts w:asciiTheme="minorHAnsi" w:hAnsiTheme="minorHAnsi"/>
                <w:bCs/>
                <w:color w:val="000000"/>
                <w:sz w:val="16"/>
                <w:szCs w:val="16"/>
              </w:rPr>
              <w:t>361</w:t>
            </w:r>
          </w:p>
        </w:tc>
        <w:tc>
          <w:tcPr>
            <w:tcW w:w="1080" w:type="dxa"/>
            <w:tcBorders>
              <w:top w:val="single" w:sz="4" w:space="0" w:color="auto"/>
              <w:left w:val="nil"/>
              <w:bottom w:val="single" w:sz="8" w:space="0" w:color="auto"/>
              <w:right w:val="single" w:sz="4" w:space="0" w:color="auto"/>
            </w:tcBorders>
            <w:shd w:val="clear" w:color="auto" w:fill="DAEEF3" w:themeFill="accent5" w:themeFillTint="33"/>
            <w:vAlign w:val="center"/>
          </w:tcPr>
          <w:p w14:paraId="4CF1AD2E"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53.0</w:t>
            </w:r>
            <w:r w:rsidRPr="00B06593">
              <w:rPr>
                <w:rFonts w:asciiTheme="minorHAnsi" w:hAnsiTheme="minorHAnsi"/>
                <w:bCs/>
                <w:color w:val="000000"/>
                <w:sz w:val="16"/>
                <w:szCs w:val="16"/>
              </w:rPr>
              <w:br/>
              <w:t>(50.4 - 55.5)</w:t>
            </w:r>
          </w:p>
        </w:tc>
        <w:tc>
          <w:tcPr>
            <w:tcW w:w="900" w:type="dxa"/>
            <w:tcBorders>
              <w:top w:val="single" w:sz="4" w:space="0" w:color="auto"/>
              <w:left w:val="single" w:sz="4" w:space="0" w:color="auto"/>
              <w:bottom w:val="single" w:sz="8" w:space="0" w:color="auto"/>
              <w:right w:val="nil"/>
            </w:tcBorders>
            <w:shd w:val="clear" w:color="auto" w:fill="DAEEF3" w:themeFill="accent5" w:themeFillTint="33"/>
            <w:vAlign w:val="center"/>
          </w:tcPr>
          <w:p w14:paraId="6E8D8A83"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w:t>
            </w:r>
            <w:r>
              <w:rPr>
                <w:rFonts w:asciiTheme="minorHAnsi" w:hAnsiTheme="minorHAnsi"/>
                <w:bCs/>
                <w:color w:val="000000"/>
                <w:sz w:val="16"/>
                <w:szCs w:val="16"/>
              </w:rPr>
              <w:t>,</w:t>
            </w:r>
            <w:r w:rsidRPr="00B06593">
              <w:rPr>
                <w:rFonts w:asciiTheme="minorHAnsi" w:hAnsiTheme="minorHAnsi"/>
                <w:bCs/>
                <w:color w:val="000000"/>
                <w:sz w:val="16"/>
                <w:szCs w:val="16"/>
              </w:rPr>
              <w:t>161</w:t>
            </w:r>
          </w:p>
        </w:tc>
        <w:tc>
          <w:tcPr>
            <w:tcW w:w="1080" w:type="dxa"/>
            <w:tcBorders>
              <w:top w:val="single" w:sz="4" w:space="0" w:color="auto"/>
              <w:left w:val="nil"/>
              <w:bottom w:val="single" w:sz="8" w:space="0" w:color="auto"/>
              <w:right w:val="single" w:sz="4" w:space="0" w:color="auto"/>
            </w:tcBorders>
            <w:shd w:val="clear" w:color="auto" w:fill="DAEEF3" w:themeFill="accent5" w:themeFillTint="33"/>
            <w:vAlign w:val="center"/>
          </w:tcPr>
          <w:p w14:paraId="4707A466"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42.8</w:t>
            </w:r>
            <w:r w:rsidRPr="00B06593">
              <w:rPr>
                <w:rFonts w:asciiTheme="minorHAnsi" w:hAnsiTheme="minorHAnsi"/>
                <w:bCs/>
                <w:color w:val="000000"/>
                <w:sz w:val="16"/>
                <w:szCs w:val="16"/>
              </w:rPr>
              <w:br/>
              <w:t>(40.3 - 45.4)</w:t>
            </w:r>
          </w:p>
        </w:tc>
        <w:tc>
          <w:tcPr>
            <w:tcW w:w="900" w:type="dxa"/>
            <w:tcBorders>
              <w:top w:val="single" w:sz="4" w:space="0" w:color="auto"/>
              <w:left w:val="nil"/>
              <w:bottom w:val="single" w:sz="8" w:space="0" w:color="auto"/>
              <w:right w:val="nil"/>
            </w:tcBorders>
            <w:shd w:val="clear" w:color="auto" w:fill="DAEEF3" w:themeFill="accent5" w:themeFillTint="33"/>
            <w:vAlign w:val="center"/>
          </w:tcPr>
          <w:p w14:paraId="0B3AAA9C"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80</w:t>
            </w:r>
          </w:p>
        </w:tc>
        <w:tc>
          <w:tcPr>
            <w:tcW w:w="1080" w:type="dxa"/>
            <w:tcBorders>
              <w:top w:val="single" w:sz="4" w:space="0" w:color="auto"/>
              <w:left w:val="nil"/>
              <w:bottom w:val="single" w:sz="8" w:space="0" w:color="auto"/>
              <w:right w:val="single" w:sz="4" w:space="0" w:color="auto"/>
            </w:tcBorders>
            <w:shd w:val="clear" w:color="auto" w:fill="DAEEF3" w:themeFill="accent5" w:themeFillTint="33"/>
            <w:vAlign w:val="center"/>
          </w:tcPr>
          <w:p w14:paraId="64AFD612"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2.6</w:t>
            </w:r>
            <w:r w:rsidRPr="00B06593">
              <w:rPr>
                <w:rFonts w:asciiTheme="minorHAnsi" w:hAnsiTheme="minorHAnsi"/>
                <w:bCs/>
                <w:color w:val="000000"/>
                <w:sz w:val="16"/>
                <w:szCs w:val="16"/>
              </w:rPr>
              <w:br/>
              <w:t>(1.8 - 3.4)</w:t>
            </w:r>
          </w:p>
        </w:tc>
        <w:tc>
          <w:tcPr>
            <w:tcW w:w="900" w:type="dxa"/>
            <w:tcBorders>
              <w:top w:val="single" w:sz="4" w:space="0" w:color="auto"/>
              <w:left w:val="nil"/>
              <w:bottom w:val="single" w:sz="8" w:space="0" w:color="auto"/>
              <w:right w:val="nil"/>
            </w:tcBorders>
            <w:shd w:val="clear" w:color="auto" w:fill="DAEEF3" w:themeFill="accent5" w:themeFillTint="33"/>
            <w:vAlign w:val="center"/>
          </w:tcPr>
          <w:p w14:paraId="48B4619B"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49</w:t>
            </w:r>
          </w:p>
        </w:tc>
        <w:tc>
          <w:tcPr>
            <w:tcW w:w="1080" w:type="dxa"/>
            <w:tcBorders>
              <w:top w:val="single" w:sz="4" w:space="0" w:color="auto"/>
              <w:left w:val="nil"/>
              <w:bottom w:val="single" w:sz="8" w:space="0" w:color="auto"/>
              <w:right w:val="single" w:sz="4" w:space="0" w:color="auto"/>
            </w:tcBorders>
            <w:shd w:val="clear" w:color="auto" w:fill="DAEEF3" w:themeFill="accent5" w:themeFillTint="33"/>
            <w:vAlign w:val="center"/>
          </w:tcPr>
          <w:p w14:paraId="4B1154D2"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1.6</w:t>
            </w:r>
            <w:r w:rsidRPr="00B06593">
              <w:rPr>
                <w:rFonts w:asciiTheme="minorHAnsi" w:hAnsiTheme="minorHAnsi"/>
                <w:bCs/>
                <w:color w:val="000000"/>
                <w:sz w:val="16"/>
                <w:szCs w:val="16"/>
              </w:rPr>
              <w:br/>
              <w:t>(1.0 - 2.2)</w:t>
            </w:r>
          </w:p>
        </w:tc>
      </w:tr>
      <w:tr w:rsidR="00C54BD6" w:rsidRPr="00AF3A24" w14:paraId="37E67C49" w14:textId="77777777" w:rsidTr="00A310A6">
        <w:trPr>
          <w:trHeight w:val="373"/>
          <w:jc w:val="center"/>
        </w:trPr>
        <w:tc>
          <w:tcPr>
            <w:tcW w:w="3062" w:type="dxa"/>
            <w:tcBorders>
              <w:top w:val="single" w:sz="8" w:space="0" w:color="auto"/>
              <w:bottom w:val="single" w:sz="8" w:space="0" w:color="auto"/>
              <w:right w:val="single" w:sz="4" w:space="0" w:color="auto"/>
            </w:tcBorders>
            <w:shd w:val="clear" w:color="auto" w:fill="DAEEF3" w:themeFill="accent5" w:themeFillTint="33"/>
            <w:vAlign w:val="center"/>
          </w:tcPr>
          <w:p w14:paraId="742A9659"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Secondary school qualifications</w:t>
            </w:r>
          </w:p>
        </w:tc>
        <w:tc>
          <w:tcPr>
            <w:tcW w:w="895" w:type="dxa"/>
            <w:tcBorders>
              <w:top w:val="single" w:sz="8" w:space="0" w:color="auto"/>
              <w:bottom w:val="single" w:sz="8" w:space="0" w:color="auto"/>
              <w:right w:val="nil"/>
            </w:tcBorders>
            <w:shd w:val="clear" w:color="auto" w:fill="DAEEF3" w:themeFill="accent5" w:themeFillTint="33"/>
            <w:vAlign w:val="center"/>
          </w:tcPr>
          <w:p w14:paraId="20D6DB6E"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2,624</w:t>
            </w:r>
          </w:p>
        </w:tc>
        <w:tc>
          <w:tcPr>
            <w:tcW w:w="1080"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6DACD19E"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21.8</w:t>
            </w:r>
            <w:r w:rsidRPr="00AF3A24">
              <w:rPr>
                <w:rFonts w:asciiTheme="minorHAnsi" w:hAnsiTheme="minorHAnsi"/>
                <w:b/>
                <w:bCs/>
                <w:color w:val="000000"/>
                <w:sz w:val="16"/>
                <w:szCs w:val="18"/>
              </w:rPr>
              <w:br/>
              <w:t>(20.6 - 23.0)</w:t>
            </w:r>
          </w:p>
        </w:tc>
        <w:tc>
          <w:tcPr>
            <w:tcW w:w="839" w:type="dxa"/>
            <w:tcBorders>
              <w:top w:val="single" w:sz="8" w:space="0" w:color="auto"/>
              <w:left w:val="single" w:sz="4" w:space="0" w:color="auto"/>
              <w:bottom w:val="single" w:sz="8" w:space="0" w:color="auto"/>
              <w:right w:val="nil"/>
            </w:tcBorders>
            <w:shd w:val="clear" w:color="auto" w:fill="DAEEF3" w:themeFill="accent5" w:themeFillTint="33"/>
            <w:vAlign w:val="center"/>
          </w:tcPr>
          <w:p w14:paraId="19F27F41"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w:t>
            </w:r>
            <w:r>
              <w:rPr>
                <w:rFonts w:asciiTheme="minorHAnsi" w:hAnsiTheme="minorHAnsi"/>
                <w:bCs/>
                <w:color w:val="000000"/>
                <w:sz w:val="16"/>
                <w:szCs w:val="16"/>
              </w:rPr>
              <w:t>,</w:t>
            </w:r>
            <w:r w:rsidRPr="00B06593">
              <w:rPr>
                <w:rFonts w:asciiTheme="minorHAnsi" w:hAnsiTheme="minorHAnsi"/>
                <w:bCs/>
                <w:color w:val="000000"/>
                <w:sz w:val="16"/>
                <w:szCs w:val="16"/>
              </w:rPr>
              <w:t>366</w:t>
            </w:r>
          </w:p>
        </w:tc>
        <w:tc>
          <w:tcPr>
            <w:tcW w:w="1080"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0708A6FA"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53.4</w:t>
            </w:r>
            <w:r w:rsidRPr="00B06593">
              <w:rPr>
                <w:rFonts w:asciiTheme="minorHAnsi" w:hAnsiTheme="minorHAnsi"/>
                <w:bCs/>
                <w:color w:val="000000"/>
                <w:sz w:val="16"/>
                <w:szCs w:val="16"/>
              </w:rPr>
              <w:br/>
              <w:t>(50.6 - 56.1)</w:t>
            </w:r>
          </w:p>
        </w:tc>
        <w:tc>
          <w:tcPr>
            <w:tcW w:w="900" w:type="dxa"/>
            <w:tcBorders>
              <w:top w:val="single" w:sz="8" w:space="0" w:color="auto"/>
              <w:left w:val="single" w:sz="4" w:space="0" w:color="auto"/>
              <w:bottom w:val="single" w:sz="8" w:space="0" w:color="auto"/>
              <w:right w:val="nil"/>
            </w:tcBorders>
            <w:shd w:val="clear" w:color="auto" w:fill="DAEEF3" w:themeFill="accent5" w:themeFillTint="33"/>
            <w:vAlign w:val="center"/>
          </w:tcPr>
          <w:p w14:paraId="71FA676F"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w:t>
            </w:r>
            <w:r>
              <w:rPr>
                <w:rFonts w:asciiTheme="minorHAnsi" w:hAnsiTheme="minorHAnsi"/>
                <w:bCs/>
                <w:color w:val="000000"/>
                <w:sz w:val="16"/>
                <w:szCs w:val="16"/>
              </w:rPr>
              <w:t>,</w:t>
            </w:r>
            <w:r w:rsidRPr="00B06593">
              <w:rPr>
                <w:rFonts w:asciiTheme="minorHAnsi" w:hAnsiTheme="minorHAnsi"/>
                <w:bCs/>
                <w:color w:val="000000"/>
                <w:sz w:val="16"/>
                <w:szCs w:val="16"/>
              </w:rPr>
              <w:t>183</w:t>
            </w:r>
          </w:p>
        </w:tc>
        <w:tc>
          <w:tcPr>
            <w:tcW w:w="1080"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2E5F0A62"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44.1</w:t>
            </w:r>
            <w:r w:rsidRPr="00B06593">
              <w:rPr>
                <w:rFonts w:asciiTheme="minorHAnsi" w:hAnsiTheme="minorHAnsi"/>
                <w:bCs/>
                <w:color w:val="000000"/>
                <w:sz w:val="16"/>
                <w:szCs w:val="16"/>
              </w:rPr>
              <w:br/>
              <w:t>(41.4 - 46.9)</w:t>
            </w:r>
          </w:p>
        </w:tc>
        <w:tc>
          <w:tcPr>
            <w:tcW w:w="900" w:type="dxa"/>
            <w:tcBorders>
              <w:top w:val="single" w:sz="8" w:space="0" w:color="auto"/>
              <w:left w:val="nil"/>
              <w:bottom w:val="single" w:sz="8" w:space="0" w:color="auto"/>
              <w:right w:val="nil"/>
            </w:tcBorders>
            <w:shd w:val="clear" w:color="auto" w:fill="DAEEF3" w:themeFill="accent5" w:themeFillTint="33"/>
            <w:vAlign w:val="center"/>
          </w:tcPr>
          <w:p w14:paraId="0F1E0B3A"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36</w:t>
            </w:r>
          </w:p>
        </w:tc>
        <w:tc>
          <w:tcPr>
            <w:tcW w:w="1080"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0EA15756"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1.4</w:t>
            </w:r>
            <w:r w:rsidRPr="00B06593">
              <w:rPr>
                <w:rFonts w:asciiTheme="minorHAnsi" w:hAnsiTheme="minorHAnsi"/>
                <w:bCs/>
                <w:color w:val="000000"/>
                <w:sz w:val="16"/>
                <w:szCs w:val="16"/>
              </w:rPr>
              <w:br/>
              <w:t>(0.8 - 1.9)</w:t>
            </w:r>
          </w:p>
        </w:tc>
        <w:tc>
          <w:tcPr>
            <w:tcW w:w="900" w:type="dxa"/>
            <w:tcBorders>
              <w:top w:val="single" w:sz="8" w:space="0" w:color="auto"/>
              <w:left w:val="nil"/>
              <w:bottom w:val="single" w:sz="8" w:space="0" w:color="auto"/>
              <w:right w:val="nil"/>
            </w:tcBorders>
            <w:shd w:val="clear" w:color="auto" w:fill="DAEEF3" w:themeFill="accent5" w:themeFillTint="33"/>
            <w:vAlign w:val="center"/>
          </w:tcPr>
          <w:p w14:paraId="5EA0389C"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39</w:t>
            </w:r>
          </w:p>
        </w:tc>
        <w:tc>
          <w:tcPr>
            <w:tcW w:w="1080" w:type="dxa"/>
            <w:tcBorders>
              <w:top w:val="single" w:sz="8" w:space="0" w:color="auto"/>
              <w:left w:val="nil"/>
              <w:bottom w:val="single" w:sz="8" w:space="0" w:color="auto"/>
              <w:right w:val="single" w:sz="4" w:space="0" w:color="auto"/>
            </w:tcBorders>
            <w:shd w:val="clear" w:color="auto" w:fill="DAEEF3" w:themeFill="accent5" w:themeFillTint="33"/>
            <w:vAlign w:val="center"/>
          </w:tcPr>
          <w:p w14:paraId="43A8A59E"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1.1</w:t>
            </w:r>
            <w:r w:rsidRPr="00B06593">
              <w:rPr>
                <w:rFonts w:asciiTheme="minorHAnsi" w:hAnsiTheme="minorHAnsi"/>
                <w:bCs/>
                <w:color w:val="000000"/>
                <w:sz w:val="16"/>
                <w:szCs w:val="16"/>
              </w:rPr>
              <w:br/>
              <w:t>(0.6 - 1.5)</w:t>
            </w:r>
          </w:p>
        </w:tc>
      </w:tr>
      <w:tr w:rsidR="00C54BD6" w:rsidRPr="00AF3A24" w14:paraId="029010B7" w14:textId="77777777" w:rsidTr="00A310A6">
        <w:trPr>
          <w:trHeight w:val="393"/>
          <w:jc w:val="center"/>
        </w:trPr>
        <w:tc>
          <w:tcPr>
            <w:tcW w:w="3062" w:type="dxa"/>
            <w:tcBorders>
              <w:top w:val="single" w:sz="8" w:space="0" w:color="auto"/>
              <w:bottom w:val="single" w:sz="4" w:space="0" w:color="auto"/>
              <w:right w:val="single" w:sz="4" w:space="0" w:color="auto"/>
            </w:tcBorders>
            <w:shd w:val="clear" w:color="auto" w:fill="DAEEF3" w:themeFill="accent5" w:themeFillTint="33"/>
            <w:vAlign w:val="center"/>
          </w:tcPr>
          <w:p w14:paraId="203AC6DA"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Post-secondary school qualifications</w:t>
            </w:r>
            <w:r w:rsidR="004557FE">
              <w:rPr>
                <w:rFonts w:asciiTheme="minorHAnsi" w:hAnsiTheme="minorHAnsi" w:cstheme="minorHAnsi"/>
                <w:sz w:val="16"/>
                <w:szCs w:val="16"/>
              </w:rPr>
              <w:t xml:space="preserve"> </w:t>
            </w:r>
            <w:r w:rsidR="004557FE" w:rsidRPr="004557FE">
              <w:rPr>
                <w:rFonts w:asciiTheme="minorHAnsi" w:hAnsiTheme="minorHAnsi" w:cstheme="minorHAnsi"/>
                <w:sz w:val="16"/>
                <w:szCs w:val="16"/>
                <w:vertAlign w:val="superscript"/>
              </w:rPr>
              <w:t>3</w:t>
            </w:r>
          </w:p>
        </w:tc>
        <w:tc>
          <w:tcPr>
            <w:tcW w:w="895" w:type="dxa"/>
            <w:tcBorders>
              <w:top w:val="single" w:sz="8" w:space="0" w:color="auto"/>
              <w:bottom w:val="single" w:sz="4" w:space="0" w:color="auto"/>
              <w:right w:val="nil"/>
            </w:tcBorders>
            <w:shd w:val="clear" w:color="auto" w:fill="DAEEF3" w:themeFill="accent5" w:themeFillTint="33"/>
            <w:vAlign w:val="center"/>
          </w:tcPr>
          <w:p w14:paraId="09EB53DE"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7,259</w:t>
            </w:r>
          </w:p>
        </w:tc>
        <w:tc>
          <w:tcPr>
            <w:tcW w:w="1080" w:type="dxa"/>
            <w:tcBorders>
              <w:top w:val="single" w:sz="8" w:space="0" w:color="auto"/>
              <w:left w:val="nil"/>
              <w:bottom w:val="single" w:sz="4" w:space="0" w:color="auto"/>
              <w:right w:val="single" w:sz="4" w:space="0" w:color="auto"/>
            </w:tcBorders>
            <w:shd w:val="clear" w:color="auto" w:fill="DAEEF3" w:themeFill="accent5" w:themeFillTint="33"/>
            <w:vAlign w:val="center"/>
          </w:tcPr>
          <w:p w14:paraId="23FD27BE"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61.0</w:t>
            </w:r>
            <w:r w:rsidRPr="00AF3A24">
              <w:rPr>
                <w:rFonts w:asciiTheme="minorHAnsi" w:hAnsiTheme="minorHAnsi"/>
                <w:b/>
                <w:bCs/>
                <w:color w:val="000000"/>
                <w:sz w:val="16"/>
                <w:szCs w:val="18"/>
              </w:rPr>
              <w:br/>
              <w:t>(59.6 - 62.5)</w:t>
            </w:r>
          </w:p>
        </w:tc>
        <w:tc>
          <w:tcPr>
            <w:tcW w:w="839" w:type="dxa"/>
            <w:tcBorders>
              <w:top w:val="single" w:sz="8" w:space="0" w:color="auto"/>
              <w:left w:val="single" w:sz="4" w:space="0" w:color="auto"/>
              <w:bottom w:val="single" w:sz="4" w:space="0" w:color="auto"/>
              <w:right w:val="nil"/>
            </w:tcBorders>
            <w:shd w:val="clear" w:color="auto" w:fill="DAEEF3" w:themeFill="accent5" w:themeFillTint="33"/>
            <w:vAlign w:val="center"/>
          </w:tcPr>
          <w:p w14:paraId="41EA716D"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3</w:t>
            </w:r>
            <w:r>
              <w:rPr>
                <w:rFonts w:asciiTheme="minorHAnsi" w:hAnsiTheme="minorHAnsi"/>
                <w:bCs/>
                <w:color w:val="000000"/>
                <w:sz w:val="16"/>
                <w:szCs w:val="16"/>
              </w:rPr>
              <w:t>,</w:t>
            </w:r>
            <w:r w:rsidRPr="00B06593">
              <w:rPr>
                <w:rFonts w:asciiTheme="minorHAnsi" w:hAnsiTheme="minorHAnsi"/>
                <w:bCs/>
                <w:color w:val="000000"/>
                <w:sz w:val="16"/>
                <w:szCs w:val="16"/>
              </w:rPr>
              <w:t>285</w:t>
            </w:r>
          </w:p>
        </w:tc>
        <w:tc>
          <w:tcPr>
            <w:tcW w:w="1080" w:type="dxa"/>
            <w:tcBorders>
              <w:top w:val="single" w:sz="8" w:space="0" w:color="auto"/>
              <w:left w:val="nil"/>
              <w:bottom w:val="single" w:sz="4" w:space="0" w:color="auto"/>
              <w:right w:val="single" w:sz="4" w:space="0" w:color="auto"/>
            </w:tcBorders>
            <w:shd w:val="clear" w:color="auto" w:fill="DAEEF3" w:themeFill="accent5" w:themeFillTint="33"/>
            <w:vAlign w:val="center"/>
          </w:tcPr>
          <w:p w14:paraId="5A0E2E6C"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44.2</w:t>
            </w:r>
            <w:r w:rsidRPr="00B06593">
              <w:rPr>
                <w:rFonts w:asciiTheme="minorHAnsi" w:hAnsiTheme="minorHAnsi"/>
                <w:bCs/>
                <w:color w:val="000000"/>
                <w:sz w:val="16"/>
                <w:szCs w:val="16"/>
              </w:rPr>
              <w:br/>
              <w:t>(42.5 - 45.9)</w:t>
            </w:r>
          </w:p>
        </w:tc>
        <w:tc>
          <w:tcPr>
            <w:tcW w:w="900" w:type="dxa"/>
            <w:tcBorders>
              <w:top w:val="single" w:sz="8" w:space="0" w:color="auto"/>
              <w:left w:val="single" w:sz="4" w:space="0" w:color="auto"/>
              <w:bottom w:val="single" w:sz="4" w:space="0" w:color="auto"/>
              <w:right w:val="nil"/>
            </w:tcBorders>
            <w:shd w:val="clear" w:color="auto" w:fill="DAEEF3" w:themeFill="accent5" w:themeFillTint="33"/>
            <w:vAlign w:val="center"/>
          </w:tcPr>
          <w:p w14:paraId="6D17DE8A"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3</w:t>
            </w:r>
            <w:r>
              <w:rPr>
                <w:rFonts w:asciiTheme="minorHAnsi" w:hAnsiTheme="minorHAnsi"/>
                <w:bCs/>
                <w:color w:val="000000"/>
                <w:sz w:val="16"/>
                <w:szCs w:val="16"/>
              </w:rPr>
              <w:t>,</w:t>
            </w:r>
            <w:r w:rsidRPr="00B06593">
              <w:rPr>
                <w:rFonts w:asciiTheme="minorHAnsi" w:hAnsiTheme="minorHAnsi"/>
                <w:bCs/>
                <w:color w:val="000000"/>
                <w:sz w:val="16"/>
                <w:szCs w:val="16"/>
              </w:rPr>
              <w:t>724</w:t>
            </w:r>
          </w:p>
        </w:tc>
        <w:tc>
          <w:tcPr>
            <w:tcW w:w="1080" w:type="dxa"/>
            <w:tcBorders>
              <w:top w:val="single" w:sz="8" w:space="0" w:color="auto"/>
              <w:left w:val="nil"/>
              <w:bottom w:val="single" w:sz="4" w:space="0" w:color="auto"/>
              <w:right w:val="single" w:sz="4" w:space="0" w:color="auto"/>
            </w:tcBorders>
            <w:shd w:val="clear" w:color="auto" w:fill="DAEEF3" w:themeFill="accent5" w:themeFillTint="33"/>
            <w:vAlign w:val="center"/>
          </w:tcPr>
          <w:p w14:paraId="47C15742"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52.6</w:t>
            </w:r>
            <w:r w:rsidRPr="00B06593">
              <w:rPr>
                <w:rFonts w:asciiTheme="minorHAnsi" w:hAnsiTheme="minorHAnsi"/>
                <w:bCs/>
                <w:color w:val="000000"/>
                <w:sz w:val="16"/>
                <w:szCs w:val="16"/>
              </w:rPr>
              <w:br/>
              <w:t>(50.9 - 54.4)</w:t>
            </w:r>
          </w:p>
        </w:tc>
        <w:tc>
          <w:tcPr>
            <w:tcW w:w="900" w:type="dxa"/>
            <w:tcBorders>
              <w:top w:val="single" w:sz="8" w:space="0" w:color="auto"/>
              <w:left w:val="nil"/>
              <w:bottom w:val="single" w:sz="4" w:space="0" w:color="auto"/>
              <w:right w:val="nil"/>
            </w:tcBorders>
            <w:shd w:val="clear" w:color="auto" w:fill="DAEEF3" w:themeFill="accent5" w:themeFillTint="33"/>
            <w:vAlign w:val="center"/>
          </w:tcPr>
          <w:p w14:paraId="5F3D5405"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155</w:t>
            </w:r>
          </w:p>
        </w:tc>
        <w:tc>
          <w:tcPr>
            <w:tcW w:w="1080" w:type="dxa"/>
            <w:tcBorders>
              <w:top w:val="single" w:sz="8" w:space="0" w:color="auto"/>
              <w:left w:val="nil"/>
              <w:bottom w:val="single" w:sz="4" w:space="0" w:color="auto"/>
              <w:right w:val="single" w:sz="4" w:space="0" w:color="auto"/>
            </w:tcBorders>
            <w:shd w:val="clear" w:color="auto" w:fill="DAEEF3" w:themeFill="accent5" w:themeFillTint="33"/>
            <w:vAlign w:val="center"/>
          </w:tcPr>
          <w:p w14:paraId="4ECD23E0"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2.0</w:t>
            </w:r>
            <w:r w:rsidRPr="00B06593">
              <w:rPr>
                <w:rFonts w:asciiTheme="minorHAnsi" w:hAnsiTheme="minorHAnsi"/>
                <w:bCs/>
                <w:color w:val="000000"/>
                <w:sz w:val="16"/>
                <w:szCs w:val="16"/>
              </w:rPr>
              <w:br/>
              <w:t>(1.6 - 2.4)</w:t>
            </w:r>
          </w:p>
        </w:tc>
        <w:tc>
          <w:tcPr>
            <w:tcW w:w="900" w:type="dxa"/>
            <w:tcBorders>
              <w:top w:val="single" w:sz="8" w:space="0" w:color="auto"/>
              <w:left w:val="nil"/>
              <w:bottom w:val="single" w:sz="4" w:space="0" w:color="auto"/>
              <w:right w:val="nil"/>
            </w:tcBorders>
            <w:shd w:val="clear" w:color="auto" w:fill="DAEEF3" w:themeFill="accent5" w:themeFillTint="33"/>
            <w:vAlign w:val="center"/>
          </w:tcPr>
          <w:p w14:paraId="2EE61CF8"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95</w:t>
            </w:r>
          </w:p>
        </w:tc>
        <w:tc>
          <w:tcPr>
            <w:tcW w:w="1080" w:type="dxa"/>
            <w:tcBorders>
              <w:top w:val="single" w:sz="8" w:space="0" w:color="auto"/>
              <w:left w:val="nil"/>
              <w:bottom w:val="single" w:sz="4" w:space="0" w:color="auto"/>
              <w:right w:val="single" w:sz="4" w:space="0" w:color="auto"/>
            </w:tcBorders>
            <w:shd w:val="clear" w:color="auto" w:fill="DAEEF3" w:themeFill="accent5" w:themeFillTint="33"/>
            <w:vAlign w:val="center"/>
          </w:tcPr>
          <w:p w14:paraId="4CF232B4" w14:textId="77777777" w:rsidR="00C54BD6" w:rsidRPr="00B06593" w:rsidRDefault="00C54BD6" w:rsidP="00A310A6">
            <w:pPr>
              <w:spacing w:before="0" w:line="240" w:lineRule="auto"/>
              <w:jc w:val="center"/>
              <w:rPr>
                <w:rFonts w:asciiTheme="minorHAnsi" w:hAnsiTheme="minorHAnsi"/>
                <w:bCs/>
                <w:color w:val="000000"/>
                <w:sz w:val="16"/>
                <w:szCs w:val="16"/>
              </w:rPr>
            </w:pPr>
            <w:r w:rsidRPr="00B06593">
              <w:rPr>
                <w:rFonts w:asciiTheme="minorHAnsi" w:hAnsiTheme="minorHAnsi"/>
                <w:bCs/>
                <w:color w:val="000000"/>
                <w:sz w:val="16"/>
                <w:szCs w:val="16"/>
              </w:rPr>
              <w:t>1.2</w:t>
            </w:r>
            <w:r w:rsidRPr="00B06593">
              <w:rPr>
                <w:rFonts w:asciiTheme="minorHAnsi" w:hAnsiTheme="minorHAnsi"/>
                <w:bCs/>
                <w:color w:val="000000"/>
                <w:sz w:val="16"/>
                <w:szCs w:val="16"/>
              </w:rPr>
              <w:br/>
              <w:t>(0.9 - 1.5)</w:t>
            </w:r>
          </w:p>
        </w:tc>
      </w:tr>
      <w:tr w:rsidR="00C54BD6" w:rsidRPr="00AF3A24" w14:paraId="3C5F7AC6"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6BDDF07A" w14:textId="77777777" w:rsidR="00C54BD6" w:rsidRPr="00AF3A24" w:rsidRDefault="00C54BD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EMPLOYMENT STATUS (N=12,370):</w:t>
            </w:r>
          </w:p>
        </w:tc>
      </w:tr>
      <w:tr w:rsidR="00C54BD6" w:rsidRPr="00AF3A24" w14:paraId="34E56354" w14:textId="77777777" w:rsidTr="00A310A6">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35F5D17A"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Employed</w:t>
            </w:r>
          </w:p>
        </w:tc>
        <w:tc>
          <w:tcPr>
            <w:tcW w:w="895" w:type="dxa"/>
            <w:tcBorders>
              <w:top w:val="single" w:sz="4" w:space="0" w:color="auto"/>
              <w:bottom w:val="single" w:sz="4" w:space="0" w:color="auto"/>
              <w:right w:val="nil"/>
            </w:tcBorders>
            <w:shd w:val="clear" w:color="auto" w:fill="DAEEF3" w:themeFill="accent5" w:themeFillTint="33"/>
            <w:vAlign w:val="center"/>
          </w:tcPr>
          <w:p w14:paraId="3271FD1A"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7,015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A07A8BC"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62.1</w:t>
            </w:r>
            <w:r w:rsidRPr="00AF3A24">
              <w:rPr>
                <w:rFonts w:asciiTheme="minorHAnsi" w:hAnsiTheme="minorHAnsi"/>
                <w:b/>
                <w:bCs/>
                <w:color w:val="000000"/>
                <w:sz w:val="16"/>
                <w:szCs w:val="18"/>
              </w:rPr>
              <w:br/>
              <w:t>(60.7 - 63.4)</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2E1096A"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2</w:t>
            </w:r>
            <w:r>
              <w:rPr>
                <w:rFonts w:asciiTheme="minorHAnsi" w:hAnsiTheme="minorHAnsi"/>
                <w:bCs/>
                <w:color w:val="000000"/>
                <w:sz w:val="16"/>
                <w:szCs w:val="16"/>
              </w:rPr>
              <w:t>,</w:t>
            </w:r>
            <w:r w:rsidRPr="00D10E87">
              <w:rPr>
                <w:rFonts w:asciiTheme="minorHAnsi" w:hAnsiTheme="minorHAnsi"/>
                <w:bCs/>
                <w:color w:val="000000"/>
                <w:sz w:val="16"/>
                <w:szCs w:val="16"/>
              </w:rPr>
              <w:t>917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E330E89"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40.8</w:t>
            </w:r>
            <w:r w:rsidRPr="00D10E87">
              <w:rPr>
                <w:rFonts w:asciiTheme="minorHAnsi" w:hAnsiTheme="minorHAnsi"/>
                <w:bCs/>
                <w:color w:val="000000"/>
                <w:sz w:val="16"/>
                <w:szCs w:val="16"/>
              </w:rPr>
              <w:br/>
              <w:t>(39.0 - 42.6)</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7C16E51"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w:t>
            </w:r>
            <w:r>
              <w:rPr>
                <w:rFonts w:asciiTheme="minorHAnsi" w:hAnsiTheme="minorHAnsi"/>
                <w:bCs/>
                <w:color w:val="000000"/>
                <w:sz w:val="16"/>
                <w:szCs w:val="16"/>
              </w:rPr>
              <w:t>,</w:t>
            </w:r>
            <w:r w:rsidRPr="00D10E87">
              <w:rPr>
                <w:rFonts w:asciiTheme="minorHAnsi" w:hAnsiTheme="minorHAnsi"/>
                <w:bCs/>
                <w:color w:val="000000"/>
                <w:sz w:val="16"/>
                <w:szCs w:val="16"/>
              </w:rPr>
              <w:t>831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2B1FD61"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55.7</w:t>
            </w:r>
            <w:r w:rsidRPr="00D10E87">
              <w:rPr>
                <w:rFonts w:asciiTheme="minorHAnsi" w:hAnsiTheme="minorHAnsi"/>
                <w:bCs/>
                <w:color w:val="000000"/>
                <w:sz w:val="16"/>
                <w:szCs w:val="16"/>
              </w:rPr>
              <w:br/>
              <w:t>(53.9 - 57.5)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615257EA"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153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F039881"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2.1</w:t>
            </w:r>
            <w:r w:rsidRPr="00D10E87">
              <w:rPr>
                <w:rFonts w:asciiTheme="minorHAnsi" w:hAnsiTheme="minorHAnsi"/>
                <w:bCs/>
                <w:color w:val="000000"/>
                <w:sz w:val="16"/>
                <w:szCs w:val="16"/>
              </w:rPr>
              <w:br/>
              <w:t>(1.7 - 2.6)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7FE674D"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114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5CDD807"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1.4</w:t>
            </w:r>
            <w:r w:rsidRPr="00D10E87">
              <w:rPr>
                <w:rFonts w:asciiTheme="minorHAnsi" w:hAnsiTheme="minorHAnsi"/>
                <w:bCs/>
                <w:color w:val="000000"/>
                <w:sz w:val="16"/>
                <w:szCs w:val="16"/>
              </w:rPr>
              <w:br/>
              <w:t>(1.0 - 1.7)</w:t>
            </w:r>
          </w:p>
        </w:tc>
      </w:tr>
      <w:tr w:rsidR="00C54BD6" w:rsidRPr="00AF3A24" w14:paraId="7E07F332" w14:textId="77777777" w:rsidTr="00A310A6">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5F205EBC"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Unemployed</w:t>
            </w:r>
          </w:p>
        </w:tc>
        <w:tc>
          <w:tcPr>
            <w:tcW w:w="895" w:type="dxa"/>
            <w:tcBorders>
              <w:top w:val="single" w:sz="4" w:space="0" w:color="auto"/>
              <w:bottom w:val="single" w:sz="4" w:space="0" w:color="auto"/>
              <w:right w:val="nil"/>
            </w:tcBorders>
            <w:shd w:val="clear" w:color="auto" w:fill="DAEEF3" w:themeFill="accent5" w:themeFillTint="33"/>
            <w:vAlign w:val="center"/>
          </w:tcPr>
          <w:p w14:paraId="77DF4E9A"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721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CD750E5"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5.5</w:t>
            </w:r>
            <w:r w:rsidRPr="00AF3A24">
              <w:rPr>
                <w:rFonts w:asciiTheme="minorHAnsi" w:hAnsiTheme="minorHAnsi"/>
                <w:b/>
                <w:bCs/>
                <w:color w:val="000000"/>
                <w:sz w:val="16"/>
                <w:szCs w:val="18"/>
              </w:rPr>
              <w:br/>
              <w:t>(4.9 - 6.1)</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B475135"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416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A034D4B"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59.3</w:t>
            </w:r>
            <w:r w:rsidRPr="00D10E87">
              <w:rPr>
                <w:rFonts w:asciiTheme="minorHAnsi" w:hAnsiTheme="minorHAnsi"/>
                <w:bCs/>
                <w:color w:val="000000"/>
                <w:sz w:val="16"/>
                <w:szCs w:val="16"/>
              </w:rPr>
              <w:br/>
              <w:t>(54.3 - 64.2)</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6BB93DF0"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248</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C8A1E98"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34.3</w:t>
            </w:r>
            <w:r w:rsidRPr="00D10E87">
              <w:rPr>
                <w:rFonts w:asciiTheme="minorHAnsi" w:hAnsiTheme="minorHAnsi"/>
                <w:bCs/>
                <w:color w:val="000000"/>
                <w:sz w:val="16"/>
                <w:szCs w:val="16"/>
              </w:rPr>
              <w:br/>
              <w:t>(29.5 - 39.0)</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9C4712E"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036C1E3"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3.0</w:t>
            </w:r>
            <w:r w:rsidRPr="00D10E87">
              <w:rPr>
                <w:rFonts w:asciiTheme="minorHAnsi" w:hAnsiTheme="minorHAnsi"/>
                <w:bCs/>
                <w:color w:val="000000"/>
                <w:sz w:val="16"/>
                <w:szCs w:val="16"/>
              </w:rPr>
              <w:br/>
              <w:t>(1.6 - 4.5)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6FB8E293"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26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2D91BB0"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3.4</w:t>
            </w:r>
            <w:r w:rsidRPr="00D10E87">
              <w:rPr>
                <w:rFonts w:asciiTheme="minorHAnsi" w:hAnsiTheme="minorHAnsi"/>
                <w:bCs/>
                <w:color w:val="000000"/>
                <w:sz w:val="16"/>
                <w:szCs w:val="16"/>
              </w:rPr>
              <w:br/>
              <w:t>(1.7 - 5.1)</w:t>
            </w:r>
          </w:p>
        </w:tc>
      </w:tr>
      <w:tr w:rsidR="00C54BD6" w:rsidRPr="00AF3A24" w14:paraId="6263B702" w14:textId="77777777" w:rsidTr="00A310A6">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1209B137"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Not in labour force</w:t>
            </w:r>
          </w:p>
        </w:tc>
        <w:tc>
          <w:tcPr>
            <w:tcW w:w="895" w:type="dxa"/>
            <w:tcBorders>
              <w:top w:val="single" w:sz="4" w:space="0" w:color="auto"/>
              <w:bottom w:val="single" w:sz="4" w:space="0" w:color="auto"/>
              <w:right w:val="nil"/>
            </w:tcBorders>
            <w:shd w:val="clear" w:color="auto" w:fill="DAEEF3" w:themeFill="accent5" w:themeFillTint="33"/>
            <w:vAlign w:val="center"/>
          </w:tcPr>
          <w:p w14:paraId="18E03BC3"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4,634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D6164D4"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32.4</w:t>
            </w:r>
            <w:r w:rsidRPr="00AF3A24">
              <w:rPr>
                <w:rFonts w:asciiTheme="minorHAnsi" w:hAnsiTheme="minorHAnsi"/>
                <w:b/>
                <w:bCs/>
                <w:color w:val="000000"/>
                <w:sz w:val="16"/>
                <w:szCs w:val="18"/>
              </w:rPr>
              <w:br/>
              <w:t>(31.1 - 33.7)</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C6613AC"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2</w:t>
            </w:r>
            <w:r>
              <w:rPr>
                <w:rFonts w:asciiTheme="minorHAnsi" w:hAnsiTheme="minorHAnsi"/>
                <w:bCs/>
                <w:color w:val="000000"/>
                <w:sz w:val="16"/>
                <w:szCs w:val="16"/>
              </w:rPr>
              <w:t>,</w:t>
            </w:r>
            <w:r w:rsidRPr="00D10E87">
              <w:rPr>
                <w:rFonts w:asciiTheme="minorHAnsi" w:hAnsiTheme="minorHAnsi"/>
                <w:bCs/>
                <w:color w:val="000000"/>
                <w:sz w:val="16"/>
                <w:szCs w:val="16"/>
              </w:rPr>
              <w:t>585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30D94AA"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58.4</w:t>
            </w:r>
            <w:r w:rsidRPr="00D10E87">
              <w:rPr>
                <w:rFonts w:asciiTheme="minorHAnsi" w:hAnsiTheme="minorHAnsi"/>
                <w:bCs/>
                <w:color w:val="000000"/>
                <w:sz w:val="16"/>
                <w:szCs w:val="16"/>
              </w:rPr>
              <w:br/>
              <w:t>(56.4 - 60.3)</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B0CF5CE"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1</w:t>
            </w:r>
            <w:r>
              <w:rPr>
                <w:rFonts w:asciiTheme="minorHAnsi" w:hAnsiTheme="minorHAnsi"/>
                <w:bCs/>
                <w:color w:val="000000"/>
                <w:sz w:val="16"/>
                <w:szCs w:val="16"/>
              </w:rPr>
              <w:t>,</w:t>
            </w:r>
            <w:r w:rsidRPr="00D10E87">
              <w:rPr>
                <w:rFonts w:asciiTheme="minorHAnsi" w:hAnsiTheme="minorHAnsi"/>
                <w:bCs/>
                <w:color w:val="000000"/>
                <w:sz w:val="16"/>
                <w:szCs w:val="16"/>
              </w:rPr>
              <w:t>923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B3EB494"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39.6</w:t>
            </w:r>
            <w:r w:rsidRPr="00D10E87">
              <w:rPr>
                <w:rFonts w:asciiTheme="minorHAnsi" w:hAnsiTheme="minorHAnsi"/>
                <w:bCs/>
                <w:color w:val="000000"/>
                <w:sz w:val="16"/>
                <w:szCs w:val="16"/>
              </w:rPr>
              <w:br/>
              <w:t>(37.6 - 41.5)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FA29351"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84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AFA6684"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1.5</w:t>
            </w:r>
            <w:r w:rsidRPr="00D10E87">
              <w:rPr>
                <w:rFonts w:asciiTheme="minorHAnsi" w:hAnsiTheme="minorHAnsi"/>
                <w:bCs/>
                <w:color w:val="000000"/>
                <w:sz w:val="16"/>
                <w:szCs w:val="16"/>
              </w:rPr>
              <w:br/>
              <w:t>(1.0 - 1.9)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33B927F"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40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F6FE2FC" w14:textId="77777777" w:rsidR="00C54BD6" w:rsidRPr="00D10E87" w:rsidRDefault="00C54BD6" w:rsidP="00A310A6">
            <w:pPr>
              <w:spacing w:before="0" w:line="240" w:lineRule="auto"/>
              <w:jc w:val="center"/>
              <w:rPr>
                <w:rFonts w:asciiTheme="minorHAnsi" w:hAnsiTheme="minorHAnsi"/>
                <w:bCs/>
                <w:color w:val="000000"/>
                <w:sz w:val="16"/>
                <w:szCs w:val="16"/>
              </w:rPr>
            </w:pPr>
            <w:r w:rsidRPr="00D10E87">
              <w:rPr>
                <w:rFonts w:asciiTheme="minorHAnsi" w:hAnsiTheme="minorHAnsi"/>
                <w:bCs/>
                <w:color w:val="000000"/>
                <w:sz w:val="16"/>
                <w:szCs w:val="16"/>
              </w:rPr>
              <w:t>0.6</w:t>
            </w:r>
            <w:r w:rsidRPr="00D10E87">
              <w:rPr>
                <w:rFonts w:asciiTheme="minorHAnsi" w:hAnsiTheme="minorHAnsi"/>
                <w:bCs/>
                <w:color w:val="000000"/>
                <w:sz w:val="16"/>
                <w:szCs w:val="16"/>
              </w:rPr>
              <w:br/>
              <w:t>(0.3 - 0.9)</w:t>
            </w:r>
          </w:p>
        </w:tc>
      </w:tr>
      <w:tr w:rsidR="00C54BD6" w:rsidRPr="00AF3A24" w14:paraId="4F008F26"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2670C349" w14:textId="77777777" w:rsidR="00C54BD6" w:rsidRPr="00AF3A24" w:rsidRDefault="00C54BD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LENGTH OF TIME LIVING IN NEW ZEALAND</w:t>
            </w:r>
            <w:r>
              <w:rPr>
                <w:rFonts w:asciiTheme="minorHAnsi" w:hAnsiTheme="minorHAnsi" w:cstheme="minorHAnsi"/>
                <w:b/>
                <w:sz w:val="16"/>
                <w:szCs w:val="16"/>
              </w:rPr>
              <w:t xml:space="preserve"> (FOR THOSE BORN OUTSIDE OF NZ)</w:t>
            </w:r>
            <w:r w:rsidRPr="00AF3A24">
              <w:rPr>
                <w:rFonts w:asciiTheme="minorHAnsi" w:hAnsiTheme="minorHAnsi" w:cstheme="minorHAnsi"/>
                <w:b/>
                <w:sz w:val="16"/>
                <w:szCs w:val="16"/>
              </w:rPr>
              <w:t xml:space="preserve"> (N=2,901):</w:t>
            </w:r>
          </w:p>
        </w:tc>
      </w:tr>
      <w:tr w:rsidR="00EE15EF" w:rsidRPr="00AF3A24" w14:paraId="1E9B8589" w14:textId="77777777" w:rsidTr="00A310A6">
        <w:trPr>
          <w:trHeight w:val="317"/>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63809785" w14:textId="77777777" w:rsidR="00EE15EF" w:rsidRPr="00AF3A24" w:rsidRDefault="00EE15EF"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 xml:space="preserve">Has lived in </w:t>
            </w:r>
            <w:r w:rsidRPr="00AF3A24">
              <w:rPr>
                <w:rFonts w:asciiTheme="minorHAnsi" w:hAnsiTheme="minorHAnsi" w:cstheme="minorHAnsi"/>
                <w:sz w:val="16"/>
                <w:szCs w:val="16"/>
              </w:rPr>
              <w:t>NZ for ≤ 5 years</w:t>
            </w:r>
          </w:p>
        </w:tc>
        <w:tc>
          <w:tcPr>
            <w:tcW w:w="895" w:type="dxa"/>
            <w:tcBorders>
              <w:top w:val="single" w:sz="4" w:space="0" w:color="auto"/>
              <w:bottom w:val="single" w:sz="4" w:space="0" w:color="auto"/>
              <w:right w:val="nil"/>
            </w:tcBorders>
            <w:shd w:val="clear" w:color="auto" w:fill="DAEEF3" w:themeFill="accent5" w:themeFillTint="33"/>
            <w:vAlign w:val="center"/>
          </w:tcPr>
          <w:p w14:paraId="5741A6AD" w14:textId="77777777" w:rsidR="00EE15EF" w:rsidRPr="00AF3A24" w:rsidRDefault="00EE15EF"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517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CA42121" w14:textId="77777777" w:rsidR="00EE15EF" w:rsidRPr="00AF3A24" w:rsidRDefault="00EE15EF"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20.6</w:t>
            </w:r>
            <w:r w:rsidRPr="00AF3A24">
              <w:rPr>
                <w:rFonts w:asciiTheme="minorHAnsi" w:hAnsiTheme="minorHAnsi"/>
                <w:b/>
                <w:bCs/>
                <w:color w:val="000000"/>
                <w:sz w:val="16"/>
                <w:szCs w:val="18"/>
              </w:rPr>
              <w:br/>
              <w:t>(18.5 - 22.6)</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F97A025"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369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6E764E9"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69.3</w:t>
            </w:r>
            <w:r w:rsidRPr="00124424">
              <w:rPr>
                <w:rFonts w:asciiTheme="minorHAnsi" w:hAnsiTheme="minorHAnsi"/>
                <w:bCs/>
                <w:color w:val="000000"/>
                <w:sz w:val="16"/>
                <w:szCs w:val="16"/>
              </w:rPr>
              <w:br/>
              <w:t>(64.5 - 74.1)</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61724B3"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135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0E7A9A4"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28.5</w:t>
            </w:r>
            <w:r w:rsidRPr="00124424">
              <w:rPr>
                <w:rFonts w:asciiTheme="minorHAnsi" w:hAnsiTheme="minorHAnsi"/>
                <w:bCs/>
                <w:color w:val="000000"/>
                <w:sz w:val="16"/>
                <w:szCs w:val="16"/>
              </w:rPr>
              <w:br/>
              <w:t>(23.8 - 33.3)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263BE69"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78CA714"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9F25114"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01D498E"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C54BD6" w:rsidRPr="00AF3A24" w14:paraId="7EBA5ADD" w14:textId="77777777" w:rsidTr="00A310A6">
        <w:trPr>
          <w:trHeight w:val="352"/>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4F5E8E0B"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 xml:space="preserve">Has lived in </w:t>
            </w:r>
            <w:r w:rsidRPr="00AF3A24">
              <w:rPr>
                <w:rFonts w:asciiTheme="minorHAnsi" w:hAnsiTheme="minorHAnsi" w:cstheme="minorHAnsi"/>
                <w:sz w:val="16"/>
                <w:szCs w:val="16"/>
              </w:rPr>
              <w:t>NZ for ≥ 6 years</w:t>
            </w:r>
          </w:p>
        </w:tc>
        <w:tc>
          <w:tcPr>
            <w:tcW w:w="895" w:type="dxa"/>
            <w:tcBorders>
              <w:top w:val="single" w:sz="4" w:space="0" w:color="auto"/>
              <w:bottom w:val="single" w:sz="4" w:space="0" w:color="auto"/>
              <w:right w:val="nil"/>
            </w:tcBorders>
            <w:shd w:val="clear" w:color="auto" w:fill="DAEEF3" w:themeFill="accent5" w:themeFillTint="33"/>
            <w:vAlign w:val="center"/>
          </w:tcPr>
          <w:p w14:paraId="797C1B74"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2,384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9361AB7"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79.4</w:t>
            </w:r>
            <w:r w:rsidRPr="00AF3A24">
              <w:rPr>
                <w:rFonts w:asciiTheme="minorHAnsi" w:hAnsiTheme="minorHAnsi"/>
                <w:b/>
                <w:bCs/>
                <w:color w:val="000000"/>
                <w:sz w:val="16"/>
                <w:szCs w:val="18"/>
              </w:rPr>
              <w:br/>
              <w:t>(77.4 - 81.5)</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1BABB5C6"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w:t>
            </w:r>
            <w:r>
              <w:rPr>
                <w:rFonts w:asciiTheme="minorHAnsi" w:hAnsiTheme="minorHAnsi"/>
                <w:bCs/>
                <w:color w:val="000000"/>
                <w:sz w:val="16"/>
                <w:szCs w:val="16"/>
              </w:rPr>
              <w:t>,</w:t>
            </w:r>
            <w:r w:rsidRPr="00124424">
              <w:rPr>
                <w:rFonts w:asciiTheme="minorHAnsi" w:hAnsiTheme="minorHAnsi"/>
                <w:bCs/>
                <w:color w:val="000000"/>
                <w:sz w:val="16"/>
                <w:szCs w:val="16"/>
              </w:rPr>
              <w:t>311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56937DC"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53.6</w:t>
            </w:r>
            <w:r w:rsidRPr="00124424">
              <w:rPr>
                <w:rFonts w:asciiTheme="minorHAnsi" w:hAnsiTheme="minorHAnsi"/>
                <w:bCs/>
                <w:color w:val="000000"/>
                <w:sz w:val="16"/>
                <w:szCs w:val="16"/>
              </w:rPr>
              <w:br/>
              <w:t>(50.8 - 56.4)</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090BEF9"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997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BFB3E4E"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43.3</w:t>
            </w:r>
            <w:r w:rsidRPr="00124424">
              <w:rPr>
                <w:rFonts w:asciiTheme="minorHAnsi" w:hAnsiTheme="minorHAnsi"/>
                <w:bCs/>
                <w:color w:val="000000"/>
                <w:sz w:val="16"/>
                <w:szCs w:val="16"/>
              </w:rPr>
              <w:br/>
              <w:t>(40.5 - 46.1)</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0922D19"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2D8EE1A"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1.8</w:t>
            </w:r>
            <w:r w:rsidRPr="00124424">
              <w:rPr>
                <w:rFonts w:asciiTheme="minorHAnsi" w:hAnsiTheme="minorHAnsi"/>
                <w:bCs/>
                <w:color w:val="000000"/>
                <w:sz w:val="16"/>
                <w:szCs w:val="16"/>
              </w:rPr>
              <w:br/>
              <w:t>(1.1 - 2.6)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7332301"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34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FD2A2BF"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1.2</w:t>
            </w:r>
            <w:r w:rsidRPr="00124424">
              <w:rPr>
                <w:rFonts w:asciiTheme="minorHAnsi" w:hAnsiTheme="minorHAnsi"/>
                <w:bCs/>
                <w:color w:val="000000"/>
                <w:sz w:val="16"/>
                <w:szCs w:val="16"/>
              </w:rPr>
              <w:br/>
              <w:t>(0.7 - 1.8)</w:t>
            </w:r>
          </w:p>
        </w:tc>
      </w:tr>
      <w:tr w:rsidR="00C54BD6" w:rsidRPr="00AF3A24" w14:paraId="0FE8C836"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4E3CDCA0" w14:textId="77777777" w:rsidR="00C54BD6" w:rsidRPr="00AF3A24" w:rsidRDefault="00C54BD6" w:rsidP="00A310A6">
            <w:pPr>
              <w:spacing w:before="0" w:line="240" w:lineRule="auto"/>
              <w:jc w:val="left"/>
              <w:rPr>
                <w:rFonts w:asciiTheme="minorHAnsi" w:hAnsiTheme="minorHAnsi"/>
                <w:bCs/>
                <w:color w:val="000000"/>
                <w:sz w:val="16"/>
                <w:szCs w:val="16"/>
                <w:highlight w:val="yellow"/>
              </w:rPr>
            </w:pPr>
            <w:r w:rsidRPr="00AF3A24">
              <w:rPr>
                <w:rFonts w:asciiTheme="minorHAnsi" w:hAnsiTheme="minorHAnsi" w:cstheme="minorHAnsi"/>
                <w:b/>
                <w:sz w:val="16"/>
                <w:szCs w:val="16"/>
              </w:rPr>
              <w:t xml:space="preserve">RESIDENT </w:t>
            </w:r>
            <w:r>
              <w:rPr>
                <w:rFonts w:asciiTheme="minorHAnsi" w:hAnsiTheme="minorHAnsi" w:cstheme="minorHAnsi"/>
                <w:b/>
                <w:sz w:val="16"/>
                <w:szCs w:val="16"/>
              </w:rPr>
              <w:t xml:space="preserve">OF CHRISTCHURCH </w:t>
            </w:r>
            <w:r w:rsidRPr="00AF3A24">
              <w:rPr>
                <w:rFonts w:asciiTheme="minorHAnsi" w:hAnsiTheme="minorHAnsi" w:cstheme="minorHAnsi"/>
                <w:b/>
                <w:sz w:val="16"/>
                <w:szCs w:val="16"/>
              </w:rPr>
              <w:t>AT TIME OF THE 22 FEBRUARY 2011 EARTHQUAKE (N=12,494):</w:t>
            </w:r>
          </w:p>
        </w:tc>
      </w:tr>
      <w:tr w:rsidR="00EE15EF" w:rsidRPr="00AF3A24" w14:paraId="4BBAFD8A" w14:textId="77777777" w:rsidTr="00A310A6">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70556A2D" w14:textId="77777777" w:rsidR="00EE15EF" w:rsidRPr="00AF3A24" w:rsidRDefault="00EE15EF"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Yes</w:t>
            </w:r>
          </w:p>
        </w:tc>
        <w:tc>
          <w:tcPr>
            <w:tcW w:w="895" w:type="dxa"/>
            <w:tcBorders>
              <w:top w:val="single" w:sz="4" w:space="0" w:color="auto"/>
              <w:bottom w:val="single" w:sz="4" w:space="0" w:color="auto"/>
              <w:right w:val="nil"/>
            </w:tcBorders>
            <w:shd w:val="clear" w:color="auto" w:fill="DAEEF3" w:themeFill="accent5" w:themeFillTint="33"/>
            <w:vAlign w:val="center"/>
          </w:tcPr>
          <w:p w14:paraId="17D720C8" w14:textId="77777777" w:rsidR="00EE15EF" w:rsidRPr="00AF3A24" w:rsidRDefault="00EE15EF"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1,043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31169CE" w14:textId="77777777" w:rsidR="00EE15EF" w:rsidRPr="00AF3A24" w:rsidRDefault="00EE15EF"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12.4</w:t>
            </w:r>
            <w:r w:rsidRPr="00AF3A24">
              <w:rPr>
                <w:rFonts w:asciiTheme="minorHAnsi" w:hAnsiTheme="minorHAnsi"/>
                <w:b/>
                <w:bCs/>
                <w:color w:val="000000"/>
                <w:sz w:val="16"/>
                <w:szCs w:val="18"/>
              </w:rPr>
              <w:br/>
              <w:t>(10.4 - 14.4)</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E14D2D0"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405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FE83A46"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42.1</w:t>
            </w:r>
            <w:r w:rsidRPr="00124424">
              <w:rPr>
                <w:rFonts w:asciiTheme="minorHAnsi" w:hAnsiTheme="minorHAnsi"/>
                <w:bCs/>
                <w:color w:val="000000"/>
                <w:sz w:val="16"/>
                <w:szCs w:val="16"/>
              </w:rPr>
              <w:br/>
              <w:t>(38.0 - 46.2)</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B10588F"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606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D224A94" w14:textId="77777777" w:rsidR="00EE15EF" w:rsidRPr="00124424" w:rsidRDefault="00EE15EF"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55.7</w:t>
            </w:r>
            <w:r w:rsidRPr="00124424">
              <w:rPr>
                <w:rFonts w:asciiTheme="minorHAnsi" w:hAnsiTheme="minorHAnsi"/>
                <w:bCs/>
                <w:color w:val="000000"/>
                <w:sz w:val="16"/>
                <w:szCs w:val="16"/>
              </w:rPr>
              <w:br/>
              <w:t>(51.5 - 59.9)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793E76F"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02254BB"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001967BF"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9ADCDBF"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r w:rsidR="00C54BD6" w:rsidRPr="00AF3A24" w14:paraId="596AD2FB" w14:textId="77777777" w:rsidTr="00A310A6">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5F9D86D9" w14:textId="77777777" w:rsidR="00C54BD6" w:rsidRPr="00AF3A24" w:rsidRDefault="00C54BD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No</w:t>
            </w:r>
          </w:p>
        </w:tc>
        <w:tc>
          <w:tcPr>
            <w:tcW w:w="895" w:type="dxa"/>
            <w:tcBorders>
              <w:top w:val="single" w:sz="4" w:space="0" w:color="auto"/>
              <w:bottom w:val="single" w:sz="4" w:space="0" w:color="auto"/>
              <w:right w:val="nil"/>
            </w:tcBorders>
            <w:shd w:val="clear" w:color="auto" w:fill="DAEEF3" w:themeFill="accent5" w:themeFillTint="33"/>
            <w:vAlign w:val="center"/>
          </w:tcPr>
          <w:p w14:paraId="394B2C5E"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11,451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3F1DD74" w14:textId="77777777" w:rsidR="00C54BD6" w:rsidRPr="00AF3A24" w:rsidRDefault="00C54BD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87.6</w:t>
            </w:r>
            <w:r w:rsidRPr="00AF3A24">
              <w:rPr>
                <w:rFonts w:asciiTheme="minorHAnsi" w:hAnsiTheme="minorHAnsi"/>
                <w:b/>
                <w:bCs/>
                <w:color w:val="000000"/>
                <w:sz w:val="16"/>
                <w:szCs w:val="18"/>
              </w:rPr>
              <w:br/>
              <w:t>(85.6 - 89.6)</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0C973AC"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5</w:t>
            </w:r>
            <w:r>
              <w:rPr>
                <w:rFonts w:asciiTheme="minorHAnsi" w:hAnsiTheme="minorHAnsi"/>
                <w:bCs/>
                <w:color w:val="000000"/>
                <w:sz w:val="16"/>
                <w:szCs w:val="16"/>
              </w:rPr>
              <w:t>,</w:t>
            </w:r>
            <w:r w:rsidRPr="00124424">
              <w:rPr>
                <w:rFonts w:asciiTheme="minorHAnsi" w:hAnsiTheme="minorHAnsi"/>
                <w:bCs/>
                <w:color w:val="000000"/>
                <w:sz w:val="16"/>
                <w:szCs w:val="16"/>
              </w:rPr>
              <w:t>589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B6760BC"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48.5</w:t>
            </w:r>
            <w:r w:rsidRPr="00124424">
              <w:rPr>
                <w:rFonts w:asciiTheme="minorHAnsi" w:hAnsiTheme="minorHAnsi"/>
                <w:bCs/>
                <w:color w:val="000000"/>
                <w:sz w:val="16"/>
                <w:szCs w:val="16"/>
              </w:rPr>
              <w:br/>
              <w:t>(47.0 - 50.0)</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17F6B835"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5</w:t>
            </w:r>
            <w:r>
              <w:rPr>
                <w:rFonts w:asciiTheme="minorHAnsi" w:hAnsiTheme="minorHAnsi"/>
                <w:bCs/>
                <w:color w:val="000000"/>
                <w:sz w:val="16"/>
                <w:szCs w:val="16"/>
              </w:rPr>
              <w:t>,</w:t>
            </w:r>
            <w:r w:rsidRPr="00124424">
              <w:rPr>
                <w:rFonts w:asciiTheme="minorHAnsi" w:hAnsiTheme="minorHAnsi"/>
                <w:bCs/>
                <w:color w:val="000000"/>
                <w:sz w:val="16"/>
                <w:szCs w:val="16"/>
              </w:rPr>
              <w:t>441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F058DA9"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48.2</w:t>
            </w:r>
            <w:r w:rsidRPr="00124424">
              <w:rPr>
                <w:rFonts w:asciiTheme="minorHAnsi" w:hAnsiTheme="minorHAnsi"/>
                <w:bCs/>
                <w:color w:val="000000"/>
                <w:sz w:val="16"/>
                <w:szCs w:val="16"/>
              </w:rPr>
              <w:br/>
              <w:t>(46.7 - 49.7)</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3188661"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253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EE805FE"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2.0</w:t>
            </w:r>
            <w:r w:rsidRPr="00124424">
              <w:rPr>
                <w:rFonts w:asciiTheme="minorHAnsi" w:hAnsiTheme="minorHAnsi"/>
                <w:bCs/>
                <w:color w:val="000000"/>
                <w:sz w:val="16"/>
                <w:szCs w:val="16"/>
              </w:rPr>
              <w:br/>
              <w:t>(1.7 - 2.4)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63A9114"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166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FDC81C2" w14:textId="77777777" w:rsidR="00C54BD6" w:rsidRPr="00124424" w:rsidRDefault="00C54BD6" w:rsidP="00A310A6">
            <w:pPr>
              <w:spacing w:before="0" w:line="240" w:lineRule="auto"/>
              <w:jc w:val="center"/>
              <w:rPr>
                <w:rFonts w:asciiTheme="minorHAnsi" w:hAnsiTheme="minorHAnsi"/>
                <w:bCs/>
                <w:color w:val="000000"/>
                <w:sz w:val="16"/>
                <w:szCs w:val="16"/>
              </w:rPr>
            </w:pPr>
            <w:r w:rsidRPr="00124424">
              <w:rPr>
                <w:rFonts w:asciiTheme="minorHAnsi" w:hAnsiTheme="minorHAnsi"/>
                <w:bCs/>
                <w:color w:val="000000"/>
                <w:sz w:val="16"/>
                <w:szCs w:val="16"/>
              </w:rPr>
              <w:t>1.3</w:t>
            </w:r>
            <w:r w:rsidRPr="00124424">
              <w:rPr>
                <w:rFonts w:asciiTheme="minorHAnsi" w:hAnsiTheme="minorHAnsi"/>
                <w:bCs/>
                <w:color w:val="000000"/>
                <w:sz w:val="16"/>
                <w:szCs w:val="16"/>
              </w:rPr>
              <w:br/>
              <w:t>(1.0 - 1.5)</w:t>
            </w:r>
          </w:p>
        </w:tc>
      </w:tr>
    </w:tbl>
    <w:p w14:paraId="722CC969" w14:textId="77777777" w:rsidR="00C54BD6" w:rsidRPr="00AF3A24" w:rsidRDefault="00C54BD6" w:rsidP="00C54BD6">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3B37C65E" w14:textId="77777777" w:rsidR="00C54BD6" w:rsidRPr="00AF3A24" w:rsidRDefault="00C54BD6" w:rsidP="00D75319">
      <w:pPr>
        <w:pStyle w:val="ListParagraph"/>
        <w:numPr>
          <w:ilvl w:val="0"/>
          <w:numId w:val="23"/>
        </w:numPr>
        <w:spacing w:line="240" w:lineRule="auto"/>
        <w:ind w:left="851"/>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65C1DC7D" w14:textId="77777777" w:rsidR="00C54BD6" w:rsidRDefault="00C54BD6" w:rsidP="00D75319">
      <w:pPr>
        <w:pStyle w:val="ListParagraph"/>
        <w:numPr>
          <w:ilvl w:val="0"/>
          <w:numId w:val="23"/>
        </w:numPr>
        <w:spacing w:line="240" w:lineRule="auto"/>
        <w:ind w:left="851"/>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5934872B" w14:textId="77777777" w:rsidR="004557FE" w:rsidRDefault="004557FE" w:rsidP="00D75319">
      <w:pPr>
        <w:pStyle w:val="ListParagraph"/>
        <w:numPr>
          <w:ilvl w:val="0"/>
          <w:numId w:val="23"/>
        </w:numPr>
        <w:spacing w:line="240" w:lineRule="auto"/>
        <w:ind w:left="851"/>
        <w:rPr>
          <w:rFonts w:asciiTheme="minorHAnsi" w:hAnsiTheme="minorHAnsi" w:cstheme="minorHAnsi"/>
          <w:sz w:val="16"/>
        </w:rPr>
      </w:pPr>
      <w:r>
        <w:rPr>
          <w:rFonts w:asciiTheme="minorHAnsi" w:hAnsiTheme="minorHAnsi" w:cstheme="minorHAnsi"/>
          <w:sz w:val="16"/>
        </w:rPr>
        <w:t>Post-secondary school qualifications</w:t>
      </w:r>
      <w:r w:rsidR="009E6317">
        <w:rPr>
          <w:rFonts w:asciiTheme="minorHAnsi" w:hAnsiTheme="minorHAnsi" w:cstheme="minorHAnsi"/>
          <w:sz w:val="16"/>
        </w:rPr>
        <w:t xml:space="preserve"> were defined as</w:t>
      </w:r>
      <w:r>
        <w:rPr>
          <w:rFonts w:asciiTheme="minorHAnsi" w:hAnsiTheme="minorHAnsi" w:cstheme="minorHAnsi"/>
          <w:sz w:val="16"/>
        </w:rPr>
        <w:t xml:space="preserve"> includ</w:t>
      </w:r>
      <w:r w:rsidR="009E6317">
        <w:rPr>
          <w:rFonts w:asciiTheme="minorHAnsi" w:hAnsiTheme="minorHAnsi" w:cstheme="minorHAnsi"/>
          <w:sz w:val="16"/>
        </w:rPr>
        <w:t>ing</w:t>
      </w:r>
      <w:r>
        <w:rPr>
          <w:rFonts w:asciiTheme="minorHAnsi" w:hAnsiTheme="minorHAnsi" w:cstheme="minorHAnsi"/>
          <w:sz w:val="16"/>
        </w:rPr>
        <w:t xml:space="preserve">: National Certificate level 1 - level 4; Trade certificate; Diploma or Certificate level 5; Advanced Trade Certificate; Diploma or Certificate level 6; Teachers Certificate/Diploma; </w:t>
      </w:r>
      <w:r w:rsidR="00A1554B">
        <w:rPr>
          <w:rFonts w:asciiTheme="minorHAnsi" w:hAnsiTheme="minorHAnsi" w:cstheme="minorHAnsi"/>
          <w:sz w:val="16"/>
        </w:rPr>
        <w:t xml:space="preserve">Nursing Diploma; Bachelor; Bachelor </w:t>
      </w:r>
      <w:proofErr w:type="spellStart"/>
      <w:r w:rsidR="00A1554B">
        <w:rPr>
          <w:rFonts w:asciiTheme="minorHAnsi" w:hAnsiTheme="minorHAnsi" w:cstheme="minorHAnsi"/>
          <w:sz w:val="16"/>
        </w:rPr>
        <w:t>Hons</w:t>
      </w:r>
      <w:proofErr w:type="spellEnd"/>
      <w:r w:rsidR="00A1554B">
        <w:rPr>
          <w:rFonts w:asciiTheme="minorHAnsi" w:hAnsiTheme="minorHAnsi" w:cstheme="minorHAnsi"/>
          <w:sz w:val="16"/>
        </w:rPr>
        <w:t xml:space="preserve">; Postgraduate Certificate/Diploma; </w:t>
      </w:r>
      <w:proofErr w:type="spellStart"/>
      <w:r w:rsidR="00A1554B">
        <w:rPr>
          <w:rFonts w:asciiTheme="minorHAnsi" w:hAnsiTheme="minorHAnsi" w:cstheme="minorHAnsi"/>
          <w:sz w:val="16"/>
        </w:rPr>
        <w:t>Masters</w:t>
      </w:r>
      <w:proofErr w:type="spellEnd"/>
      <w:r w:rsidR="00A1554B">
        <w:rPr>
          <w:rFonts w:asciiTheme="minorHAnsi" w:hAnsiTheme="minorHAnsi" w:cstheme="minorHAnsi"/>
          <w:sz w:val="16"/>
        </w:rPr>
        <w:t xml:space="preserve"> Degree; PhD; Other. </w:t>
      </w:r>
    </w:p>
    <w:p w14:paraId="4F325BB4" w14:textId="77777777" w:rsidR="00C54BD6" w:rsidRPr="00C54BD6" w:rsidRDefault="00C54BD6" w:rsidP="00C54BD6">
      <w:pPr>
        <w:spacing w:line="240" w:lineRule="auto"/>
        <w:rPr>
          <w:rFonts w:asciiTheme="minorHAnsi" w:hAnsiTheme="minorHAnsi" w:cstheme="minorHAnsi"/>
          <w:sz w:val="16"/>
        </w:rPr>
      </w:pPr>
    </w:p>
    <w:p w14:paraId="59F4F57C" w14:textId="77777777" w:rsidR="00AB5CC7" w:rsidRDefault="00AB5CC7">
      <w:pPr>
        <w:spacing w:before="0" w:after="200" w:line="276" w:lineRule="auto"/>
        <w:jc w:val="left"/>
        <w:rPr>
          <w:rFonts w:asciiTheme="minorHAnsi" w:hAnsiTheme="minorHAnsi"/>
          <w:i/>
        </w:rPr>
      </w:pPr>
      <w:bookmarkStart w:id="302" w:name="_Ref397512235"/>
      <w:r>
        <w:rPr>
          <w:rFonts w:asciiTheme="minorHAnsi" w:hAnsiTheme="minorHAnsi"/>
          <w:i/>
        </w:rPr>
        <w:br w:type="page"/>
      </w:r>
    </w:p>
    <w:p w14:paraId="257A81DF" w14:textId="77777777" w:rsidR="003868A2" w:rsidRDefault="003868A2">
      <w:pPr>
        <w:spacing w:before="0" w:after="200" w:line="276" w:lineRule="auto"/>
        <w:jc w:val="left"/>
        <w:rPr>
          <w:rFonts w:asciiTheme="minorHAnsi" w:hAnsiTheme="minorHAnsi"/>
          <w:b/>
          <w:bCs/>
          <w:i/>
          <w:sz w:val="20"/>
          <w:szCs w:val="20"/>
        </w:rPr>
      </w:pPr>
    </w:p>
    <w:p w14:paraId="67D50A19" w14:textId="17127CBB" w:rsidR="00C54BD6" w:rsidRPr="00AF3A24" w:rsidRDefault="00C54BD6" w:rsidP="00C54BD6">
      <w:pPr>
        <w:pStyle w:val="Caption"/>
        <w:keepNext/>
        <w:spacing w:line="276" w:lineRule="auto"/>
        <w:ind w:left="993" w:hanging="993"/>
        <w:rPr>
          <w:rFonts w:asciiTheme="minorHAnsi" w:hAnsiTheme="minorHAnsi" w:cstheme="minorHAnsi"/>
          <w:i/>
          <w:vertAlign w:val="superscript"/>
        </w:rPr>
      </w:pPr>
      <w:bookmarkStart w:id="303" w:name="_Ref399857076"/>
      <w:bookmarkStart w:id="304" w:name="_Toc425426894"/>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27</w:t>
      </w:r>
      <w:r w:rsidRPr="00AF3A24">
        <w:rPr>
          <w:rFonts w:asciiTheme="minorHAnsi" w:hAnsiTheme="minorHAnsi"/>
          <w:i/>
        </w:rPr>
        <w:fldChar w:fldCharType="end"/>
      </w:r>
      <w:bookmarkEnd w:id="302"/>
      <w:bookmarkEnd w:id="303"/>
      <w:r w:rsidRPr="00AF3A24">
        <w:rPr>
          <w:rFonts w:asciiTheme="minorHAnsi" w:hAnsiTheme="minorHAnsi"/>
          <w:i/>
        </w:rPr>
        <w:t>:</w:t>
      </w:r>
      <w:r w:rsidRPr="00AF3A24">
        <w:rPr>
          <w:rFonts w:asciiTheme="minorHAnsi" w:hAnsiTheme="minorHAnsi" w:cstheme="minorHAnsi"/>
          <w:i/>
        </w:rPr>
        <w:tab/>
        <w:t xml:space="preserve">Gambling status by </w:t>
      </w:r>
      <w:r w:rsidR="00EB0279">
        <w:rPr>
          <w:rFonts w:asciiTheme="minorHAnsi" w:hAnsiTheme="minorHAnsi" w:cstheme="minorHAnsi"/>
          <w:i/>
        </w:rPr>
        <w:t>socio-demographic</w:t>
      </w:r>
      <w:r w:rsidRPr="00AF3A24">
        <w:rPr>
          <w:rFonts w:asciiTheme="minorHAnsi" w:hAnsiTheme="minorHAnsi" w:cstheme="minorHAnsi"/>
          <w:i/>
        </w:rPr>
        <w:t>s</w:t>
      </w:r>
      <w:r w:rsidR="005B0859">
        <w:rPr>
          <w:rFonts w:asciiTheme="minorHAnsi" w:hAnsiTheme="minorHAnsi" w:cstheme="minorHAnsi"/>
          <w:i/>
        </w:rPr>
        <w:t>,</w:t>
      </w:r>
      <w:r w:rsidRPr="00AF3A24">
        <w:rPr>
          <w:rFonts w:asciiTheme="minorHAnsi" w:hAnsiTheme="minorHAnsi" w:cstheme="minorHAnsi"/>
          <w:i/>
        </w:rPr>
        <w:t xml:space="preserve"> </w:t>
      </w:r>
      <w:r w:rsidR="005B0859">
        <w:rPr>
          <w:rFonts w:asciiTheme="minorHAnsi" w:hAnsiTheme="minorHAnsi" w:cstheme="minorHAnsi"/>
          <w:i/>
        </w:rPr>
        <w:t xml:space="preserve">total population aged 15 years and over - </w:t>
      </w:r>
      <w:r w:rsidRPr="00AF3A24">
        <w:rPr>
          <w:rFonts w:asciiTheme="minorHAnsi" w:hAnsiTheme="minorHAnsi" w:cstheme="minorHAnsi"/>
          <w:i/>
        </w:rPr>
        <w:t xml:space="preserve">Odds ratios and p-values </w:t>
      </w:r>
      <w:r w:rsidRPr="00AF3A24">
        <w:rPr>
          <w:rFonts w:asciiTheme="minorHAnsi" w:hAnsiTheme="minorHAnsi" w:cstheme="minorHAnsi"/>
          <w:i/>
          <w:vertAlign w:val="superscript"/>
        </w:rPr>
        <w:t>1</w:t>
      </w:r>
      <w:bookmarkEnd w:id="304"/>
      <w:r w:rsidRPr="00AF3A24">
        <w:rPr>
          <w:rFonts w:asciiTheme="minorHAnsi" w:hAnsiTheme="minorHAnsi" w:cstheme="minorHAnsi"/>
          <w:i/>
          <w:vertAlign w:val="superscript"/>
        </w:rPr>
        <w:t xml:space="preserve"> </w:t>
      </w:r>
    </w:p>
    <w:tbl>
      <w:tblPr>
        <w:tblStyle w:val="TableGrid"/>
        <w:tblW w:w="11307" w:type="dxa"/>
        <w:jc w:val="center"/>
        <w:tblLayout w:type="fixed"/>
        <w:tblLook w:val="04A0" w:firstRow="1" w:lastRow="0" w:firstColumn="1" w:lastColumn="0" w:noHBand="0" w:noVBand="1"/>
      </w:tblPr>
      <w:tblGrid>
        <w:gridCol w:w="4111"/>
        <w:gridCol w:w="2067"/>
        <w:gridCol w:w="2068"/>
        <w:gridCol w:w="2068"/>
        <w:gridCol w:w="993"/>
      </w:tblGrid>
      <w:tr w:rsidR="00C54BD6" w:rsidRPr="00AF3A24" w14:paraId="0908F7B5" w14:textId="77777777" w:rsidTr="00A310A6">
        <w:trPr>
          <w:trHeight w:val="386"/>
          <w:jc w:val="center"/>
        </w:trPr>
        <w:tc>
          <w:tcPr>
            <w:tcW w:w="4111" w:type="dxa"/>
            <w:vMerge w:val="restart"/>
            <w:shd w:val="clear" w:color="auto" w:fill="92CDDC" w:themeFill="accent5" w:themeFillTint="99"/>
          </w:tcPr>
          <w:p w14:paraId="72F142DC" w14:textId="77777777" w:rsidR="00C54BD6" w:rsidRPr="00AF3A24" w:rsidRDefault="00C54BD6" w:rsidP="00A310A6">
            <w:pPr>
              <w:spacing w:before="0" w:line="240" w:lineRule="auto"/>
              <w:jc w:val="left"/>
              <w:rPr>
                <w:rFonts w:asciiTheme="minorHAnsi" w:hAnsiTheme="minorHAnsi" w:cstheme="minorHAnsi"/>
                <w:b/>
                <w:sz w:val="18"/>
                <w:szCs w:val="18"/>
              </w:rPr>
            </w:pPr>
          </w:p>
        </w:tc>
        <w:tc>
          <w:tcPr>
            <w:tcW w:w="6203" w:type="dxa"/>
            <w:gridSpan w:val="3"/>
            <w:tcBorders>
              <w:bottom w:val="single" w:sz="4" w:space="0" w:color="auto"/>
            </w:tcBorders>
            <w:shd w:val="clear" w:color="auto" w:fill="92CDDC" w:themeFill="accent5" w:themeFillTint="99"/>
            <w:vAlign w:val="center"/>
          </w:tcPr>
          <w:p w14:paraId="2C9EF3B3"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993" w:type="dxa"/>
            <w:vMerge w:val="restart"/>
            <w:shd w:val="clear" w:color="auto" w:fill="92CDDC" w:themeFill="accent5" w:themeFillTint="99"/>
            <w:vAlign w:val="center"/>
          </w:tcPr>
          <w:p w14:paraId="68F7E494"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4</w:t>
            </w:r>
          </w:p>
        </w:tc>
      </w:tr>
      <w:tr w:rsidR="00C54BD6" w:rsidRPr="00AF3A24" w14:paraId="270AE44E" w14:textId="77777777" w:rsidTr="00A310A6">
        <w:trPr>
          <w:trHeight w:val="386"/>
          <w:jc w:val="center"/>
        </w:trPr>
        <w:tc>
          <w:tcPr>
            <w:tcW w:w="4111" w:type="dxa"/>
            <w:vMerge/>
            <w:shd w:val="clear" w:color="auto" w:fill="92CDDC" w:themeFill="accent5" w:themeFillTint="99"/>
          </w:tcPr>
          <w:p w14:paraId="38138A7C" w14:textId="77777777" w:rsidR="00C54BD6" w:rsidRPr="00AF3A24" w:rsidRDefault="00C54BD6"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60B48592"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People with no gambling problems </w:t>
            </w:r>
            <w:r w:rsidRPr="00AF3A24">
              <w:rPr>
                <w:rFonts w:asciiTheme="minorHAnsi" w:hAnsiTheme="minorHAnsi" w:cstheme="minorHAnsi"/>
                <w:b/>
                <w:sz w:val="18"/>
                <w:szCs w:val="18"/>
                <w:vertAlign w:val="superscript"/>
              </w:rPr>
              <w:t>2</w:t>
            </w:r>
          </w:p>
        </w:tc>
        <w:tc>
          <w:tcPr>
            <w:tcW w:w="2068" w:type="dxa"/>
            <w:shd w:val="clear" w:color="auto" w:fill="92CDDC" w:themeFill="accent5" w:themeFillTint="99"/>
            <w:vAlign w:val="center"/>
          </w:tcPr>
          <w:p w14:paraId="087519AB" w14:textId="77777777" w:rsidR="00C54BD6" w:rsidRPr="00AF3A24" w:rsidRDefault="00C54BD6"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Low-risk </w:t>
            </w:r>
          </w:p>
        </w:tc>
        <w:tc>
          <w:tcPr>
            <w:tcW w:w="2068" w:type="dxa"/>
            <w:shd w:val="clear" w:color="auto" w:fill="92CDDC" w:themeFill="accent5" w:themeFillTint="99"/>
            <w:vAlign w:val="center"/>
          </w:tcPr>
          <w:p w14:paraId="0F66709E" w14:textId="77777777" w:rsidR="00C54BD6" w:rsidRPr="00AF3A24" w:rsidRDefault="00C54BD6"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847789">
              <w:rPr>
                <w:rFonts w:asciiTheme="minorHAnsi" w:hAnsiTheme="minorHAnsi" w:cstheme="minorHAnsi"/>
                <w:b/>
                <w:sz w:val="18"/>
                <w:szCs w:val="18"/>
              </w:rPr>
              <w:t>m</w:t>
            </w:r>
            <w:r w:rsidRPr="00AF3A24">
              <w:rPr>
                <w:rFonts w:asciiTheme="minorHAnsi" w:hAnsiTheme="minorHAnsi" w:cstheme="minorHAnsi"/>
                <w:b/>
                <w:sz w:val="18"/>
                <w:szCs w:val="18"/>
              </w:rPr>
              <w:t xml:space="preserve">oderate-risk </w:t>
            </w:r>
            <w:r w:rsidR="00847789">
              <w:rPr>
                <w:rFonts w:asciiTheme="minorHAnsi" w:hAnsiTheme="minorHAnsi" w:cstheme="minorHAnsi"/>
                <w:b/>
                <w:sz w:val="18"/>
                <w:szCs w:val="18"/>
              </w:rPr>
              <w:t xml:space="preserve">and problem </w:t>
            </w:r>
            <w:r w:rsidRPr="00AF3A24">
              <w:rPr>
                <w:rFonts w:asciiTheme="minorHAnsi" w:hAnsiTheme="minorHAnsi" w:cstheme="minorHAnsi"/>
                <w:b/>
                <w:sz w:val="18"/>
                <w:szCs w:val="18"/>
                <w:vertAlign w:val="superscript"/>
              </w:rPr>
              <w:t>3</w:t>
            </w:r>
          </w:p>
        </w:tc>
        <w:tc>
          <w:tcPr>
            <w:tcW w:w="993" w:type="dxa"/>
            <w:vMerge/>
            <w:shd w:val="clear" w:color="auto" w:fill="92CDDC" w:themeFill="accent5" w:themeFillTint="99"/>
            <w:vAlign w:val="center"/>
          </w:tcPr>
          <w:p w14:paraId="67FB196A" w14:textId="77777777" w:rsidR="00C54BD6" w:rsidRPr="00AF3A24" w:rsidRDefault="00C54BD6" w:rsidP="00A310A6">
            <w:pPr>
              <w:spacing w:before="0" w:line="240" w:lineRule="auto"/>
              <w:jc w:val="center"/>
              <w:rPr>
                <w:rFonts w:asciiTheme="minorHAnsi" w:hAnsiTheme="minorHAnsi" w:cstheme="minorHAnsi"/>
                <w:b/>
                <w:sz w:val="18"/>
                <w:szCs w:val="18"/>
              </w:rPr>
            </w:pPr>
          </w:p>
        </w:tc>
      </w:tr>
      <w:tr w:rsidR="00C54BD6" w:rsidRPr="00AF3A24" w14:paraId="3F3BA03F" w14:textId="77777777" w:rsidTr="00A310A6">
        <w:trPr>
          <w:trHeight w:val="386"/>
          <w:jc w:val="center"/>
        </w:trPr>
        <w:tc>
          <w:tcPr>
            <w:tcW w:w="4111" w:type="dxa"/>
            <w:vMerge/>
            <w:tcBorders>
              <w:bottom w:val="single" w:sz="4" w:space="0" w:color="auto"/>
            </w:tcBorders>
            <w:shd w:val="clear" w:color="auto" w:fill="92CDDC" w:themeFill="accent5" w:themeFillTint="99"/>
          </w:tcPr>
          <w:p w14:paraId="67E55448" w14:textId="77777777" w:rsidR="00C54BD6" w:rsidRPr="00AF3A24" w:rsidRDefault="00C54BD6"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63DF4717" w14:textId="77777777" w:rsidR="00C54BD6" w:rsidRPr="00AF3A24" w:rsidRDefault="00C54BD6" w:rsidP="00076DDA">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w:t>
            </w:r>
            <w:r w:rsidR="00076DDA">
              <w:rPr>
                <w:rFonts w:asciiTheme="minorHAnsi" w:hAnsiTheme="minorHAnsi" w:cstheme="minorHAnsi"/>
                <w:b/>
                <w:sz w:val="18"/>
                <w:szCs w:val="18"/>
              </w:rPr>
              <w:t>ds ratio</w:t>
            </w:r>
          </w:p>
        </w:tc>
        <w:tc>
          <w:tcPr>
            <w:tcW w:w="2068" w:type="dxa"/>
            <w:tcBorders>
              <w:bottom w:val="single" w:sz="4" w:space="0" w:color="auto"/>
            </w:tcBorders>
            <w:shd w:val="clear" w:color="auto" w:fill="92CDDC" w:themeFill="accent5" w:themeFillTint="99"/>
            <w:vAlign w:val="center"/>
          </w:tcPr>
          <w:p w14:paraId="07B71DA4"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16F8DFB7"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068" w:type="dxa"/>
            <w:tcBorders>
              <w:bottom w:val="single" w:sz="4" w:space="0" w:color="auto"/>
            </w:tcBorders>
            <w:shd w:val="clear" w:color="auto" w:fill="92CDDC" w:themeFill="accent5" w:themeFillTint="99"/>
            <w:vAlign w:val="center"/>
          </w:tcPr>
          <w:p w14:paraId="64AB3FBA"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18B8B104" w14:textId="77777777" w:rsidR="00C54BD6" w:rsidRPr="00AF3A24" w:rsidRDefault="00C54BD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93" w:type="dxa"/>
            <w:vMerge/>
            <w:tcBorders>
              <w:bottom w:val="single" w:sz="4" w:space="0" w:color="auto"/>
            </w:tcBorders>
            <w:shd w:val="clear" w:color="auto" w:fill="92CDDC" w:themeFill="accent5" w:themeFillTint="99"/>
            <w:vAlign w:val="center"/>
          </w:tcPr>
          <w:p w14:paraId="006BB642" w14:textId="77777777" w:rsidR="00C54BD6" w:rsidRPr="00AF3A24" w:rsidRDefault="00C54BD6" w:rsidP="00A310A6">
            <w:pPr>
              <w:spacing w:before="0" w:line="240" w:lineRule="auto"/>
              <w:jc w:val="center"/>
              <w:rPr>
                <w:rFonts w:asciiTheme="minorHAnsi" w:hAnsiTheme="minorHAnsi" w:cstheme="minorHAnsi"/>
                <w:b/>
                <w:sz w:val="18"/>
                <w:szCs w:val="18"/>
              </w:rPr>
            </w:pPr>
          </w:p>
        </w:tc>
      </w:tr>
      <w:tr w:rsidR="00C54BD6" w:rsidRPr="00AF3A24" w14:paraId="7AD69C85" w14:textId="77777777" w:rsidTr="00A310A6">
        <w:trPr>
          <w:jc w:val="center"/>
        </w:trPr>
        <w:tc>
          <w:tcPr>
            <w:tcW w:w="4111" w:type="dxa"/>
            <w:tcBorders>
              <w:top w:val="single" w:sz="4" w:space="0" w:color="auto"/>
            </w:tcBorders>
            <w:shd w:val="clear" w:color="auto" w:fill="DAEEF3" w:themeFill="accent5" w:themeFillTint="33"/>
            <w:vAlign w:val="center"/>
          </w:tcPr>
          <w:p w14:paraId="6D7F7969" w14:textId="77777777" w:rsidR="00C54BD6" w:rsidRPr="003B0CDB" w:rsidRDefault="00C54BD6" w:rsidP="00A310A6">
            <w:pPr>
              <w:spacing w:before="0" w:line="240" w:lineRule="auto"/>
              <w:ind w:left="178" w:hanging="178"/>
              <w:jc w:val="left"/>
              <w:rPr>
                <w:rFonts w:asciiTheme="minorHAnsi" w:hAnsiTheme="minorHAnsi" w:cstheme="minorHAnsi"/>
                <w:sz w:val="16"/>
                <w:szCs w:val="16"/>
              </w:rPr>
            </w:pPr>
            <w:r w:rsidRPr="003B0CDB">
              <w:rPr>
                <w:rFonts w:asciiTheme="minorHAnsi" w:hAnsiTheme="minorHAnsi" w:cstheme="minorHAnsi"/>
                <w:b/>
                <w:sz w:val="16"/>
                <w:szCs w:val="16"/>
              </w:rPr>
              <w:t>HIGHEST LEVEL OF EDUCATION</w:t>
            </w:r>
          </w:p>
        </w:tc>
        <w:tc>
          <w:tcPr>
            <w:tcW w:w="2067" w:type="dxa"/>
            <w:tcBorders>
              <w:left w:val="nil"/>
              <w:bottom w:val="nil"/>
              <w:right w:val="single" w:sz="4" w:space="0" w:color="auto"/>
            </w:tcBorders>
            <w:shd w:val="clear" w:color="auto" w:fill="DAEEF3" w:themeFill="accent5" w:themeFillTint="33"/>
            <w:vAlign w:val="center"/>
          </w:tcPr>
          <w:p w14:paraId="4E61A55C" w14:textId="77777777" w:rsidR="00C54BD6" w:rsidRPr="00AF3A24" w:rsidRDefault="00C54BD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w:t>
            </w:r>
          </w:p>
        </w:tc>
        <w:tc>
          <w:tcPr>
            <w:tcW w:w="2068" w:type="dxa"/>
            <w:tcBorders>
              <w:left w:val="nil"/>
              <w:right w:val="single" w:sz="4" w:space="0" w:color="auto"/>
            </w:tcBorders>
            <w:shd w:val="clear" w:color="auto" w:fill="DAEEF3" w:themeFill="accent5" w:themeFillTint="33"/>
            <w:vAlign w:val="center"/>
          </w:tcPr>
          <w:p w14:paraId="131189C6" w14:textId="77777777" w:rsidR="00C54BD6" w:rsidRPr="00AF3A24" w:rsidRDefault="00C54BD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w:t>
            </w:r>
            <w:r w:rsidRPr="00AF3A24">
              <w:rPr>
                <w:rFonts w:asciiTheme="minorHAnsi" w:hAnsiTheme="minorHAnsi"/>
                <w:bCs/>
                <w:color w:val="000000"/>
                <w:sz w:val="16"/>
                <w:szCs w:val="18"/>
              </w:rPr>
              <w:br/>
              <w:t>(0.8 - 1.6)</w:t>
            </w:r>
          </w:p>
        </w:tc>
        <w:tc>
          <w:tcPr>
            <w:tcW w:w="2068" w:type="dxa"/>
            <w:tcBorders>
              <w:left w:val="single" w:sz="4" w:space="0" w:color="auto"/>
              <w:right w:val="single" w:sz="4" w:space="0" w:color="auto"/>
            </w:tcBorders>
            <w:shd w:val="clear" w:color="auto" w:fill="DAEEF3" w:themeFill="accent5" w:themeFillTint="33"/>
            <w:vAlign w:val="center"/>
          </w:tcPr>
          <w:p w14:paraId="22DF321F" w14:textId="77777777" w:rsidR="00C54BD6" w:rsidRPr="00AF3A24" w:rsidRDefault="00C54BD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w:t>
            </w:r>
            <w:r w:rsidRPr="00AF3A24">
              <w:rPr>
                <w:rFonts w:asciiTheme="minorHAnsi" w:hAnsiTheme="minorHAnsi"/>
                <w:bCs/>
                <w:color w:val="000000"/>
                <w:sz w:val="16"/>
                <w:szCs w:val="18"/>
              </w:rPr>
              <w:br/>
              <w:t>(0.7 - 1.6)</w:t>
            </w:r>
          </w:p>
        </w:tc>
        <w:tc>
          <w:tcPr>
            <w:tcW w:w="993" w:type="dxa"/>
            <w:tcBorders>
              <w:left w:val="single" w:sz="4" w:space="0" w:color="auto"/>
              <w:right w:val="single" w:sz="4" w:space="0" w:color="auto"/>
            </w:tcBorders>
            <w:shd w:val="clear" w:color="auto" w:fill="DAEEF3" w:themeFill="accent5" w:themeFillTint="33"/>
            <w:vAlign w:val="center"/>
          </w:tcPr>
          <w:p w14:paraId="679283C9" w14:textId="77777777" w:rsidR="00C54BD6" w:rsidRPr="00AF3A24" w:rsidRDefault="00C54BD6" w:rsidP="00A310A6">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0.74</w:t>
            </w:r>
          </w:p>
        </w:tc>
      </w:tr>
      <w:tr w:rsidR="00C54BD6" w:rsidRPr="00AF3A24" w14:paraId="738DA1F9" w14:textId="77777777" w:rsidTr="00A310A6">
        <w:trPr>
          <w:jc w:val="center"/>
        </w:trPr>
        <w:tc>
          <w:tcPr>
            <w:tcW w:w="4111" w:type="dxa"/>
            <w:tcBorders>
              <w:top w:val="single" w:sz="4" w:space="0" w:color="auto"/>
            </w:tcBorders>
            <w:shd w:val="clear" w:color="auto" w:fill="DAEEF3" w:themeFill="accent5" w:themeFillTint="33"/>
            <w:vAlign w:val="center"/>
          </w:tcPr>
          <w:p w14:paraId="163F86BE" w14:textId="77777777" w:rsidR="00C54BD6" w:rsidRPr="003B0CDB" w:rsidRDefault="00C54BD6" w:rsidP="00A310A6">
            <w:pPr>
              <w:spacing w:before="0" w:line="240" w:lineRule="auto"/>
              <w:ind w:left="178" w:hanging="178"/>
              <w:jc w:val="left"/>
              <w:rPr>
                <w:rFonts w:asciiTheme="minorHAnsi" w:hAnsiTheme="minorHAnsi" w:cstheme="minorHAnsi"/>
                <w:b/>
                <w:sz w:val="16"/>
                <w:szCs w:val="16"/>
              </w:rPr>
            </w:pPr>
            <w:r w:rsidRPr="00AF3A24">
              <w:rPr>
                <w:rFonts w:asciiTheme="minorHAnsi" w:hAnsiTheme="minorHAnsi" w:cstheme="minorHAnsi"/>
                <w:b/>
                <w:sz w:val="16"/>
                <w:szCs w:val="16"/>
              </w:rPr>
              <w:t>EMPLOYMENT STATU</w:t>
            </w:r>
            <w:r>
              <w:rPr>
                <w:rFonts w:asciiTheme="minorHAnsi" w:hAnsiTheme="minorHAnsi" w:cstheme="minorHAnsi"/>
                <w:b/>
                <w:sz w:val="16"/>
                <w:szCs w:val="16"/>
              </w:rPr>
              <w:t xml:space="preserve">S: </w:t>
            </w:r>
            <w:r w:rsidRPr="003B0CDB">
              <w:rPr>
                <w:rFonts w:asciiTheme="minorHAnsi" w:hAnsiTheme="minorHAnsi" w:cstheme="minorHAnsi"/>
                <w:b/>
                <w:sz w:val="16"/>
                <w:szCs w:val="16"/>
              </w:rPr>
              <w:t>LEVEL OF EMPLOYMENT</w:t>
            </w:r>
          </w:p>
        </w:tc>
        <w:tc>
          <w:tcPr>
            <w:tcW w:w="2067" w:type="dxa"/>
            <w:tcBorders>
              <w:left w:val="nil"/>
              <w:bottom w:val="nil"/>
              <w:right w:val="single" w:sz="4" w:space="0" w:color="auto"/>
            </w:tcBorders>
            <w:shd w:val="clear" w:color="auto" w:fill="DAEEF3" w:themeFill="accent5" w:themeFillTint="33"/>
            <w:vAlign w:val="center"/>
          </w:tcPr>
          <w:p w14:paraId="1E20D435"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6C79BD08"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p>
          <w:p w14:paraId="1555DC90"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(0.8 - 1.8)</w:t>
            </w:r>
          </w:p>
        </w:tc>
        <w:tc>
          <w:tcPr>
            <w:tcW w:w="2068" w:type="dxa"/>
            <w:tcBorders>
              <w:left w:val="single" w:sz="4" w:space="0" w:color="auto"/>
              <w:right w:val="single" w:sz="4" w:space="0" w:color="auto"/>
            </w:tcBorders>
            <w:shd w:val="clear" w:color="auto" w:fill="DAEEF3" w:themeFill="accent5" w:themeFillTint="33"/>
            <w:vAlign w:val="center"/>
          </w:tcPr>
          <w:p w14:paraId="19FB2F25"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p>
          <w:p w14:paraId="544C6612"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(0.8 - 2.2)</w:t>
            </w:r>
          </w:p>
        </w:tc>
        <w:tc>
          <w:tcPr>
            <w:tcW w:w="993" w:type="dxa"/>
            <w:tcBorders>
              <w:left w:val="single" w:sz="4" w:space="0" w:color="auto"/>
              <w:right w:val="single" w:sz="4" w:space="0" w:color="auto"/>
            </w:tcBorders>
            <w:shd w:val="clear" w:color="auto" w:fill="DAEEF3" w:themeFill="accent5" w:themeFillTint="33"/>
            <w:vAlign w:val="center"/>
          </w:tcPr>
          <w:p w14:paraId="11F4B342" w14:textId="77777777" w:rsidR="00C54BD6" w:rsidRPr="00AF3A24" w:rsidRDefault="00C54BD6"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0.36</w:t>
            </w:r>
          </w:p>
        </w:tc>
      </w:tr>
      <w:tr w:rsidR="00C54BD6" w:rsidRPr="00AF3A24" w14:paraId="3058041B"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1B8BB3BD" w14:textId="77777777" w:rsidR="00C54BD6" w:rsidRPr="00AF3A24" w:rsidRDefault="00C54BD6" w:rsidP="00A310A6">
            <w:pPr>
              <w:spacing w:before="0" w:line="240" w:lineRule="auto"/>
              <w:ind w:left="178" w:hanging="178"/>
              <w:jc w:val="left"/>
              <w:rPr>
                <w:rFonts w:asciiTheme="minorHAnsi" w:hAnsiTheme="minorHAnsi" w:cstheme="minorHAnsi"/>
                <w:b/>
                <w:sz w:val="16"/>
                <w:szCs w:val="16"/>
              </w:rPr>
            </w:pPr>
            <w:r w:rsidRPr="00AF3A24">
              <w:rPr>
                <w:rFonts w:asciiTheme="minorHAnsi" w:hAnsiTheme="minorHAnsi" w:cstheme="minorHAnsi"/>
                <w:b/>
                <w:sz w:val="16"/>
                <w:szCs w:val="16"/>
              </w:rPr>
              <w:t xml:space="preserve">LENGTH OF TIME LIVING IN NEW ZEALAND </w:t>
            </w:r>
            <w:r w:rsidRPr="003B0CDB">
              <w:rPr>
                <w:rFonts w:asciiTheme="minorHAnsi" w:hAnsiTheme="minorHAnsi" w:cstheme="minorHAnsi"/>
                <w:b/>
                <w:sz w:val="16"/>
                <w:szCs w:val="16"/>
                <w:vertAlign w:val="superscript"/>
              </w:rPr>
              <w:t>5</w:t>
            </w:r>
            <w:r w:rsidRPr="003B0CDB">
              <w:rPr>
                <w:rFonts w:asciiTheme="minorHAnsi" w:hAnsiTheme="minorHAnsi" w:cstheme="minorHAnsi"/>
                <w:b/>
                <w:sz w:val="16"/>
                <w:szCs w:val="16"/>
              </w:rPr>
              <w:t>: NZ RESIDENT FOR ≤ 5 YEARS</w:t>
            </w:r>
          </w:p>
        </w:tc>
        <w:tc>
          <w:tcPr>
            <w:tcW w:w="2067" w:type="dxa"/>
            <w:tcBorders>
              <w:left w:val="nil"/>
              <w:bottom w:val="single" w:sz="4" w:space="0" w:color="auto"/>
              <w:right w:val="single" w:sz="4" w:space="0" w:color="auto"/>
            </w:tcBorders>
            <w:shd w:val="clear" w:color="auto" w:fill="DAEEF3" w:themeFill="accent5" w:themeFillTint="33"/>
            <w:vAlign w:val="center"/>
          </w:tcPr>
          <w:p w14:paraId="597B0AE3"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vAlign w:val="center"/>
          </w:tcPr>
          <w:p w14:paraId="605D8D44"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p>
          <w:p w14:paraId="00014BA3"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(0.5 - 2.2)</w:t>
            </w:r>
          </w:p>
        </w:tc>
        <w:tc>
          <w:tcPr>
            <w:tcW w:w="2068" w:type="dxa"/>
            <w:tcBorders>
              <w:left w:val="single" w:sz="4" w:space="0" w:color="auto"/>
              <w:bottom w:val="single" w:sz="4" w:space="0" w:color="auto"/>
              <w:right w:val="single" w:sz="4" w:space="0" w:color="auto"/>
            </w:tcBorders>
            <w:shd w:val="clear" w:color="auto" w:fill="DAEEF3" w:themeFill="accent5" w:themeFillTint="33"/>
            <w:vAlign w:val="center"/>
          </w:tcPr>
          <w:p w14:paraId="4CBF6F33"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6.4</w:t>
            </w:r>
          </w:p>
          <w:p w14:paraId="6719E034"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(1.2 - 32.4)</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66BB0913" w14:textId="77777777" w:rsidR="00C54BD6" w:rsidRPr="00AF3A24" w:rsidRDefault="00C54BD6"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0.08</w:t>
            </w:r>
          </w:p>
        </w:tc>
      </w:tr>
      <w:tr w:rsidR="00C54BD6" w:rsidRPr="00AF3A24" w14:paraId="6553FF8E"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3BA2505B" w14:textId="77777777" w:rsidR="00C54BD6" w:rsidRPr="003B0CDB" w:rsidRDefault="00C54BD6" w:rsidP="00A310A6">
            <w:pPr>
              <w:spacing w:before="0" w:line="240" w:lineRule="auto"/>
              <w:ind w:left="178" w:hanging="178"/>
              <w:jc w:val="left"/>
              <w:rPr>
                <w:rFonts w:asciiTheme="minorHAnsi" w:hAnsiTheme="minorHAnsi" w:cstheme="minorHAnsi"/>
                <w:b/>
                <w:sz w:val="16"/>
                <w:szCs w:val="16"/>
              </w:rPr>
            </w:pPr>
            <w:r w:rsidRPr="00AF3A24">
              <w:rPr>
                <w:rFonts w:asciiTheme="minorHAnsi" w:hAnsiTheme="minorHAnsi" w:cstheme="minorHAnsi"/>
                <w:b/>
                <w:sz w:val="16"/>
                <w:szCs w:val="16"/>
              </w:rPr>
              <w:t xml:space="preserve">RESIDENT </w:t>
            </w:r>
            <w:r>
              <w:rPr>
                <w:rFonts w:asciiTheme="minorHAnsi" w:hAnsiTheme="minorHAnsi" w:cstheme="minorHAnsi"/>
                <w:b/>
                <w:sz w:val="16"/>
                <w:szCs w:val="16"/>
              </w:rPr>
              <w:t xml:space="preserve">OF CHRISTCHURCH </w:t>
            </w:r>
            <w:r w:rsidRPr="00AF3A24">
              <w:rPr>
                <w:rFonts w:asciiTheme="minorHAnsi" w:hAnsiTheme="minorHAnsi" w:cstheme="minorHAnsi"/>
                <w:b/>
                <w:sz w:val="16"/>
                <w:szCs w:val="16"/>
              </w:rPr>
              <w:t xml:space="preserve">AT TIME OF </w:t>
            </w:r>
            <w:r>
              <w:rPr>
                <w:rFonts w:asciiTheme="minorHAnsi" w:hAnsiTheme="minorHAnsi" w:cstheme="minorHAnsi"/>
                <w:b/>
                <w:sz w:val="16"/>
                <w:szCs w:val="16"/>
              </w:rPr>
              <w:t>THE 22 FEBRUARY 2011 EARTHQUAKE</w:t>
            </w:r>
          </w:p>
        </w:tc>
        <w:tc>
          <w:tcPr>
            <w:tcW w:w="2067" w:type="dxa"/>
            <w:tcBorders>
              <w:left w:val="nil"/>
              <w:bottom w:val="single" w:sz="4" w:space="0" w:color="auto"/>
              <w:right w:val="single" w:sz="4" w:space="0" w:color="auto"/>
            </w:tcBorders>
            <w:shd w:val="clear" w:color="auto" w:fill="DAEEF3" w:themeFill="accent5" w:themeFillTint="33"/>
            <w:vAlign w:val="center"/>
          </w:tcPr>
          <w:p w14:paraId="5CF19703"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vAlign w:val="center"/>
          </w:tcPr>
          <w:p w14:paraId="3B3B33C5"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w:t>
            </w:r>
          </w:p>
          <w:p w14:paraId="693DD2B2"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(0.4 - 1.2)</w:t>
            </w:r>
          </w:p>
        </w:tc>
        <w:tc>
          <w:tcPr>
            <w:tcW w:w="2068" w:type="dxa"/>
            <w:tcBorders>
              <w:left w:val="single" w:sz="4" w:space="0" w:color="auto"/>
              <w:bottom w:val="single" w:sz="4" w:space="0" w:color="auto"/>
              <w:right w:val="single" w:sz="4" w:space="0" w:color="auto"/>
            </w:tcBorders>
            <w:shd w:val="clear" w:color="auto" w:fill="DAEEF3" w:themeFill="accent5" w:themeFillTint="33"/>
            <w:vAlign w:val="center"/>
          </w:tcPr>
          <w:p w14:paraId="03C8F778"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p>
          <w:p w14:paraId="4FCA7349" w14:textId="77777777" w:rsidR="00C54BD6" w:rsidRPr="00AF3A24" w:rsidRDefault="00C54BD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(0.5 - 2.0)</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24B5964E" w14:textId="77777777" w:rsidR="00C54BD6" w:rsidRPr="00AF3A24" w:rsidRDefault="00C54BD6"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0.44</w:t>
            </w:r>
          </w:p>
        </w:tc>
      </w:tr>
    </w:tbl>
    <w:p w14:paraId="627FE6E4" w14:textId="77777777" w:rsidR="00C54BD6" w:rsidRPr="00AF3A24" w:rsidRDefault="00C54BD6" w:rsidP="00C54BD6">
      <w:pPr>
        <w:spacing w:before="0" w:line="240" w:lineRule="auto"/>
        <w:ind w:left="1134" w:right="1380"/>
        <w:rPr>
          <w:rFonts w:asciiTheme="minorHAnsi" w:hAnsiTheme="minorHAnsi" w:cstheme="minorHAnsi"/>
          <w:sz w:val="16"/>
        </w:rPr>
      </w:pPr>
      <w:r w:rsidRPr="00AF3A24">
        <w:rPr>
          <w:rFonts w:asciiTheme="minorHAnsi" w:hAnsiTheme="minorHAnsi" w:cstheme="minorHAnsi"/>
          <w:sz w:val="16"/>
        </w:rPr>
        <w:t>Notes:</w:t>
      </w:r>
    </w:p>
    <w:p w14:paraId="5FC99FC7" w14:textId="734E9C47" w:rsidR="00C54BD6" w:rsidRPr="00AF3A24" w:rsidRDefault="00C54BD6" w:rsidP="006A0B0E">
      <w:pPr>
        <w:pStyle w:val="ListParagraph"/>
        <w:numPr>
          <w:ilvl w:val="0"/>
          <w:numId w:val="26"/>
        </w:numPr>
        <w:spacing w:line="240" w:lineRule="auto"/>
        <w:ind w:left="1560" w:right="1380"/>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55038529" w14:textId="77777777" w:rsidR="00C54BD6" w:rsidRPr="00AF3A24" w:rsidRDefault="00C54BD6" w:rsidP="006A0B0E">
      <w:pPr>
        <w:pStyle w:val="ListParagraph"/>
        <w:numPr>
          <w:ilvl w:val="0"/>
          <w:numId w:val="26"/>
        </w:numPr>
        <w:spacing w:line="240" w:lineRule="auto"/>
        <w:ind w:left="1560" w:right="1380"/>
        <w:rPr>
          <w:rFonts w:asciiTheme="minorHAnsi" w:hAnsiTheme="minorHAnsi" w:cstheme="minorHAnsi"/>
          <w:sz w:val="16"/>
        </w:rPr>
      </w:pPr>
      <w:r w:rsidRPr="00AF3A24">
        <w:rPr>
          <w:rFonts w:asciiTheme="minorHAnsi" w:hAnsiTheme="minorHAnsi" w:cstheme="minorHAnsi"/>
          <w:sz w:val="16"/>
        </w:rPr>
        <w:t xml:space="preserve">‘People with no gambling problems’ have been defined as non-gamblers and recreational gamblers. </w:t>
      </w:r>
    </w:p>
    <w:p w14:paraId="03185701" w14:textId="77777777" w:rsidR="00C54BD6" w:rsidRPr="00AF3A24" w:rsidRDefault="00C54BD6" w:rsidP="006A0B0E">
      <w:pPr>
        <w:pStyle w:val="ListParagraph"/>
        <w:numPr>
          <w:ilvl w:val="0"/>
          <w:numId w:val="26"/>
        </w:numPr>
        <w:spacing w:line="240" w:lineRule="auto"/>
        <w:ind w:left="1560" w:right="1380"/>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57CE846C" w14:textId="77777777" w:rsidR="00C54BD6" w:rsidRPr="00AF3A24" w:rsidRDefault="00C54BD6" w:rsidP="006A0B0E">
      <w:pPr>
        <w:pStyle w:val="ListParagraph"/>
        <w:numPr>
          <w:ilvl w:val="0"/>
          <w:numId w:val="26"/>
        </w:numPr>
        <w:spacing w:line="240" w:lineRule="auto"/>
        <w:ind w:left="1560" w:right="1380"/>
        <w:rPr>
          <w:rFonts w:asciiTheme="minorHAnsi" w:hAnsiTheme="minorHAnsi" w:cstheme="minorHAnsi"/>
          <w:sz w:val="16"/>
        </w:rPr>
      </w:pPr>
      <w:r w:rsidRPr="00AF3A24">
        <w:rPr>
          <w:rFonts w:asciiTheme="minorHAnsi" w:hAnsiTheme="minorHAnsi" w:cstheme="minorHAnsi"/>
          <w:sz w:val="16"/>
        </w:rPr>
        <w:t>Logistic regression analyses have controlled for gender, age, ethnicity, neighbourhood deprivation, and geography (urban/rural).</w:t>
      </w:r>
    </w:p>
    <w:p w14:paraId="28BB12E2" w14:textId="77777777" w:rsidR="00C54BD6" w:rsidRPr="00AF3A24" w:rsidRDefault="00C54BD6" w:rsidP="006A0B0E">
      <w:pPr>
        <w:pStyle w:val="ListParagraph"/>
        <w:numPr>
          <w:ilvl w:val="0"/>
          <w:numId w:val="26"/>
        </w:numPr>
        <w:spacing w:line="240" w:lineRule="auto"/>
        <w:ind w:left="1560" w:right="1380"/>
        <w:rPr>
          <w:rFonts w:asciiTheme="minorHAnsi" w:hAnsiTheme="minorHAnsi" w:cstheme="minorHAnsi"/>
          <w:sz w:val="16"/>
        </w:rPr>
      </w:pPr>
      <w:r w:rsidRPr="00AF3A24">
        <w:rPr>
          <w:rFonts w:asciiTheme="minorHAnsi" w:hAnsiTheme="minorHAnsi" w:cstheme="minorHAnsi"/>
          <w:sz w:val="16"/>
        </w:rPr>
        <w:t xml:space="preserve">Applies only to those born </w:t>
      </w:r>
      <w:r>
        <w:rPr>
          <w:rFonts w:asciiTheme="minorHAnsi" w:hAnsiTheme="minorHAnsi" w:cstheme="minorHAnsi"/>
          <w:sz w:val="16"/>
        </w:rPr>
        <w:t>outside of</w:t>
      </w:r>
      <w:r w:rsidRPr="00AF3A24">
        <w:rPr>
          <w:rFonts w:asciiTheme="minorHAnsi" w:hAnsiTheme="minorHAnsi" w:cstheme="minorHAnsi"/>
          <w:sz w:val="16"/>
        </w:rPr>
        <w:t xml:space="preserve"> New Zealand.</w:t>
      </w:r>
    </w:p>
    <w:p w14:paraId="2BD024F2" w14:textId="77777777" w:rsidR="00C54BD6" w:rsidRPr="00C54BD6" w:rsidRDefault="00C54BD6" w:rsidP="00C54BD6"/>
    <w:p w14:paraId="6B261E45" w14:textId="77777777" w:rsidR="00C54BD6" w:rsidRDefault="00C54BD6">
      <w:pPr>
        <w:spacing w:before="0" w:after="200" w:line="276" w:lineRule="auto"/>
        <w:jc w:val="left"/>
        <w:rPr>
          <w:rFonts w:asciiTheme="minorHAnsi" w:hAnsiTheme="minorHAnsi" w:cstheme="minorHAnsi"/>
          <w:b/>
          <w:bCs/>
          <w:iCs/>
          <w:color w:val="1F497D"/>
        </w:rPr>
      </w:pPr>
      <w:r>
        <w:rPr>
          <w:rFonts w:asciiTheme="minorHAnsi" w:hAnsiTheme="minorHAnsi"/>
        </w:rPr>
        <w:br w:type="page"/>
      </w:r>
    </w:p>
    <w:p w14:paraId="30642C69" w14:textId="77777777" w:rsidR="00C54BD6" w:rsidRPr="00FB0B7B" w:rsidRDefault="00C54BD6" w:rsidP="008F7A58">
      <w:pPr>
        <w:pStyle w:val="FionasAppendixtitles"/>
        <w:ind w:left="1134"/>
      </w:pPr>
      <w:bookmarkStart w:id="305" w:name="_Ref397590678"/>
      <w:bookmarkStart w:id="306" w:name="_Ref397590692"/>
      <w:bookmarkStart w:id="307" w:name="_Ref398027987"/>
      <w:bookmarkStart w:id="308" w:name="_Ref398028389"/>
      <w:bookmarkStart w:id="309" w:name="_Toc403833219"/>
      <w:r w:rsidRPr="00FB0B7B">
        <w:lastRenderedPageBreak/>
        <w:t>Dangerous consumptions and gambling</w:t>
      </w:r>
      <w:bookmarkEnd w:id="305"/>
      <w:bookmarkEnd w:id="306"/>
      <w:bookmarkEnd w:id="307"/>
      <w:bookmarkEnd w:id="308"/>
      <w:bookmarkEnd w:id="309"/>
    </w:p>
    <w:p w14:paraId="0E088EFD" w14:textId="220FA205" w:rsidR="00274F16" w:rsidRPr="00AF3A24" w:rsidRDefault="00274F16" w:rsidP="00274F16">
      <w:pPr>
        <w:pStyle w:val="Caption"/>
        <w:keepNext/>
        <w:spacing w:line="276" w:lineRule="auto"/>
        <w:ind w:left="993" w:hanging="993"/>
        <w:rPr>
          <w:rFonts w:asciiTheme="minorHAnsi" w:hAnsiTheme="minorHAnsi" w:cstheme="minorHAnsi"/>
          <w:i/>
          <w:vertAlign w:val="superscript"/>
        </w:rPr>
      </w:pPr>
      <w:bookmarkStart w:id="310" w:name="_Ref397529931"/>
      <w:bookmarkStart w:id="311" w:name="_Toc425426895"/>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28</w:t>
      </w:r>
      <w:r w:rsidRPr="00AF3A24">
        <w:rPr>
          <w:rFonts w:asciiTheme="minorHAnsi" w:hAnsiTheme="minorHAnsi"/>
          <w:i/>
        </w:rPr>
        <w:fldChar w:fldCharType="end"/>
      </w:r>
      <w:bookmarkEnd w:id="310"/>
      <w:r w:rsidRPr="00AF3A24">
        <w:rPr>
          <w:rFonts w:asciiTheme="minorHAnsi" w:hAnsiTheme="minorHAnsi"/>
          <w:i/>
        </w:rPr>
        <w:t>:</w:t>
      </w:r>
      <w:r w:rsidRPr="00AF3A24">
        <w:rPr>
          <w:rFonts w:asciiTheme="minorHAnsi" w:hAnsiTheme="minorHAnsi" w:cstheme="minorHAnsi"/>
          <w:i/>
        </w:rPr>
        <w:tab/>
        <w:t>Dangerous consumptions and gambling status (PGSI categorisation)</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(unadjusted prevalence) </w:t>
      </w:r>
      <w:r w:rsidRPr="00AF3A24">
        <w:rPr>
          <w:rFonts w:asciiTheme="minorHAnsi" w:hAnsiTheme="minorHAnsi" w:cstheme="minorHAnsi"/>
          <w:i/>
          <w:vertAlign w:val="superscript"/>
        </w:rPr>
        <w:t>1</w:t>
      </w:r>
      <w:bookmarkEnd w:id="311"/>
    </w:p>
    <w:tbl>
      <w:tblPr>
        <w:tblStyle w:val="TableGrid"/>
        <w:tblW w:w="13091" w:type="dxa"/>
        <w:jc w:val="center"/>
        <w:tblLayout w:type="fixed"/>
        <w:tblLook w:val="04A0" w:firstRow="1" w:lastRow="0" w:firstColumn="1" w:lastColumn="0" w:noHBand="0" w:noVBand="1"/>
      </w:tblPr>
      <w:tblGrid>
        <w:gridCol w:w="3257"/>
        <w:gridCol w:w="895"/>
        <w:gridCol w:w="1080"/>
        <w:gridCol w:w="839"/>
        <w:gridCol w:w="1080"/>
        <w:gridCol w:w="900"/>
        <w:gridCol w:w="1080"/>
        <w:gridCol w:w="900"/>
        <w:gridCol w:w="1080"/>
        <w:gridCol w:w="900"/>
        <w:gridCol w:w="1080"/>
      </w:tblGrid>
      <w:tr w:rsidR="00274F16" w:rsidRPr="00AF3A24" w14:paraId="5C711A8B" w14:textId="77777777" w:rsidTr="00A310A6">
        <w:trPr>
          <w:trHeight w:val="386"/>
          <w:jc w:val="center"/>
        </w:trPr>
        <w:tc>
          <w:tcPr>
            <w:tcW w:w="3257" w:type="dxa"/>
            <w:vMerge w:val="restart"/>
            <w:shd w:val="clear" w:color="auto" w:fill="92CDDC" w:themeFill="accent5" w:themeFillTint="99"/>
            <w:vAlign w:val="center"/>
          </w:tcPr>
          <w:p w14:paraId="79624763" w14:textId="77777777" w:rsidR="00274F16" w:rsidRPr="00AF3A24" w:rsidRDefault="00274F16"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VARIABLE</w:t>
            </w:r>
          </w:p>
        </w:tc>
        <w:tc>
          <w:tcPr>
            <w:tcW w:w="1975" w:type="dxa"/>
            <w:gridSpan w:val="2"/>
            <w:vMerge w:val="restart"/>
            <w:shd w:val="clear" w:color="auto" w:fill="92CDDC" w:themeFill="accent5" w:themeFillTint="99"/>
            <w:vAlign w:val="center"/>
          </w:tcPr>
          <w:p w14:paraId="4A59AC1B"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TOTAL ADULT POPULATION</w:t>
            </w:r>
          </w:p>
        </w:tc>
        <w:tc>
          <w:tcPr>
            <w:tcW w:w="7859" w:type="dxa"/>
            <w:gridSpan w:val="8"/>
            <w:tcBorders>
              <w:bottom w:val="single" w:sz="4" w:space="0" w:color="auto"/>
            </w:tcBorders>
            <w:shd w:val="clear" w:color="auto" w:fill="92CDDC" w:themeFill="accent5" w:themeFillTint="99"/>
            <w:vAlign w:val="center"/>
          </w:tcPr>
          <w:p w14:paraId="6D2C6D7C"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r>
      <w:tr w:rsidR="00274F16" w:rsidRPr="00AF3A24" w14:paraId="2FF210D2" w14:textId="77777777" w:rsidTr="00A310A6">
        <w:trPr>
          <w:trHeight w:val="435"/>
          <w:jc w:val="center"/>
        </w:trPr>
        <w:tc>
          <w:tcPr>
            <w:tcW w:w="3257" w:type="dxa"/>
            <w:vMerge/>
            <w:shd w:val="clear" w:color="auto" w:fill="92CDDC" w:themeFill="accent5" w:themeFillTint="99"/>
            <w:vAlign w:val="center"/>
          </w:tcPr>
          <w:p w14:paraId="7A1420EE" w14:textId="77777777" w:rsidR="00274F16" w:rsidRPr="00AF3A24" w:rsidRDefault="00274F16" w:rsidP="00A310A6">
            <w:pPr>
              <w:spacing w:before="0" w:line="240" w:lineRule="auto"/>
              <w:jc w:val="left"/>
              <w:rPr>
                <w:rFonts w:asciiTheme="minorHAnsi" w:hAnsiTheme="minorHAnsi" w:cstheme="minorHAnsi"/>
                <w:b/>
                <w:sz w:val="18"/>
                <w:szCs w:val="18"/>
              </w:rPr>
            </w:pPr>
          </w:p>
        </w:tc>
        <w:tc>
          <w:tcPr>
            <w:tcW w:w="1975" w:type="dxa"/>
            <w:gridSpan w:val="2"/>
            <w:vMerge/>
            <w:tcBorders>
              <w:bottom w:val="single" w:sz="4" w:space="0" w:color="auto"/>
            </w:tcBorders>
            <w:shd w:val="clear" w:color="auto" w:fill="92CDDC" w:themeFill="accent5" w:themeFillTint="99"/>
          </w:tcPr>
          <w:p w14:paraId="714053E0" w14:textId="77777777" w:rsidR="00274F16" w:rsidRPr="00AF3A24" w:rsidRDefault="00274F16" w:rsidP="00A310A6">
            <w:pPr>
              <w:spacing w:before="0" w:line="240" w:lineRule="auto"/>
              <w:jc w:val="center"/>
              <w:rPr>
                <w:rFonts w:asciiTheme="minorHAnsi" w:hAnsiTheme="minorHAnsi" w:cstheme="minorHAnsi"/>
                <w:b/>
                <w:sz w:val="18"/>
                <w:szCs w:val="18"/>
              </w:rPr>
            </w:pPr>
          </w:p>
        </w:tc>
        <w:tc>
          <w:tcPr>
            <w:tcW w:w="1919" w:type="dxa"/>
            <w:gridSpan w:val="2"/>
            <w:tcBorders>
              <w:bottom w:val="single" w:sz="4" w:space="0" w:color="auto"/>
            </w:tcBorders>
            <w:shd w:val="clear" w:color="auto" w:fill="92CDDC" w:themeFill="accent5" w:themeFillTint="99"/>
            <w:vAlign w:val="center"/>
          </w:tcPr>
          <w:p w14:paraId="4BDEBDAC"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Non-gambler</w:t>
            </w:r>
          </w:p>
        </w:tc>
        <w:tc>
          <w:tcPr>
            <w:tcW w:w="1980" w:type="dxa"/>
            <w:gridSpan w:val="2"/>
            <w:tcBorders>
              <w:bottom w:val="single" w:sz="4" w:space="0" w:color="auto"/>
            </w:tcBorders>
            <w:shd w:val="clear" w:color="auto" w:fill="92CDDC" w:themeFill="accent5" w:themeFillTint="99"/>
            <w:vAlign w:val="center"/>
          </w:tcPr>
          <w:p w14:paraId="3B1F4EB8" w14:textId="77777777" w:rsidR="00274F16" w:rsidRPr="00AF3A24" w:rsidRDefault="00847789" w:rsidP="00A310A6">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Non-problem / r</w:t>
            </w:r>
            <w:r w:rsidR="00274F16" w:rsidRPr="00AF3A24">
              <w:rPr>
                <w:rFonts w:asciiTheme="minorHAnsi" w:hAnsiTheme="minorHAnsi" w:cstheme="minorHAnsi"/>
                <w:b/>
                <w:sz w:val="18"/>
                <w:szCs w:val="18"/>
              </w:rPr>
              <w:t>ecreational</w:t>
            </w:r>
          </w:p>
        </w:tc>
        <w:tc>
          <w:tcPr>
            <w:tcW w:w="1980" w:type="dxa"/>
            <w:gridSpan w:val="2"/>
            <w:tcBorders>
              <w:bottom w:val="single" w:sz="4" w:space="0" w:color="auto"/>
            </w:tcBorders>
            <w:shd w:val="clear" w:color="auto" w:fill="92CDDC" w:themeFill="accent5" w:themeFillTint="99"/>
            <w:vAlign w:val="center"/>
          </w:tcPr>
          <w:p w14:paraId="3B1BBD83"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Low-risk</w:t>
            </w:r>
          </w:p>
        </w:tc>
        <w:tc>
          <w:tcPr>
            <w:tcW w:w="1980" w:type="dxa"/>
            <w:gridSpan w:val="2"/>
            <w:tcBorders>
              <w:bottom w:val="single" w:sz="4" w:space="0" w:color="auto"/>
            </w:tcBorders>
            <w:shd w:val="clear" w:color="auto" w:fill="92CDDC" w:themeFill="accent5" w:themeFillTint="99"/>
            <w:vAlign w:val="center"/>
          </w:tcPr>
          <w:p w14:paraId="32422E2C" w14:textId="77777777" w:rsidR="00274F16" w:rsidRPr="00AF3A24" w:rsidRDefault="00274F16"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sidR="00847789">
              <w:rPr>
                <w:rFonts w:asciiTheme="minorHAnsi" w:hAnsiTheme="minorHAnsi" w:cstheme="minorHAnsi"/>
                <w:b/>
                <w:sz w:val="18"/>
                <w:szCs w:val="18"/>
              </w:rPr>
              <w:t>m</w:t>
            </w:r>
            <w:r w:rsidRPr="00AF3A24">
              <w:rPr>
                <w:rFonts w:asciiTheme="minorHAnsi" w:hAnsiTheme="minorHAnsi" w:cstheme="minorHAnsi"/>
                <w:b/>
                <w:sz w:val="18"/>
                <w:szCs w:val="18"/>
              </w:rPr>
              <w:t>oderate-risk</w:t>
            </w:r>
            <w:r w:rsidR="00847789">
              <w:rPr>
                <w:rFonts w:asciiTheme="minorHAnsi" w:hAnsiTheme="minorHAnsi" w:cstheme="minorHAnsi"/>
                <w:b/>
                <w:sz w:val="18"/>
                <w:szCs w:val="18"/>
              </w:rPr>
              <w:t xml:space="preserve"> and problem</w:t>
            </w:r>
            <w:r w:rsidRPr="00AF3A24">
              <w:rPr>
                <w:rFonts w:asciiTheme="minorHAnsi" w:hAnsiTheme="minorHAnsi" w:cstheme="minorHAnsi"/>
                <w:b/>
                <w:sz w:val="18"/>
                <w:szCs w:val="18"/>
              </w:rPr>
              <w:t xml:space="preserve"> </w:t>
            </w:r>
            <w:r w:rsidRPr="00AF3A24">
              <w:rPr>
                <w:rFonts w:asciiTheme="minorHAnsi" w:hAnsiTheme="minorHAnsi" w:cstheme="minorHAnsi"/>
                <w:b/>
                <w:sz w:val="18"/>
                <w:szCs w:val="18"/>
                <w:vertAlign w:val="superscript"/>
              </w:rPr>
              <w:t>2</w:t>
            </w:r>
          </w:p>
        </w:tc>
      </w:tr>
      <w:tr w:rsidR="00274F16" w:rsidRPr="00AF3A24" w14:paraId="681FD2F1" w14:textId="77777777" w:rsidTr="00A310A6">
        <w:trPr>
          <w:trHeight w:val="386"/>
          <w:jc w:val="center"/>
        </w:trPr>
        <w:tc>
          <w:tcPr>
            <w:tcW w:w="3257" w:type="dxa"/>
            <w:vMerge/>
            <w:tcBorders>
              <w:bottom w:val="single" w:sz="4" w:space="0" w:color="auto"/>
            </w:tcBorders>
            <w:shd w:val="clear" w:color="auto" w:fill="92CDDC" w:themeFill="accent5" w:themeFillTint="99"/>
          </w:tcPr>
          <w:p w14:paraId="747C2306" w14:textId="77777777" w:rsidR="00274F16" w:rsidRPr="00AF3A24" w:rsidRDefault="00274F16" w:rsidP="00A310A6">
            <w:pPr>
              <w:spacing w:before="0" w:line="240" w:lineRule="auto"/>
              <w:jc w:val="left"/>
              <w:rPr>
                <w:rFonts w:asciiTheme="minorHAnsi" w:hAnsiTheme="minorHAnsi" w:cstheme="minorHAnsi"/>
                <w:b/>
                <w:sz w:val="18"/>
                <w:szCs w:val="18"/>
              </w:rPr>
            </w:pPr>
          </w:p>
        </w:tc>
        <w:tc>
          <w:tcPr>
            <w:tcW w:w="895" w:type="dxa"/>
            <w:tcBorders>
              <w:bottom w:val="single" w:sz="4" w:space="0" w:color="auto"/>
            </w:tcBorders>
            <w:shd w:val="clear" w:color="auto" w:fill="92CDDC" w:themeFill="accent5" w:themeFillTint="99"/>
            <w:vAlign w:val="center"/>
          </w:tcPr>
          <w:p w14:paraId="59589C1B"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3769AC9F"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6C10306B"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41E5ED9"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839" w:type="dxa"/>
            <w:tcBorders>
              <w:bottom w:val="single" w:sz="4" w:space="0" w:color="auto"/>
            </w:tcBorders>
            <w:shd w:val="clear" w:color="auto" w:fill="92CDDC" w:themeFill="accent5" w:themeFillTint="99"/>
            <w:vAlign w:val="center"/>
          </w:tcPr>
          <w:p w14:paraId="5C298CE9"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410FBDEE"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13F633E6"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731A943"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77375DB5"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2212D7F3"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47F34E08"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C05710E"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57CF125B"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3E0018F5"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24CA3810"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7CD5751B"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23FA8EF6"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5E4B3A79"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070F1C43"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69BBE3D2"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274F16" w:rsidRPr="00AF3A24" w14:paraId="30EE0476" w14:textId="77777777" w:rsidTr="00A310A6">
        <w:trPr>
          <w:trHeight w:val="227"/>
          <w:jc w:val="center"/>
        </w:trPr>
        <w:tc>
          <w:tcPr>
            <w:tcW w:w="13091"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27EC57B8"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ALCOHOL:</w:t>
            </w:r>
          </w:p>
        </w:tc>
      </w:tr>
      <w:tr w:rsidR="00274F16" w:rsidRPr="00AF3A24" w14:paraId="18E60BCA"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362DFBCF"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Use of alcohol in the past 12 months</w:t>
            </w:r>
          </w:p>
        </w:tc>
        <w:tc>
          <w:tcPr>
            <w:tcW w:w="895" w:type="dxa"/>
            <w:tcBorders>
              <w:top w:val="single" w:sz="4" w:space="0" w:color="auto"/>
              <w:bottom w:val="single" w:sz="4" w:space="0" w:color="auto"/>
              <w:right w:val="nil"/>
            </w:tcBorders>
            <w:shd w:val="clear" w:color="auto" w:fill="DAEEF3" w:themeFill="accent5" w:themeFillTint="33"/>
            <w:vAlign w:val="center"/>
          </w:tcPr>
          <w:p w14:paraId="1D21FEFB"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9,636</w:t>
            </w:r>
          </w:p>
          <w:p w14:paraId="3C3FA14D"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(12,583)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01BD0B3"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79.5</w:t>
            </w:r>
            <w:r w:rsidRPr="00AF3A24">
              <w:rPr>
                <w:rFonts w:asciiTheme="minorHAnsi" w:hAnsiTheme="minorHAnsi"/>
                <w:b/>
                <w:bCs/>
                <w:color w:val="000000"/>
                <w:sz w:val="16"/>
                <w:szCs w:val="18"/>
              </w:rPr>
              <w:br/>
              <w:t>(78.4 - 80.6)</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6225909"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4,131</w:t>
            </w:r>
          </w:p>
          <w:p w14:paraId="1EBEB1C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(9,635)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4B6A40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71.2</w:t>
            </w:r>
            <w:r w:rsidRPr="00AF3A24">
              <w:rPr>
                <w:rFonts w:asciiTheme="minorHAnsi" w:hAnsiTheme="minorHAnsi"/>
                <w:bCs/>
                <w:color w:val="000000"/>
                <w:sz w:val="16"/>
                <w:szCs w:val="18"/>
              </w:rPr>
              <w:br/>
              <w:t>(69.5 - 72.8)</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DBEF1F0"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5,132</w:t>
            </w:r>
          </w:p>
          <w:p w14:paraId="61545EC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(9,635)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CC4C2EB"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87.2</w:t>
            </w:r>
            <w:r w:rsidRPr="00AF3A24">
              <w:rPr>
                <w:rFonts w:asciiTheme="minorHAnsi" w:hAnsiTheme="minorHAnsi"/>
                <w:bCs/>
                <w:color w:val="000000"/>
                <w:sz w:val="16"/>
                <w:szCs w:val="18"/>
              </w:rPr>
              <w:br/>
              <w:t>(86.1 - 88.4)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376AE47"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224</w:t>
            </w:r>
          </w:p>
          <w:p w14:paraId="1B08ABD8"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(9,635)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6B52CF9"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86.3</w:t>
            </w:r>
            <w:r w:rsidRPr="00AF3A24">
              <w:rPr>
                <w:rFonts w:asciiTheme="minorHAnsi" w:hAnsiTheme="minorHAnsi"/>
                <w:bCs/>
                <w:color w:val="000000"/>
                <w:sz w:val="16"/>
                <w:szCs w:val="18"/>
              </w:rPr>
              <w:br/>
              <w:t>(81.3 - 91.3)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F8B2C70"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148</w:t>
            </w:r>
          </w:p>
          <w:p w14:paraId="7934B8AC"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(9,635)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69DA59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84.3</w:t>
            </w:r>
            <w:r w:rsidRPr="00AF3A24">
              <w:rPr>
                <w:rFonts w:asciiTheme="minorHAnsi" w:hAnsiTheme="minorHAnsi"/>
                <w:bCs/>
                <w:color w:val="000000"/>
                <w:sz w:val="16"/>
                <w:szCs w:val="18"/>
              </w:rPr>
              <w:br/>
              <w:t>(77.5 - 91.1)</w:t>
            </w:r>
          </w:p>
        </w:tc>
      </w:tr>
      <w:tr w:rsidR="00274F16" w:rsidRPr="00AF3A24" w14:paraId="25A6266F"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4C5F02F3"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Hazardous</w:t>
            </w:r>
            <w:r w:rsidRPr="00AF3A24">
              <w:rPr>
                <w:rFonts w:asciiTheme="minorHAnsi" w:hAnsiTheme="minorHAnsi" w:cstheme="minorHAnsi"/>
                <w:sz w:val="16"/>
                <w:szCs w:val="16"/>
              </w:rPr>
              <w:t xml:space="preserve"> drinking (AUDIT score of ≥8) </w:t>
            </w:r>
          </w:p>
        </w:tc>
        <w:tc>
          <w:tcPr>
            <w:tcW w:w="895" w:type="dxa"/>
            <w:tcBorders>
              <w:top w:val="single" w:sz="4" w:space="0" w:color="auto"/>
              <w:bottom w:val="single" w:sz="4" w:space="0" w:color="auto"/>
              <w:right w:val="nil"/>
            </w:tcBorders>
            <w:shd w:val="clear" w:color="auto" w:fill="DAEEF3" w:themeFill="accent5" w:themeFillTint="33"/>
            <w:vAlign w:val="center"/>
          </w:tcPr>
          <w:p w14:paraId="7400F173"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1,759</w:t>
            </w:r>
          </w:p>
          <w:p w14:paraId="633BCC6D"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(12,393)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81E50FC"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15.1</w:t>
            </w:r>
            <w:r w:rsidRPr="00AF3A24">
              <w:rPr>
                <w:rFonts w:asciiTheme="minorHAnsi" w:hAnsiTheme="minorHAnsi"/>
                <w:b/>
                <w:bCs/>
                <w:color w:val="000000"/>
                <w:sz w:val="16"/>
                <w:szCs w:val="18"/>
              </w:rPr>
              <w:br/>
              <w:t>(14.1 - 16.1)</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E158FCB"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687</w:t>
            </w:r>
          </w:p>
          <w:p w14:paraId="6C3A13B8"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(1,759)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B1363CC"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11.8</w:t>
            </w:r>
            <w:r w:rsidRPr="00AF3A24">
              <w:rPr>
                <w:rFonts w:asciiTheme="minorHAnsi" w:hAnsiTheme="minorHAnsi"/>
                <w:bCs/>
                <w:color w:val="000000"/>
                <w:sz w:val="16"/>
                <w:szCs w:val="18"/>
              </w:rPr>
              <w:br/>
              <w:t>(10.6 - 13.0)</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1E83698"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903</w:t>
            </w:r>
          </w:p>
          <w:p w14:paraId="44832283"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(1,759)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5CFC56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16.6</w:t>
            </w:r>
            <w:r w:rsidRPr="00AF3A24">
              <w:rPr>
                <w:rFonts w:asciiTheme="minorHAnsi" w:hAnsiTheme="minorHAnsi"/>
                <w:bCs/>
                <w:color w:val="000000"/>
                <w:sz w:val="16"/>
                <w:szCs w:val="18"/>
              </w:rPr>
              <w:br/>
              <w:t>(15.2 - 18.0)</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ED4A150"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92</w:t>
            </w:r>
          </w:p>
          <w:p w14:paraId="7E3D4A02"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(1,759)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04D27AA"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33.4</w:t>
            </w:r>
            <w:r w:rsidRPr="00AF3A24">
              <w:rPr>
                <w:rFonts w:asciiTheme="minorHAnsi" w:hAnsiTheme="minorHAnsi"/>
                <w:bCs/>
                <w:color w:val="000000"/>
                <w:sz w:val="16"/>
                <w:szCs w:val="18"/>
              </w:rPr>
              <w:br/>
              <w:t>(26.2 - 40.6)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AF75ED3"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77</w:t>
            </w:r>
          </w:p>
          <w:p w14:paraId="7EFDBC1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(1,759)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7258682"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50.6</w:t>
            </w:r>
            <w:r w:rsidRPr="00AF3A24">
              <w:rPr>
                <w:rFonts w:asciiTheme="minorHAnsi" w:hAnsiTheme="minorHAnsi"/>
                <w:bCs/>
                <w:color w:val="000000"/>
                <w:sz w:val="16"/>
                <w:szCs w:val="18"/>
              </w:rPr>
              <w:br/>
              <w:t>(40.6 - 60.7)</w:t>
            </w:r>
          </w:p>
        </w:tc>
      </w:tr>
      <w:tr w:rsidR="00274F16" w:rsidRPr="00AF3A24" w14:paraId="607EBECC"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721D37CE" w14:textId="77777777" w:rsidR="00274F16" w:rsidRPr="00661C7D"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Alcohol dependence (AUDIT score of ≥13</w:t>
            </w:r>
            <w:r w:rsidRPr="00AF3A24">
              <w:rPr>
                <w:rFonts w:asciiTheme="minorHAnsi" w:hAnsiTheme="minorHAnsi" w:cstheme="minorHAnsi"/>
                <w:sz w:val="16"/>
                <w:szCs w:val="16"/>
              </w:rPr>
              <w:t>)</w:t>
            </w:r>
          </w:p>
        </w:tc>
        <w:tc>
          <w:tcPr>
            <w:tcW w:w="895" w:type="dxa"/>
            <w:tcBorders>
              <w:top w:val="single" w:sz="4" w:space="0" w:color="auto"/>
              <w:bottom w:val="single" w:sz="4" w:space="0" w:color="auto"/>
              <w:right w:val="nil"/>
            </w:tcBorders>
            <w:shd w:val="clear" w:color="auto" w:fill="DAEEF3" w:themeFill="accent5" w:themeFillTint="33"/>
            <w:vAlign w:val="center"/>
          </w:tcPr>
          <w:p w14:paraId="65F2BE9D" w14:textId="77777777" w:rsidR="00274F16" w:rsidRDefault="00274F16" w:rsidP="00A310A6">
            <w:pPr>
              <w:spacing w:before="0" w:line="240" w:lineRule="auto"/>
              <w:jc w:val="center"/>
              <w:rPr>
                <w:rFonts w:asciiTheme="minorHAnsi" w:hAnsiTheme="minorHAnsi"/>
                <w:b/>
                <w:bCs/>
                <w:color w:val="000000"/>
                <w:sz w:val="16"/>
                <w:szCs w:val="18"/>
              </w:rPr>
            </w:pPr>
            <w:r w:rsidRPr="00B30495">
              <w:rPr>
                <w:rFonts w:asciiTheme="minorHAnsi" w:hAnsiTheme="minorHAnsi"/>
                <w:b/>
                <w:bCs/>
                <w:color w:val="000000"/>
                <w:sz w:val="16"/>
                <w:szCs w:val="18"/>
              </w:rPr>
              <w:t>630</w:t>
            </w:r>
          </w:p>
          <w:p w14:paraId="2C8772B7" w14:textId="77777777" w:rsidR="00274F16" w:rsidRPr="00B30495" w:rsidRDefault="00274F16" w:rsidP="00A310A6">
            <w:pPr>
              <w:spacing w:before="0" w:line="240" w:lineRule="auto"/>
              <w:jc w:val="center"/>
              <w:rPr>
                <w:rFonts w:asciiTheme="minorHAnsi" w:hAnsiTheme="minorHAnsi"/>
                <w:b/>
                <w:bCs/>
                <w:color w:val="000000"/>
                <w:sz w:val="16"/>
                <w:szCs w:val="18"/>
              </w:rPr>
            </w:pPr>
            <w:r>
              <w:rPr>
                <w:rFonts w:asciiTheme="minorHAnsi" w:hAnsiTheme="minorHAnsi"/>
                <w:b/>
                <w:bCs/>
                <w:color w:val="000000"/>
                <w:sz w:val="16"/>
                <w:szCs w:val="18"/>
              </w:rPr>
              <w:t>(12,596)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3489C9D" w14:textId="77777777" w:rsidR="00274F16" w:rsidRPr="00B30495" w:rsidRDefault="00274F16" w:rsidP="00A310A6">
            <w:pPr>
              <w:spacing w:before="0" w:line="240" w:lineRule="auto"/>
              <w:jc w:val="center"/>
              <w:rPr>
                <w:rFonts w:asciiTheme="minorHAnsi" w:hAnsiTheme="minorHAnsi"/>
                <w:b/>
                <w:bCs/>
                <w:color w:val="000000"/>
                <w:sz w:val="16"/>
                <w:szCs w:val="18"/>
              </w:rPr>
            </w:pPr>
            <w:r w:rsidRPr="00B30495">
              <w:rPr>
                <w:rFonts w:asciiTheme="minorHAnsi" w:hAnsiTheme="minorHAnsi"/>
                <w:b/>
                <w:bCs/>
                <w:color w:val="000000"/>
                <w:sz w:val="16"/>
                <w:szCs w:val="18"/>
              </w:rPr>
              <w:t>4.8</w:t>
            </w:r>
            <w:r w:rsidRPr="00B30495">
              <w:rPr>
                <w:rFonts w:asciiTheme="minorHAnsi" w:hAnsiTheme="minorHAnsi"/>
                <w:b/>
                <w:bCs/>
                <w:color w:val="000000"/>
                <w:sz w:val="16"/>
                <w:szCs w:val="18"/>
              </w:rPr>
              <w:br/>
              <w:t>(4.3 - 5.4)</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3AD0D79" w14:textId="77777777" w:rsidR="00274F16"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280</w:t>
            </w:r>
          </w:p>
          <w:p w14:paraId="50EABE03" w14:textId="77777777" w:rsidR="00274F16" w:rsidRPr="00B30495" w:rsidRDefault="00274F16" w:rsidP="00A310A6">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(12,594)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8885806" w14:textId="77777777" w:rsidR="00274F16" w:rsidRPr="00B30495"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4.2</w:t>
            </w:r>
            <w:r w:rsidRPr="00B30495">
              <w:rPr>
                <w:rFonts w:asciiTheme="minorHAnsi" w:hAnsiTheme="minorHAnsi"/>
                <w:bCs/>
                <w:color w:val="000000"/>
                <w:sz w:val="16"/>
                <w:szCs w:val="18"/>
              </w:rPr>
              <w:br/>
              <w:t>(3.5 - 4.8)</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1A5BD58" w14:textId="77777777" w:rsidR="00274F16"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262</w:t>
            </w:r>
          </w:p>
          <w:p w14:paraId="4E5D804E" w14:textId="77777777" w:rsidR="00274F16" w:rsidRPr="00B30495" w:rsidRDefault="00274F16" w:rsidP="00A310A6">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(12,594)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4101809" w14:textId="77777777" w:rsidR="00274F16" w:rsidRPr="00B30495"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4.6</w:t>
            </w:r>
            <w:r w:rsidRPr="00B30495">
              <w:rPr>
                <w:rFonts w:asciiTheme="minorHAnsi" w:hAnsiTheme="minorHAnsi"/>
                <w:bCs/>
                <w:color w:val="000000"/>
                <w:sz w:val="16"/>
                <w:szCs w:val="18"/>
              </w:rPr>
              <w:br/>
              <w:t>(3.8 - 5.4)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877058F" w14:textId="77777777" w:rsidR="00274F16"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38</w:t>
            </w:r>
          </w:p>
          <w:p w14:paraId="791D1530" w14:textId="77777777" w:rsidR="00274F16" w:rsidRPr="00B30495" w:rsidRDefault="00274F16" w:rsidP="00A310A6">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(12,594)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BC2D543" w14:textId="77777777" w:rsidR="00274F16" w:rsidRPr="00B30495"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10.7</w:t>
            </w:r>
            <w:r w:rsidRPr="00B30495">
              <w:rPr>
                <w:rFonts w:asciiTheme="minorHAnsi" w:hAnsiTheme="minorHAnsi"/>
                <w:bCs/>
                <w:color w:val="000000"/>
                <w:sz w:val="16"/>
                <w:szCs w:val="18"/>
              </w:rPr>
              <w:br/>
              <w:t>(6.6 - 14.9)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C7C4AE0" w14:textId="77777777" w:rsidR="00274F16"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50</w:t>
            </w:r>
          </w:p>
          <w:p w14:paraId="37513DA1" w14:textId="77777777" w:rsidR="00274F16" w:rsidRPr="00B30495" w:rsidRDefault="00274F16" w:rsidP="00A310A6">
            <w:pPr>
              <w:spacing w:before="0" w:line="240" w:lineRule="auto"/>
              <w:jc w:val="center"/>
              <w:rPr>
                <w:rFonts w:asciiTheme="minorHAnsi" w:hAnsiTheme="minorHAnsi"/>
                <w:bCs/>
                <w:color w:val="000000"/>
                <w:sz w:val="16"/>
                <w:szCs w:val="18"/>
              </w:rPr>
            </w:pPr>
            <w:r>
              <w:rPr>
                <w:rFonts w:asciiTheme="minorHAnsi" w:hAnsiTheme="minorHAnsi"/>
                <w:bCs/>
                <w:color w:val="000000"/>
                <w:sz w:val="16"/>
                <w:szCs w:val="18"/>
              </w:rPr>
              <w:t>(12,594)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2B6238D" w14:textId="77777777" w:rsidR="00274F16" w:rsidRPr="00B30495" w:rsidRDefault="00274F16" w:rsidP="00A310A6">
            <w:pPr>
              <w:spacing w:before="0" w:line="240" w:lineRule="auto"/>
              <w:jc w:val="center"/>
              <w:rPr>
                <w:rFonts w:asciiTheme="minorHAnsi" w:hAnsiTheme="minorHAnsi"/>
                <w:bCs/>
                <w:color w:val="000000"/>
                <w:sz w:val="16"/>
                <w:szCs w:val="18"/>
              </w:rPr>
            </w:pPr>
            <w:r w:rsidRPr="00B30495">
              <w:rPr>
                <w:rFonts w:asciiTheme="minorHAnsi" w:hAnsiTheme="minorHAnsi"/>
                <w:bCs/>
                <w:color w:val="000000"/>
                <w:sz w:val="16"/>
                <w:szCs w:val="18"/>
              </w:rPr>
              <w:t>29.2</w:t>
            </w:r>
            <w:r w:rsidRPr="00B30495">
              <w:rPr>
                <w:rFonts w:asciiTheme="minorHAnsi" w:hAnsiTheme="minorHAnsi"/>
                <w:bCs/>
                <w:color w:val="000000"/>
                <w:sz w:val="16"/>
                <w:szCs w:val="18"/>
              </w:rPr>
              <w:br/>
              <w:t>(20.6 - 37.9)</w:t>
            </w:r>
          </w:p>
        </w:tc>
      </w:tr>
      <w:tr w:rsidR="00274F16" w:rsidRPr="00AF3A24" w14:paraId="07767CDA" w14:textId="77777777" w:rsidTr="00A310A6">
        <w:trPr>
          <w:trHeight w:val="227"/>
          <w:jc w:val="center"/>
        </w:trPr>
        <w:tc>
          <w:tcPr>
            <w:tcW w:w="13091"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796A8B7F"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TOBACCO / SMOKING:</w:t>
            </w:r>
          </w:p>
        </w:tc>
      </w:tr>
      <w:tr w:rsidR="00274F16" w:rsidRPr="00AF3A24" w14:paraId="10CFE36B"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67A07875"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Current smoker </w:t>
            </w:r>
            <w:r w:rsidRPr="00AF3A24">
              <w:rPr>
                <w:rFonts w:asciiTheme="minorHAnsi" w:hAnsiTheme="minorHAnsi" w:cstheme="minorHAnsi"/>
                <w:sz w:val="16"/>
                <w:szCs w:val="16"/>
                <w:vertAlign w:val="superscript"/>
              </w:rPr>
              <w:t>3</w:t>
            </w:r>
          </w:p>
        </w:tc>
        <w:tc>
          <w:tcPr>
            <w:tcW w:w="895" w:type="dxa"/>
            <w:tcBorders>
              <w:top w:val="single" w:sz="4" w:space="0" w:color="auto"/>
              <w:bottom w:val="single" w:sz="4" w:space="0" w:color="auto"/>
              <w:right w:val="nil"/>
            </w:tcBorders>
            <w:shd w:val="clear" w:color="auto" w:fill="DAEEF3" w:themeFill="accent5" w:themeFillTint="33"/>
            <w:vAlign w:val="center"/>
          </w:tcPr>
          <w:p w14:paraId="123A025D"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2,780</w:t>
            </w:r>
          </w:p>
          <w:p w14:paraId="567965CD"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(12,561)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A435646"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18.4</w:t>
            </w:r>
            <w:r w:rsidRPr="00AF3A24">
              <w:rPr>
                <w:rFonts w:asciiTheme="minorHAnsi" w:hAnsiTheme="minorHAnsi"/>
                <w:b/>
                <w:bCs/>
                <w:color w:val="000000"/>
                <w:sz w:val="16"/>
                <w:szCs w:val="18"/>
              </w:rPr>
              <w:br/>
              <w:t>(17.4 - 19.3)</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451650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1,207</w:t>
            </w:r>
          </w:p>
          <w:p w14:paraId="519D1D0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(2,779)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36F4F77"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16.2</w:t>
            </w:r>
            <w:r w:rsidRPr="00AF3A24">
              <w:rPr>
                <w:rFonts w:asciiTheme="minorHAnsi" w:hAnsiTheme="minorHAnsi"/>
                <w:bCs/>
                <w:color w:val="000000"/>
                <w:sz w:val="16"/>
                <w:szCs w:val="18"/>
              </w:rPr>
              <w:br/>
              <w:t>(14.9 - 17.5)</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0484B5E"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1,336</w:t>
            </w:r>
          </w:p>
          <w:p w14:paraId="6080256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(2,779)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F278223"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18.5</w:t>
            </w:r>
            <w:r w:rsidRPr="00AF3A24">
              <w:rPr>
                <w:rFonts w:asciiTheme="minorHAnsi" w:hAnsiTheme="minorHAnsi"/>
                <w:bCs/>
                <w:color w:val="000000"/>
                <w:sz w:val="16"/>
                <w:szCs w:val="18"/>
              </w:rPr>
              <w:br/>
              <w:t>(17.2 - 19.8)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9B8488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126</w:t>
            </w:r>
          </w:p>
          <w:p w14:paraId="4DC2B49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(2,779)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196C70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42.8</w:t>
            </w:r>
            <w:r w:rsidRPr="00AF3A24">
              <w:rPr>
                <w:rFonts w:asciiTheme="minorHAnsi" w:hAnsiTheme="minorHAnsi"/>
                <w:bCs/>
                <w:color w:val="000000"/>
                <w:sz w:val="16"/>
                <w:szCs w:val="18"/>
              </w:rPr>
              <w:br/>
              <w:t>(35.1 - 50.5)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05DCD3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w:t>
            </w:r>
          </w:p>
          <w:p w14:paraId="39961B2F"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(2,779)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E9DA500"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57.0</w:t>
            </w:r>
            <w:r w:rsidRPr="00AF3A24">
              <w:rPr>
                <w:rFonts w:asciiTheme="minorHAnsi" w:hAnsiTheme="minorHAnsi"/>
                <w:bCs/>
                <w:color w:val="000000"/>
                <w:sz w:val="16"/>
                <w:szCs w:val="18"/>
              </w:rPr>
              <w:br/>
              <w:t>(47.2 - 66.7)</w:t>
            </w:r>
          </w:p>
        </w:tc>
      </w:tr>
      <w:tr w:rsidR="00274F16" w:rsidRPr="00AF3A24" w14:paraId="455C36D2" w14:textId="77777777" w:rsidTr="00A310A6">
        <w:trPr>
          <w:trHeight w:val="227"/>
          <w:jc w:val="center"/>
        </w:trPr>
        <w:tc>
          <w:tcPr>
            <w:tcW w:w="13091"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1254415D"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DRUG</w:t>
            </w:r>
            <w:r>
              <w:rPr>
                <w:rFonts w:asciiTheme="minorHAnsi" w:hAnsiTheme="minorHAnsi" w:cstheme="minorHAnsi"/>
                <w:b/>
                <w:sz w:val="16"/>
                <w:szCs w:val="16"/>
              </w:rPr>
              <w:t xml:space="preserve"> USE</w:t>
            </w:r>
            <w:r w:rsidRPr="00AF3A24">
              <w:rPr>
                <w:rFonts w:asciiTheme="minorHAnsi" w:hAnsiTheme="minorHAnsi" w:cstheme="minorHAnsi"/>
                <w:b/>
                <w:sz w:val="16"/>
                <w:szCs w:val="16"/>
              </w:rPr>
              <w:t>:</w:t>
            </w:r>
          </w:p>
        </w:tc>
      </w:tr>
      <w:tr w:rsidR="00274F16" w:rsidRPr="00AF3A24" w14:paraId="44697611" w14:textId="77777777" w:rsidTr="00A310A6">
        <w:trPr>
          <w:trHeight w:val="263"/>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7DAFEC4E"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 xml:space="preserve">Have used </w:t>
            </w:r>
            <w:r w:rsidRPr="00AF3A24">
              <w:rPr>
                <w:rFonts w:asciiTheme="minorHAnsi" w:hAnsiTheme="minorHAnsi" w:cstheme="minorHAnsi"/>
                <w:sz w:val="16"/>
                <w:szCs w:val="16"/>
              </w:rPr>
              <w:t xml:space="preserve">drugs in the past 12 months </w:t>
            </w:r>
            <w:r w:rsidRPr="00AF3A24">
              <w:rPr>
                <w:rFonts w:asciiTheme="minorHAnsi" w:hAnsiTheme="minorHAnsi" w:cstheme="minorHAnsi"/>
                <w:sz w:val="16"/>
                <w:szCs w:val="16"/>
                <w:vertAlign w:val="superscript"/>
              </w:rPr>
              <w:t>4</w:t>
            </w:r>
          </w:p>
        </w:tc>
        <w:tc>
          <w:tcPr>
            <w:tcW w:w="895" w:type="dxa"/>
            <w:tcBorders>
              <w:top w:val="single" w:sz="4" w:space="0" w:color="auto"/>
              <w:bottom w:val="single" w:sz="4" w:space="0" w:color="auto"/>
              <w:right w:val="nil"/>
            </w:tcBorders>
            <w:shd w:val="clear" w:color="auto" w:fill="DAEEF3" w:themeFill="accent5" w:themeFillTint="33"/>
            <w:vAlign w:val="center"/>
          </w:tcPr>
          <w:p w14:paraId="61095A41"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1,108</w:t>
            </w:r>
          </w:p>
          <w:p w14:paraId="3ED85B6F" w14:textId="77777777" w:rsidR="00274F16" w:rsidRPr="00AF3A24" w:rsidRDefault="00274F16" w:rsidP="009B3E29">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w:t>
            </w:r>
            <w:r w:rsidR="009B3E29">
              <w:rPr>
                <w:rFonts w:asciiTheme="minorHAnsi" w:hAnsiTheme="minorHAnsi"/>
                <w:b/>
                <w:bCs/>
                <w:color w:val="000000"/>
                <w:sz w:val="16"/>
                <w:szCs w:val="18"/>
              </w:rPr>
              <w:t>96</w:t>
            </w:r>
            <w:r w:rsidRPr="00AF3A24">
              <w:rPr>
                <w:rFonts w:asciiTheme="minorHAnsi" w:hAnsiTheme="minorHAnsi"/>
                <w:b/>
                <w:bCs/>
                <w:color w:val="000000"/>
                <w:sz w:val="16"/>
                <w:szCs w:val="18"/>
              </w:rPr>
              <w:t>)</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D3899C7"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8.9</w:t>
            </w:r>
            <w:r w:rsidRPr="00AF3A24">
              <w:rPr>
                <w:rFonts w:asciiTheme="minorHAnsi" w:hAnsiTheme="minorHAnsi"/>
                <w:b/>
                <w:bCs/>
                <w:color w:val="000000"/>
                <w:sz w:val="16"/>
                <w:szCs w:val="18"/>
              </w:rPr>
              <w:br/>
              <w:t>(8.2 - 9.7)</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F7022B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508</w:t>
            </w:r>
          </w:p>
          <w:p w14:paraId="1BF07B88"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3BFDAF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8.2</w:t>
            </w:r>
            <w:r w:rsidRPr="00AF3A24">
              <w:rPr>
                <w:rFonts w:asciiTheme="minorHAnsi" w:hAnsiTheme="minorHAnsi"/>
                <w:bCs/>
                <w:color w:val="000000"/>
                <w:sz w:val="16"/>
                <w:szCs w:val="18"/>
              </w:rPr>
              <w:br/>
              <w:t>(7.2 - 9.3)</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23FDEF1"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490</w:t>
            </w:r>
          </w:p>
          <w:p w14:paraId="075899CC"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D10DD3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8.5</w:t>
            </w:r>
            <w:r w:rsidRPr="00AF3A24">
              <w:rPr>
                <w:rFonts w:asciiTheme="minorHAnsi" w:hAnsiTheme="minorHAnsi"/>
                <w:bCs/>
                <w:color w:val="000000"/>
                <w:sz w:val="16"/>
                <w:szCs w:val="18"/>
              </w:rPr>
              <w:br/>
              <w:t>(7.5 - 9.5)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B0319A3"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61</w:t>
            </w:r>
          </w:p>
          <w:p w14:paraId="00FB64E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75A877F"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21.5</w:t>
            </w:r>
            <w:r w:rsidRPr="00AF3A24">
              <w:rPr>
                <w:rFonts w:asciiTheme="minorHAnsi" w:hAnsiTheme="minorHAnsi"/>
                <w:bCs/>
                <w:color w:val="000000"/>
                <w:sz w:val="16"/>
                <w:szCs w:val="18"/>
              </w:rPr>
              <w:br/>
              <w:t>(15.2 - 27.8)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70CF8F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48</w:t>
            </w:r>
          </w:p>
          <w:p w14:paraId="47B7FB4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(1,107)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82F29F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31.4</w:t>
            </w:r>
            <w:r w:rsidRPr="00AF3A24">
              <w:rPr>
                <w:rFonts w:asciiTheme="minorHAnsi" w:hAnsiTheme="minorHAnsi"/>
                <w:bCs/>
                <w:color w:val="000000"/>
                <w:sz w:val="16"/>
                <w:szCs w:val="18"/>
              </w:rPr>
              <w:br/>
              <w:t>(21.9 - 40.9)</w:t>
            </w:r>
          </w:p>
        </w:tc>
      </w:tr>
      <w:tr w:rsidR="00274F16" w:rsidRPr="00AF3A24" w14:paraId="0A12B17B"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1CE350E8" w14:textId="77777777" w:rsidR="00274F16" w:rsidRPr="00AF3A24" w:rsidRDefault="00274F16" w:rsidP="00A310A6">
            <w:pPr>
              <w:pStyle w:val="ListParagraph"/>
              <w:numPr>
                <w:ilvl w:val="0"/>
                <w:numId w:val="9"/>
              </w:numPr>
              <w:spacing w:line="240" w:lineRule="auto"/>
              <w:ind w:left="459" w:hanging="142"/>
              <w:jc w:val="left"/>
              <w:rPr>
                <w:rFonts w:asciiTheme="minorHAnsi" w:hAnsiTheme="minorHAnsi" w:cstheme="minorHAnsi"/>
                <w:sz w:val="16"/>
                <w:szCs w:val="16"/>
              </w:rPr>
            </w:pPr>
            <w:r w:rsidRPr="00AF3A24">
              <w:rPr>
                <w:rFonts w:asciiTheme="minorHAnsi" w:hAnsiTheme="minorHAnsi" w:cstheme="minorHAnsi"/>
                <w:sz w:val="16"/>
                <w:szCs w:val="16"/>
              </w:rPr>
              <w:t>Cannabis (marijuana</w:t>
            </w:r>
            <w:r>
              <w:rPr>
                <w:rFonts w:asciiTheme="minorHAnsi" w:hAnsiTheme="minorHAnsi" w:cstheme="minorHAnsi"/>
                <w:sz w:val="16"/>
                <w:szCs w:val="16"/>
              </w:rPr>
              <w:t>/</w:t>
            </w:r>
            <w:r w:rsidRPr="00AF3A24">
              <w:rPr>
                <w:rFonts w:asciiTheme="minorHAnsi" w:hAnsiTheme="minorHAnsi" w:cstheme="minorHAnsi"/>
                <w:sz w:val="16"/>
                <w:szCs w:val="16"/>
              </w:rPr>
              <w:t>hash</w:t>
            </w:r>
            <w:r>
              <w:rPr>
                <w:rFonts w:asciiTheme="minorHAnsi" w:hAnsiTheme="minorHAnsi" w:cstheme="minorHAnsi"/>
                <w:sz w:val="16"/>
                <w:szCs w:val="16"/>
              </w:rPr>
              <w:t>/</w:t>
            </w:r>
            <w:r w:rsidRPr="00AF3A24">
              <w:rPr>
                <w:rFonts w:asciiTheme="minorHAnsi" w:hAnsiTheme="minorHAnsi" w:cstheme="minorHAnsi"/>
                <w:sz w:val="16"/>
                <w:szCs w:val="16"/>
              </w:rPr>
              <w:t xml:space="preserve">hash oil) </w:t>
            </w:r>
          </w:p>
        </w:tc>
        <w:tc>
          <w:tcPr>
            <w:tcW w:w="895" w:type="dxa"/>
            <w:tcBorders>
              <w:top w:val="single" w:sz="4" w:space="0" w:color="auto"/>
              <w:bottom w:val="single" w:sz="4" w:space="0" w:color="auto"/>
              <w:right w:val="nil"/>
            </w:tcBorders>
            <w:shd w:val="clear" w:color="auto" w:fill="DAEEF3" w:themeFill="accent5" w:themeFillTint="33"/>
            <w:vAlign w:val="center"/>
          </w:tcPr>
          <w:p w14:paraId="57A388E1"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1,027</w:t>
            </w:r>
          </w:p>
          <w:p w14:paraId="37C70D36"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(12,596)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A52928D" w14:textId="77777777" w:rsidR="00274F16" w:rsidRPr="00AF3A24" w:rsidRDefault="00274F16"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8.1</w:t>
            </w:r>
            <w:r w:rsidRPr="00AF3A24">
              <w:rPr>
                <w:rFonts w:asciiTheme="minorHAnsi" w:hAnsiTheme="minorHAnsi"/>
                <w:b/>
                <w:bCs/>
                <w:color w:val="000000"/>
                <w:sz w:val="16"/>
                <w:szCs w:val="18"/>
              </w:rPr>
              <w:br/>
              <w:t>(7.4 - 8.8)</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CCD256D"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483</w:t>
            </w:r>
          </w:p>
          <w:p w14:paraId="6521D09D"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(1,026)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D4D075A"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7.8</w:t>
            </w:r>
            <w:r w:rsidRPr="00AF3A24">
              <w:rPr>
                <w:rFonts w:asciiTheme="minorHAnsi" w:hAnsiTheme="minorHAnsi"/>
                <w:bCs/>
                <w:color w:val="000000"/>
                <w:sz w:val="16"/>
                <w:szCs w:val="18"/>
              </w:rPr>
              <w:br/>
              <w:t>(6.8 - 8.8)</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6F1FEC3F"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443</w:t>
            </w:r>
          </w:p>
          <w:p w14:paraId="36B723F3"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(1,026)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AEAECE2"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7.6</w:t>
            </w:r>
            <w:r w:rsidRPr="00AF3A24">
              <w:rPr>
                <w:rFonts w:asciiTheme="minorHAnsi" w:hAnsiTheme="minorHAnsi"/>
                <w:bCs/>
                <w:color w:val="000000"/>
                <w:sz w:val="16"/>
                <w:szCs w:val="18"/>
              </w:rPr>
              <w:br/>
              <w:t>(6.6 - 8.5)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18E5825"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56</w:t>
            </w:r>
          </w:p>
          <w:p w14:paraId="1CD8463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(1,026)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00A0CA9"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19.9</w:t>
            </w:r>
            <w:r w:rsidRPr="00AF3A24">
              <w:rPr>
                <w:rFonts w:asciiTheme="minorHAnsi" w:hAnsiTheme="minorHAnsi"/>
                <w:bCs/>
                <w:color w:val="000000"/>
                <w:sz w:val="16"/>
                <w:szCs w:val="18"/>
              </w:rPr>
              <w:br/>
              <w:t>(13.8 - 25.9)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0C948C16"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44</w:t>
            </w:r>
          </w:p>
          <w:p w14:paraId="39CECF8E"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(1,026)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DFD50D4" w14:textId="77777777" w:rsidR="00274F16" w:rsidRPr="00AF3A24" w:rsidRDefault="00274F16"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25.0</w:t>
            </w:r>
            <w:r w:rsidRPr="00AF3A24">
              <w:rPr>
                <w:rFonts w:asciiTheme="minorHAnsi" w:hAnsiTheme="minorHAnsi"/>
                <w:bCs/>
                <w:color w:val="000000"/>
                <w:sz w:val="16"/>
                <w:szCs w:val="18"/>
              </w:rPr>
              <w:br/>
              <w:t>(16.5 - 33.5)</w:t>
            </w:r>
          </w:p>
        </w:tc>
      </w:tr>
      <w:tr w:rsidR="00EE15EF" w:rsidRPr="00AF3A24" w14:paraId="55137598" w14:textId="77777777" w:rsidTr="00A310A6">
        <w:trPr>
          <w:jc w:val="center"/>
        </w:trPr>
        <w:tc>
          <w:tcPr>
            <w:tcW w:w="3257" w:type="dxa"/>
            <w:tcBorders>
              <w:top w:val="single" w:sz="4" w:space="0" w:color="auto"/>
              <w:bottom w:val="single" w:sz="4" w:space="0" w:color="auto"/>
              <w:right w:val="single" w:sz="4" w:space="0" w:color="auto"/>
            </w:tcBorders>
            <w:shd w:val="clear" w:color="auto" w:fill="DAEEF3" w:themeFill="accent5" w:themeFillTint="33"/>
            <w:vAlign w:val="center"/>
          </w:tcPr>
          <w:p w14:paraId="0A2F74B5" w14:textId="77777777" w:rsidR="00EE15EF" w:rsidRPr="00AF3A24" w:rsidRDefault="00EE15EF" w:rsidP="00A310A6">
            <w:pPr>
              <w:pStyle w:val="ListParagraph"/>
              <w:numPr>
                <w:ilvl w:val="0"/>
                <w:numId w:val="9"/>
              </w:numPr>
              <w:spacing w:line="240" w:lineRule="auto"/>
              <w:ind w:left="459" w:hanging="142"/>
              <w:jc w:val="left"/>
              <w:rPr>
                <w:rFonts w:asciiTheme="minorHAnsi" w:hAnsiTheme="minorHAnsi" w:cstheme="minorHAnsi"/>
                <w:sz w:val="16"/>
                <w:szCs w:val="16"/>
              </w:rPr>
            </w:pPr>
            <w:r>
              <w:rPr>
                <w:rFonts w:asciiTheme="minorHAnsi" w:hAnsiTheme="minorHAnsi" w:cstheme="minorHAnsi"/>
                <w:sz w:val="16"/>
                <w:szCs w:val="16"/>
              </w:rPr>
              <w:t xml:space="preserve">Other </w:t>
            </w:r>
            <w:r w:rsidRPr="00752EC7">
              <w:rPr>
                <w:rFonts w:asciiTheme="minorHAnsi" w:hAnsiTheme="minorHAnsi" w:cstheme="minorHAnsi"/>
                <w:sz w:val="16"/>
                <w:szCs w:val="16"/>
                <w:vertAlign w:val="superscript"/>
              </w:rPr>
              <w:t>5</w:t>
            </w:r>
          </w:p>
        </w:tc>
        <w:tc>
          <w:tcPr>
            <w:tcW w:w="895" w:type="dxa"/>
            <w:tcBorders>
              <w:top w:val="single" w:sz="4" w:space="0" w:color="auto"/>
              <w:bottom w:val="single" w:sz="4" w:space="0" w:color="auto"/>
              <w:right w:val="nil"/>
            </w:tcBorders>
            <w:shd w:val="clear" w:color="auto" w:fill="DAEEF3" w:themeFill="accent5" w:themeFillTint="33"/>
            <w:vAlign w:val="center"/>
          </w:tcPr>
          <w:p w14:paraId="599CFFFF" w14:textId="77777777" w:rsidR="00EE15EF" w:rsidRPr="0029075C" w:rsidRDefault="00EE15EF" w:rsidP="00A310A6">
            <w:pPr>
              <w:spacing w:before="0" w:line="240" w:lineRule="auto"/>
              <w:jc w:val="center"/>
              <w:rPr>
                <w:rFonts w:asciiTheme="minorHAnsi" w:hAnsiTheme="minorHAnsi"/>
                <w:b/>
                <w:bCs/>
                <w:color w:val="000000"/>
                <w:sz w:val="16"/>
                <w:szCs w:val="18"/>
              </w:rPr>
            </w:pPr>
            <w:r w:rsidRPr="0029075C">
              <w:rPr>
                <w:rFonts w:asciiTheme="minorHAnsi" w:hAnsiTheme="minorHAnsi"/>
                <w:b/>
                <w:bCs/>
                <w:color w:val="000000"/>
                <w:sz w:val="16"/>
                <w:szCs w:val="18"/>
              </w:rPr>
              <w:t>324</w:t>
            </w:r>
          </w:p>
          <w:p w14:paraId="7715B4F9" w14:textId="77777777" w:rsidR="00EE15EF" w:rsidRPr="0029075C" w:rsidRDefault="00EE15EF" w:rsidP="00A310A6">
            <w:pPr>
              <w:spacing w:before="0" w:line="240" w:lineRule="auto"/>
              <w:jc w:val="center"/>
              <w:rPr>
                <w:rFonts w:asciiTheme="minorHAnsi" w:hAnsiTheme="minorHAnsi"/>
                <w:b/>
                <w:bCs/>
                <w:color w:val="000000"/>
                <w:sz w:val="16"/>
                <w:szCs w:val="18"/>
              </w:rPr>
            </w:pPr>
            <w:r w:rsidRPr="0029075C">
              <w:rPr>
                <w:rFonts w:asciiTheme="minorHAnsi" w:hAnsiTheme="minorHAnsi"/>
                <w:b/>
                <w:bCs/>
                <w:color w:val="000000"/>
                <w:sz w:val="16"/>
                <w:szCs w:val="18"/>
              </w:rPr>
              <w:t>(12,596)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6CC9E69" w14:textId="77777777" w:rsidR="00EE15EF" w:rsidRPr="0029075C" w:rsidRDefault="00EE15EF" w:rsidP="00A310A6">
            <w:pPr>
              <w:spacing w:before="0" w:line="240" w:lineRule="auto"/>
              <w:jc w:val="center"/>
              <w:rPr>
                <w:rFonts w:asciiTheme="minorHAnsi" w:hAnsiTheme="minorHAnsi"/>
                <w:b/>
                <w:bCs/>
                <w:color w:val="000000"/>
                <w:sz w:val="16"/>
                <w:szCs w:val="18"/>
              </w:rPr>
            </w:pPr>
            <w:r w:rsidRPr="0029075C">
              <w:rPr>
                <w:rFonts w:asciiTheme="minorHAnsi" w:hAnsiTheme="minorHAnsi"/>
                <w:b/>
                <w:bCs/>
                <w:color w:val="000000"/>
                <w:sz w:val="16"/>
                <w:szCs w:val="18"/>
              </w:rPr>
              <w:t>3.0</w:t>
            </w:r>
            <w:r w:rsidRPr="0029075C">
              <w:rPr>
                <w:rFonts w:asciiTheme="minorHAnsi" w:hAnsiTheme="minorHAnsi"/>
                <w:b/>
                <w:bCs/>
                <w:color w:val="000000"/>
                <w:sz w:val="16"/>
                <w:szCs w:val="18"/>
              </w:rPr>
              <w:br/>
              <w:t>(2.5 - 3.4)</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2E5CFA0" w14:textId="77777777" w:rsidR="00EE15EF" w:rsidRPr="00376CC9" w:rsidRDefault="00EE15EF" w:rsidP="00A310A6">
            <w:pPr>
              <w:spacing w:before="0" w:line="240" w:lineRule="auto"/>
              <w:jc w:val="center"/>
              <w:rPr>
                <w:rFonts w:asciiTheme="minorHAnsi" w:hAnsiTheme="minorHAnsi"/>
                <w:bCs/>
                <w:color w:val="000000"/>
                <w:sz w:val="16"/>
                <w:szCs w:val="18"/>
              </w:rPr>
            </w:pPr>
            <w:r w:rsidRPr="00376CC9">
              <w:rPr>
                <w:rFonts w:asciiTheme="minorHAnsi" w:hAnsiTheme="minorHAnsi"/>
                <w:bCs/>
                <w:color w:val="000000"/>
                <w:sz w:val="16"/>
                <w:szCs w:val="18"/>
              </w:rPr>
              <w:t>141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55B10C9" w14:textId="77777777" w:rsidR="00EE15EF" w:rsidRPr="00376CC9" w:rsidRDefault="00EE15EF" w:rsidP="00A310A6">
            <w:pPr>
              <w:spacing w:before="0" w:line="240" w:lineRule="auto"/>
              <w:jc w:val="center"/>
              <w:rPr>
                <w:rFonts w:asciiTheme="minorHAnsi" w:hAnsiTheme="minorHAnsi"/>
                <w:bCs/>
                <w:color w:val="000000"/>
                <w:sz w:val="16"/>
                <w:szCs w:val="18"/>
              </w:rPr>
            </w:pPr>
            <w:r w:rsidRPr="00376CC9">
              <w:rPr>
                <w:rFonts w:asciiTheme="minorHAnsi" w:hAnsiTheme="minorHAnsi"/>
                <w:bCs/>
                <w:color w:val="000000"/>
                <w:sz w:val="16"/>
                <w:szCs w:val="18"/>
              </w:rPr>
              <w:t>2.6</w:t>
            </w:r>
            <w:r w:rsidRPr="00376CC9">
              <w:rPr>
                <w:rFonts w:asciiTheme="minorHAnsi" w:hAnsiTheme="minorHAnsi"/>
                <w:bCs/>
                <w:color w:val="000000"/>
                <w:sz w:val="16"/>
                <w:szCs w:val="18"/>
              </w:rPr>
              <w:br/>
              <w:t>(2.0 - 3.1)</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119F9277" w14:textId="77777777" w:rsidR="00EE15EF" w:rsidRPr="00376CC9" w:rsidRDefault="00EE15EF" w:rsidP="00A310A6">
            <w:pPr>
              <w:spacing w:before="0" w:line="240" w:lineRule="auto"/>
              <w:jc w:val="center"/>
              <w:rPr>
                <w:rFonts w:asciiTheme="minorHAnsi" w:hAnsiTheme="minorHAnsi"/>
                <w:bCs/>
                <w:color w:val="000000"/>
                <w:sz w:val="16"/>
                <w:szCs w:val="18"/>
              </w:rPr>
            </w:pPr>
            <w:r w:rsidRPr="00376CC9">
              <w:rPr>
                <w:rFonts w:asciiTheme="minorHAnsi" w:hAnsiTheme="minorHAnsi"/>
                <w:bCs/>
                <w:color w:val="000000"/>
                <w:sz w:val="16"/>
                <w:szCs w:val="18"/>
              </w:rPr>
              <w:t>145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1C28F7C" w14:textId="77777777" w:rsidR="00EE15EF" w:rsidRPr="00376CC9" w:rsidRDefault="00EE15EF" w:rsidP="00A310A6">
            <w:pPr>
              <w:spacing w:before="0" w:line="240" w:lineRule="auto"/>
              <w:jc w:val="center"/>
              <w:rPr>
                <w:rFonts w:asciiTheme="minorHAnsi" w:hAnsiTheme="minorHAnsi"/>
                <w:bCs/>
                <w:color w:val="000000"/>
                <w:sz w:val="16"/>
                <w:szCs w:val="18"/>
              </w:rPr>
            </w:pPr>
            <w:r w:rsidRPr="00376CC9">
              <w:rPr>
                <w:rFonts w:asciiTheme="minorHAnsi" w:hAnsiTheme="minorHAnsi"/>
                <w:bCs/>
                <w:color w:val="000000"/>
                <w:sz w:val="16"/>
                <w:szCs w:val="18"/>
              </w:rPr>
              <w:t>2.8</w:t>
            </w:r>
            <w:r w:rsidRPr="00376CC9">
              <w:rPr>
                <w:rFonts w:asciiTheme="minorHAnsi" w:hAnsiTheme="minorHAnsi"/>
                <w:bCs/>
                <w:color w:val="000000"/>
                <w:sz w:val="16"/>
                <w:szCs w:val="18"/>
              </w:rPr>
              <w:br/>
              <w:t>(2.3 - 3.4)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00760FD"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62094B1"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AF5086B"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550BA9A"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bl>
    <w:p w14:paraId="66932547" w14:textId="77777777" w:rsidR="00274F16" w:rsidRPr="00AF3A24" w:rsidRDefault="00274F16" w:rsidP="00274F16">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360A0590" w14:textId="77777777" w:rsidR="00274F16" w:rsidRPr="00AF3A24" w:rsidRDefault="00274F16" w:rsidP="00D75319">
      <w:pPr>
        <w:pStyle w:val="ListParagraph"/>
        <w:numPr>
          <w:ilvl w:val="0"/>
          <w:numId w:val="22"/>
        </w:numPr>
        <w:spacing w:line="240" w:lineRule="auto"/>
        <w:ind w:left="851"/>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398426F3" w14:textId="77777777" w:rsidR="00274F16" w:rsidRPr="00AF3A24" w:rsidRDefault="00274F16" w:rsidP="00D75319">
      <w:pPr>
        <w:pStyle w:val="ListParagraph"/>
        <w:numPr>
          <w:ilvl w:val="0"/>
          <w:numId w:val="22"/>
        </w:numPr>
        <w:spacing w:line="240" w:lineRule="auto"/>
        <w:ind w:left="851"/>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1DD7169D" w14:textId="77777777" w:rsidR="00274F16" w:rsidRPr="00AF3A24" w:rsidRDefault="00274F16" w:rsidP="00D75319">
      <w:pPr>
        <w:pStyle w:val="ListParagraph"/>
        <w:numPr>
          <w:ilvl w:val="0"/>
          <w:numId w:val="22"/>
        </w:numPr>
        <w:spacing w:line="240" w:lineRule="auto"/>
        <w:ind w:left="851"/>
        <w:rPr>
          <w:rFonts w:asciiTheme="minorHAnsi" w:hAnsiTheme="minorHAnsi" w:cstheme="minorHAnsi"/>
          <w:sz w:val="16"/>
        </w:rPr>
      </w:pPr>
      <w:r w:rsidRPr="00AF3A24">
        <w:rPr>
          <w:rFonts w:asciiTheme="minorHAnsi" w:hAnsiTheme="minorHAnsi" w:cstheme="minorHAnsi"/>
          <w:sz w:val="16"/>
        </w:rPr>
        <w:t xml:space="preserve">Identifies as a current smoker - as defined by the WHO: smoked at least 100 cigarettes in life time and smoking daily, weekly or monthly. </w:t>
      </w:r>
    </w:p>
    <w:p w14:paraId="5F8B52CF" w14:textId="77777777" w:rsidR="00274F16" w:rsidRPr="00752EC7" w:rsidRDefault="00274F16" w:rsidP="00D75319">
      <w:pPr>
        <w:pStyle w:val="ListParagraph"/>
        <w:numPr>
          <w:ilvl w:val="0"/>
          <w:numId w:val="22"/>
        </w:numPr>
        <w:spacing w:line="240" w:lineRule="auto"/>
        <w:ind w:left="851"/>
        <w:rPr>
          <w:rFonts w:asciiTheme="minorHAnsi" w:hAnsiTheme="minorHAnsi" w:cstheme="minorHAnsi"/>
          <w:sz w:val="16"/>
        </w:rPr>
      </w:pPr>
      <w:r>
        <w:rPr>
          <w:rFonts w:asciiTheme="minorHAnsi" w:hAnsiTheme="minorHAnsi" w:cstheme="minorHAnsi"/>
          <w:sz w:val="16"/>
          <w:szCs w:val="16"/>
        </w:rPr>
        <w:t xml:space="preserve">This excludes </w:t>
      </w:r>
      <w:r w:rsidRPr="00AF3A24">
        <w:rPr>
          <w:rFonts w:asciiTheme="minorHAnsi" w:hAnsiTheme="minorHAnsi" w:cstheme="minorHAnsi"/>
          <w:sz w:val="16"/>
          <w:szCs w:val="16"/>
        </w:rPr>
        <w:t>alcohol and tobacco</w:t>
      </w:r>
      <w:r>
        <w:rPr>
          <w:rFonts w:asciiTheme="minorHAnsi" w:hAnsiTheme="minorHAnsi" w:cstheme="minorHAnsi"/>
          <w:sz w:val="16"/>
          <w:szCs w:val="16"/>
        </w:rPr>
        <w:t xml:space="preserve"> and </w:t>
      </w:r>
      <w:r w:rsidRPr="00AF3A24">
        <w:rPr>
          <w:rFonts w:asciiTheme="minorHAnsi" w:hAnsiTheme="minorHAnsi" w:cstheme="minorHAnsi"/>
          <w:sz w:val="16"/>
          <w:szCs w:val="16"/>
        </w:rPr>
        <w:t>allowed for multiple responses.</w:t>
      </w:r>
    </w:p>
    <w:p w14:paraId="7EF4BDDD" w14:textId="77777777" w:rsidR="00274F16" w:rsidRPr="00AF3A24" w:rsidRDefault="00274F16" w:rsidP="00D75319">
      <w:pPr>
        <w:pStyle w:val="ListParagraph"/>
        <w:numPr>
          <w:ilvl w:val="0"/>
          <w:numId w:val="22"/>
        </w:numPr>
        <w:spacing w:line="240" w:lineRule="auto"/>
        <w:ind w:left="851"/>
        <w:rPr>
          <w:rFonts w:asciiTheme="minorHAnsi" w:hAnsiTheme="minorHAnsi" w:cstheme="minorHAnsi"/>
          <w:sz w:val="16"/>
        </w:rPr>
      </w:pPr>
      <w:r>
        <w:rPr>
          <w:rFonts w:asciiTheme="minorHAnsi" w:hAnsiTheme="minorHAnsi" w:cstheme="minorHAnsi"/>
          <w:sz w:val="16"/>
        </w:rPr>
        <w:t xml:space="preserve">‘Other’ includes: Ecstasy; </w:t>
      </w:r>
      <w:r w:rsidRPr="00AF3A24">
        <w:rPr>
          <w:rFonts w:asciiTheme="minorHAnsi" w:hAnsiTheme="minorHAnsi" w:cstheme="minorHAnsi"/>
          <w:sz w:val="16"/>
          <w:szCs w:val="16"/>
        </w:rPr>
        <w:t>Amphetamines</w:t>
      </w:r>
      <w:r>
        <w:rPr>
          <w:rFonts w:asciiTheme="minorHAnsi" w:hAnsiTheme="minorHAnsi" w:cstheme="minorHAnsi"/>
          <w:sz w:val="16"/>
          <w:szCs w:val="16"/>
        </w:rPr>
        <w:t xml:space="preserve">, </w:t>
      </w:r>
      <w:r w:rsidRPr="00AF3A24">
        <w:rPr>
          <w:rFonts w:asciiTheme="minorHAnsi" w:hAnsiTheme="minorHAnsi" w:cstheme="minorHAnsi"/>
          <w:sz w:val="16"/>
          <w:szCs w:val="16"/>
        </w:rPr>
        <w:t>Legal party pills</w:t>
      </w:r>
      <w:r>
        <w:rPr>
          <w:rFonts w:asciiTheme="minorHAnsi" w:hAnsiTheme="minorHAnsi" w:cstheme="minorHAnsi"/>
          <w:sz w:val="16"/>
          <w:szCs w:val="16"/>
        </w:rPr>
        <w:t xml:space="preserve">, </w:t>
      </w:r>
      <w:r w:rsidRPr="00AF3A24">
        <w:rPr>
          <w:rFonts w:asciiTheme="minorHAnsi" w:hAnsiTheme="minorHAnsi" w:cstheme="minorHAnsi"/>
          <w:sz w:val="16"/>
          <w:szCs w:val="16"/>
        </w:rPr>
        <w:t>Stimulants</w:t>
      </w:r>
      <w:r>
        <w:rPr>
          <w:rFonts w:asciiTheme="minorHAnsi" w:hAnsiTheme="minorHAnsi" w:cstheme="minorHAnsi"/>
          <w:sz w:val="16"/>
          <w:szCs w:val="16"/>
        </w:rPr>
        <w:t xml:space="preserve">, </w:t>
      </w:r>
      <w:r w:rsidRPr="00AF3A24">
        <w:rPr>
          <w:rFonts w:asciiTheme="minorHAnsi" w:hAnsiTheme="minorHAnsi" w:cstheme="minorHAnsi"/>
          <w:sz w:val="16"/>
          <w:szCs w:val="16"/>
        </w:rPr>
        <w:t>Painkillers</w:t>
      </w:r>
      <w:r>
        <w:rPr>
          <w:rFonts w:asciiTheme="minorHAnsi" w:hAnsiTheme="minorHAnsi" w:cstheme="minorHAnsi"/>
          <w:sz w:val="16"/>
          <w:szCs w:val="16"/>
        </w:rPr>
        <w:t xml:space="preserve">, </w:t>
      </w:r>
      <w:r w:rsidRPr="00AF3A24">
        <w:rPr>
          <w:rFonts w:asciiTheme="minorHAnsi" w:hAnsiTheme="minorHAnsi" w:cstheme="minorHAnsi"/>
          <w:sz w:val="16"/>
          <w:szCs w:val="16"/>
        </w:rPr>
        <w:t>Benzodiazepines</w:t>
      </w:r>
      <w:r>
        <w:rPr>
          <w:rFonts w:asciiTheme="minorHAnsi" w:hAnsiTheme="minorHAnsi" w:cstheme="minorHAnsi"/>
          <w:sz w:val="16"/>
          <w:szCs w:val="16"/>
        </w:rPr>
        <w:t xml:space="preserve">, </w:t>
      </w:r>
      <w:r w:rsidRPr="00AF3A24">
        <w:rPr>
          <w:rFonts w:asciiTheme="minorHAnsi" w:hAnsiTheme="minorHAnsi" w:cstheme="minorHAnsi"/>
          <w:sz w:val="16"/>
          <w:szCs w:val="16"/>
        </w:rPr>
        <w:t>Hallucinogens</w:t>
      </w:r>
      <w:r>
        <w:rPr>
          <w:rFonts w:asciiTheme="minorHAnsi" w:hAnsiTheme="minorHAnsi" w:cstheme="minorHAnsi"/>
          <w:sz w:val="16"/>
          <w:szCs w:val="16"/>
        </w:rPr>
        <w:t xml:space="preserve">, </w:t>
      </w:r>
      <w:r w:rsidRPr="00AF3A24">
        <w:rPr>
          <w:rFonts w:asciiTheme="minorHAnsi" w:hAnsiTheme="minorHAnsi" w:cstheme="minorHAnsi"/>
          <w:sz w:val="16"/>
          <w:szCs w:val="16"/>
        </w:rPr>
        <w:t>Cocaine</w:t>
      </w:r>
      <w:r>
        <w:rPr>
          <w:rFonts w:asciiTheme="minorHAnsi" w:hAnsiTheme="minorHAnsi" w:cstheme="minorHAnsi"/>
          <w:sz w:val="16"/>
          <w:szCs w:val="16"/>
        </w:rPr>
        <w:t xml:space="preserve">, </w:t>
      </w:r>
      <w:r w:rsidRPr="00AF3A24">
        <w:rPr>
          <w:rFonts w:asciiTheme="minorHAnsi" w:hAnsiTheme="minorHAnsi" w:cstheme="minorHAnsi"/>
          <w:sz w:val="16"/>
          <w:szCs w:val="16"/>
        </w:rPr>
        <w:t>Heroin</w:t>
      </w:r>
      <w:r>
        <w:rPr>
          <w:rFonts w:asciiTheme="minorHAnsi" w:hAnsiTheme="minorHAnsi" w:cstheme="minorHAnsi"/>
          <w:sz w:val="16"/>
          <w:szCs w:val="16"/>
        </w:rPr>
        <w:t xml:space="preserve">, </w:t>
      </w:r>
      <w:r w:rsidRPr="00AF3A24">
        <w:rPr>
          <w:rFonts w:asciiTheme="minorHAnsi" w:hAnsiTheme="minorHAnsi" w:cstheme="minorHAnsi"/>
          <w:sz w:val="16"/>
          <w:szCs w:val="16"/>
        </w:rPr>
        <w:t>Other</w:t>
      </w:r>
      <w:r>
        <w:rPr>
          <w:rFonts w:asciiTheme="minorHAnsi" w:hAnsiTheme="minorHAnsi" w:cstheme="minorHAnsi"/>
          <w:sz w:val="16"/>
          <w:szCs w:val="16"/>
        </w:rPr>
        <w:t xml:space="preserve">. These items </w:t>
      </w:r>
      <w:r>
        <w:rPr>
          <w:rFonts w:asciiTheme="minorHAnsi" w:hAnsiTheme="minorHAnsi" w:cstheme="minorHAnsi"/>
          <w:sz w:val="16"/>
        </w:rPr>
        <w:t xml:space="preserve">have been combined due to </w:t>
      </w:r>
      <w:r w:rsidRPr="00AF3A24">
        <w:rPr>
          <w:rFonts w:asciiTheme="minorHAnsi" w:hAnsiTheme="minorHAnsi" w:cstheme="minorHAnsi"/>
          <w:sz w:val="16"/>
        </w:rPr>
        <w:t>small cell sizes / denominators (n&lt;30</w:t>
      </w:r>
      <w:r>
        <w:rPr>
          <w:rFonts w:asciiTheme="minorHAnsi" w:hAnsiTheme="minorHAnsi" w:cstheme="minorHAnsi"/>
          <w:sz w:val="16"/>
        </w:rPr>
        <w:t>).</w:t>
      </w:r>
    </w:p>
    <w:p w14:paraId="0E24D25B" w14:textId="77777777" w:rsidR="00274F16" w:rsidRDefault="00274F16" w:rsidP="00274F16">
      <w:pPr>
        <w:spacing w:before="0" w:after="200" w:line="276" w:lineRule="auto"/>
        <w:jc w:val="left"/>
      </w:pPr>
      <w:r>
        <w:br w:type="page"/>
      </w:r>
    </w:p>
    <w:p w14:paraId="35A6A555" w14:textId="77777777" w:rsidR="00C54BD6" w:rsidRDefault="00C54BD6" w:rsidP="00274F16">
      <w:pPr>
        <w:spacing w:before="0" w:after="200" w:line="276" w:lineRule="auto"/>
        <w:jc w:val="left"/>
        <w:rPr>
          <w:rFonts w:asciiTheme="minorHAnsi" w:hAnsiTheme="minorHAnsi" w:cstheme="minorHAnsi"/>
          <w:b/>
          <w:iCs/>
          <w:color w:val="1F497D"/>
          <w:szCs w:val="26"/>
        </w:rPr>
      </w:pPr>
    </w:p>
    <w:p w14:paraId="5521712A" w14:textId="18DA42AD" w:rsidR="00274F16" w:rsidRPr="00AF3A24" w:rsidRDefault="00274F16" w:rsidP="00274F16">
      <w:pPr>
        <w:pStyle w:val="Caption"/>
        <w:keepNext/>
        <w:spacing w:line="276" w:lineRule="auto"/>
        <w:ind w:left="993" w:hanging="993"/>
        <w:rPr>
          <w:rFonts w:asciiTheme="minorHAnsi" w:hAnsiTheme="minorHAnsi" w:cstheme="minorHAnsi"/>
          <w:i/>
          <w:vertAlign w:val="superscript"/>
        </w:rPr>
      </w:pPr>
      <w:bookmarkStart w:id="312" w:name="_Ref397529899"/>
      <w:bookmarkStart w:id="313" w:name="_Toc425426896"/>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29</w:t>
      </w:r>
      <w:r w:rsidRPr="00AF3A24">
        <w:rPr>
          <w:rFonts w:asciiTheme="minorHAnsi" w:hAnsiTheme="minorHAnsi"/>
          <w:i/>
        </w:rPr>
        <w:fldChar w:fldCharType="end"/>
      </w:r>
      <w:bookmarkEnd w:id="312"/>
      <w:r w:rsidRPr="00AF3A24">
        <w:rPr>
          <w:rFonts w:asciiTheme="minorHAnsi" w:hAnsiTheme="minorHAnsi"/>
          <w:i/>
        </w:rPr>
        <w:t>:</w:t>
      </w:r>
      <w:r w:rsidRPr="00AF3A24">
        <w:rPr>
          <w:rFonts w:asciiTheme="minorHAnsi" w:hAnsiTheme="minorHAnsi" w:cstheme="minorHAnsi"/>
          <w:i/>
        </w:rPr>
        <w:tab/>
        <w:t>Gambling status by dangerous consumptions</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 Odds ratios and p-values </w:t>
      </w:r>
      <w:r w:rsidRPr="00AF3A24">
        <w:rPr>
          <w:rFonts w:asciiTheme="minorHAnsi" w:hAnsiTheme="minorHAnsi" w:cstheme="minorHAnsi"/>
          <w:i/>
          <w:vertAlign w:val="superscript"/>
        </w:rPr>
        <w:t>1</w:t>
      </w:r>
      <w:bookmarkEnd w:id="313"/>
      <w:r w:rsidRPr="00AF3A24">
        <w:rPr>
          <w:rFonts w:asciiTheme="minorHAnsi" w:hAnsiTheme="minorHAnsi" w:cstheme="minorHAnsi"/>
          <w:i/>
          <w:vertAlign w:val="superscript"/>
        </w:rPr>
        <w:t xml:space="preserve"> </w:t>
      </w:r>
    </w:p>
    <w:tbl>
      <w:tblPr>
        <w:tblStyle w:val="TableGrid"/>
        <w:tblW w:w="11307" w:type="dxa"/>
        <w:jc w:val="center"/>
        <w:tblLayout w:type="fixed"/>
        <w:tblLook w:val="04A0" w:firstRow="1" w:lastRow="0" w:firstColumn="1" w:lastColumn="0" w:noHBand="0" w:noVBand="1"/>
      </w:tblPr>
      <w:tblGrid>
        <w:gridCol w:w="4111"/>
        <w:gridCol w:w="2067"/>
        <w:gridCol w:w="2068"/>
        <w:gridCol w:w="2068"/>
        <w:gridCol w:w="993"/>
      </w:tblGrid>
      <w:tr w:rsidR="00274F16" w:rsidRPr="00AF3A24" w14:paraId="6631E9D9" w14:textId="77777777" w:rsidTr="00A310A6">
        <w:trPr>
          <w:trHeight w:val="386"/>
          <w:jc w:val="center"/>
        </w:trPr>
        <w:tc>
          <w:tcPr>
            <w:tcW w:w="4111" w:type="dxa"/>
            <w:vMerge w:val="restart"/>
            <w:shd w:val="clear" w:color="auto" w:fill="92CDDC" w:themeFill="accent5" w:themeFillTint="99"/>
            <w:vAlign w:val="center"/>
          </w:tcPr>
          <w:p w14:paraId="7EFF3670" w14:textId="77777777" w:rsidR="00274F16" w:rsidRPr="00AF3A24" w:rsidRDefault="00274F16"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VARIABLE</w:t>
            </w:r>
          </w:p>
        </w:tc>
        <w:tc>
          <w:tcPr>
            <w:tcW w:w="6203" w:type="dxa"/>
            <w:gridSpan w:val="3"/>
            <w:tcBorders>
              <w:bottom w:val="single" w:sz="4" w:space="0" w:color="auto"/>
            </w:tcBorders>
            <w:shd w:val="clear" w:color="auto" w:fill="92CDDC" w:themeFill="accent5" w:themeFillTint="99"/>
            <w:vAlign w:val="center"/>
          </w:tcPr>
          <w:p w14:paraId="1FD87341"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993" w:type="dxa"/>
            <w:vMerge w:val="restart"/>
            <w:shd w:val="clear" w:color="auto" w:fill="92CDDC" w:themeFill="accent5" w:themeFillTint="99"/>
            <w:vAlign w:val="center"/>
          </w:tcPr>
          <w:p w14:paraId="4DCA5529"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4</w:t>
            </w:r>
          </w:p>
        </w:tc>
      </w:tr>
      <w:tr w:rsidR="00274F16" w:rsidRPr="00AF3A24" w14:paraId="2117F675" w14:textId="77777777" w:rsidTr="00A310A6">
        <w:trPr>
          <w:trHeight w:val="386"/>
          <w:jc w:val="center"/>
        </w:trPr>
        <w:tc>
          <w:tcPr>
            <w:tcW w:w="4111" w:type="dxa"/>
            <w:vMerge/>
            <w:shd w:val="clear" w:color="auto" w:fill="92CDDC" w:themeFill="accent5" w:themeFillTint="99"/>
          </w:tcPr>
          <w:p w14:paraId="23E50F83" w14:textId="77777777" w:rsidR="00274F16" w:rsidRPr="00AF3A24" w:rsidRDefault="00274F16"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2590DABA"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People with no gambling problems </w:t>
            </w:r>
            <w:r w:rsidRPr="00AF3A24">
              <w:rPr>
                <w:rFonts w:asciiTheme="minorHAnsi" w:hAnsiTheme="minorHAnsi" w:cstheme="minorHAnsi"/>
                <w:b/>
                <w:sz w:val="18"/>
                <w:szCs w:val="18"/>
                <w:vertAlign w:val="superscript"/>
              </w:rPr>
              <w:t>2</w:t>
            </w:r>
          </w:p>
        </w:tc>
        <w:tc>
          <w:tcPr>
            <w:tcW w:w="2068" w:type="dxa"/>
            <w:shd w:val="clear" w:color="auto" w:fill="92CDDC" w:themeFill="accent5" w:themeFillTint="99"/>
            <w:vAlign w:val="center"/>
          </w:tcPr>
          <w:p w14:paraId="4123C5A5" w14:textId="77777777" w:rsidR="00274F16" w:rsidRPr="00AF3A24" w:rsidRDefault="00274F16"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Low-risk </w:t>
            </w:r>
          </w:p>
        </w:tc>
        <w:tc>
          <w:tcPr>
            <w:tcW w:w="2068" w:type="dxa"/>
            <w:shd w:val="clear" w:color="auto" w:fill="92CDDC" w:themeFill="accent5" w:themeFillTint="99"/>
            <w:vAlign w:val="center"/>
          </w:tcPr>
          <w:p w14:paraId="14622E00" w14:textId="77777777" w:rsidR="00274F16" w:rsidRPr="00AF3A24" w:rsidRDefault="00847789"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Pr>
                <w:rFonts w:asciiTheme="minorHAnsi" w:hAnsiTheme="minorHAnsi" w:cstheme="minorHAnsi"/>
                <w:b/>
                <w:sz w:val="18"/>
                <w:szCs w:val="18"/>
              </w:rPr>
              <w:t>m</w:t>
            </w:r>
            <w:r w:rsidRPr="00AF3A24">
              <w:rPr>
                <w:rFonts w:asciiTheme="minorHAnsi" w:hAnsiTheme="minorHAnsi" w:cstheme="minorHAnsi"/>
                <w:b/>
                <w:sz w:val="18"/>
                <w:szCs w:val="18"/>
              </w:rPr>
              <w:t>oderate-risk</w:t>
            </w:r>
            <w:r>
              <w:rPr>
                <w:rFonts w:asciiTheme="minorHAnsi" w:hAnsiTheme="minorHAnsi" w:cstheme="minorHAnsi"/>
                <w:b/>
                <w:sz w:val="18"/>
                <w:szCs w:val="18"/>
              </w:rPr>
              <w:t xml:space="preserve"> and problem</w:t>
            </w:r>
            <w:r w:rsidRPr="00AF3A24">
              <w:rPr>
                <w:rFonts w:asciiTheme="minorHAnsi" w:hAnsiTheme="minorHAnsi" w:cstheme="minorHAnsi"/>
                <w:b/>
                <w:sz w:val="18"/>
                <w:szCs w:val="18"/>
              </w:rPr>
              <w:t xml:space="preserve"> </w:t>
            </w:r>
            <w:r w:rsidR="00274F16" w:rsidRPr="00AF3A24">
              <w:rPr>
                <w:rFonts w:asciiTheme="minorHAnsi" w:hAnsiTheme="minorHAnsi" w:cstheme="minorHAnsi"/>
                <w:b/>
                <w:sz w:val="18"/>
                <w:szCs w:val="18"/>
                <w:vertAlign w:val="superscript"/>
              </w:rPr>
              <w:t>3</w:t>
            </w:r>
          </w:p>
        </w:tc>
        <w:tc>
          <w:tcPr>
            <w:tcW w:w="993" w:type="dxa"/>
            <w:vMerge/>
            <w:shd w:val="clear" w:color="auto" w:fill="92CDDC" w:themeFill="accent5" w:themeFillTint="99"/>
            <w:vAlign w:val="center"/>
          </w:tcPr>
          <w:p w14:paraId="158B6E6D" w14:textId="77777777" w:rsidR="00274F16" w:rsidRPr="00AF3A24" w:rsidRDefault="00274F16" w:rsidP="00A310A6">
            <w:pPr>
              <w:spacing w:before="0" w:line="240" w:lineRule="auto"/>
              <w:jc w:val="center"/>
              <w:rPr>
                <w:rFonts w:asciiTheme="minorHAnsi" w:hAnsiTheme="minorHAnsi" w:cstheme="minorHAnsi"/>
                <w:b/>
                <w:sz w:val="18"/>
                <w:szCs w:val="18"/>
              </w:rPr>
            </w:pPr>
          </w:p>
        </w:tc>
      </w:tr>
      <w:tr w:rsidR="00274F16" w:rsidRPr="00AF3A24" w14:paraId="0639FCA1" w14:textId="77777777" w:rsidTr="00A310A6">
        <w:trPr>
          <w:trHeight w:val="386"/>
          <w:jc w:val="center"/>
        </w:trPr>
        <w:tc>
          <w:tcPr>
            <w:tcW w:w="4111" w:type="dxa"/>
            <w:vMerge/>
            <w:tcBorders>
              <w:bottom w:val="single" w:sz="4" w:space="0" w:color="auto"/>
            </w:tcBorders>
            <w:shd w:val="clear" w:color="auto" w:fill="92CDDC" w:themeFill="accent5" w:themeFillTint="99"/>
          </w:tcPr>
          <w:p w14:paraId="2F56BC73" w14:textId="77777777" w:rsidR="00274F16" w:rsidRPr="00AF3A24" w:rsidRDefault="00274F16"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2D88485E" w14:textId="77777777" w:rsidR="00274F16" w:rsidRPr="00AF3A24" w:rsidRDefault="00076DDA" w:rsidP="00076DDA">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Odds ratio</w:t>
            </w:r>
          </w:p>
        </w:tc>
        <w:tc>
          <w:tcPr>
            <w:tcW w:w="2068" w:type="dxa"/>
            <w:tcBorders>
              <w:bottom w:val="single" w:sz="4" w:space="0" w:color="auto"/>
            </w:tcBorders>
            <w:shd w:val="clear" w:color="auto" w:fill="92CDDC" w:themeFill="accent5" w:themeFillTint="99"/>
            <w:vAlign w:val="center"/>
          </w:tcPr>
          <w:p w14:paraId="604D07A7"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062B72C7"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068" w:type="dxa"/>
            <w:tcBorders>
              <w:bottom w:val="single" w:sz="4" w:space="0" w:color="auto"/>
            </w:tcBorders>
            <w:shd w:val="clear" w:color="auto" w:fill="92CDDC" w:themeFill="accent5" w:themeFillTint="99"/>
            <w:vAlign w:val="center"/>
          </w:tcPr>
          <w:p w14:paraId="4BDEFF5A"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44F70F57" w14:textId="77777777" w:rsidR="00274F16" w:rsidRPr="00AF3A24" w:rsidRDefault="00274F16"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93" w:type="dxa"/>
            <w:vMerge/>
            <w:tcBorders>
              <w:bottom w:val="single" w:sz="4" w:space="0" w:color="auto"/>
            </w:tcBorders>
            <w:shd w:val="clear" w:color="auto" w:fill="92CDDC" w:themeFill="accent5" w:themeFillTint="99"/>
            <w:vAlign w:val="center"/>
          </w:tcPr>
          <w:p w14:paraId="551448CE" w14:textId="77777777" w:rsidR="00274F16" w:rsidRPr="00AF3A24" w:rsidRDefault="00274F16" w:rsidP="00A310A6">
            <w:pPr>
              <w:spacing w:before="0" w:line="240" w:lineRule="auto"/>
              <w:jc w:val="center"/>
              <w:rPr>
                <w:rFonts w:asciiTheme="minorHAnsi" w:hAnsiTheme="minorHAnsi" w:cstheme="minorHAnsi"/>
                <w:b/>
                <w:sz w:val="18"/>
                <w:szCs w:val="18"/>
              </w:rPr>
            </w:pPr>
          </w:p>
        </w:tc>
      </w:tr>
      <w:tr w:rsidR="00274F16" w:rsidRPr="00AF3A24" w14:paraId="22D0F6ED" w14:textId="77777777" w:rsidTr="00A310A6">
        <w:trPr>
          <w:trHeight w:val="227"/>
          <w:jc w:val="center"/>
        </w:trPr>
        <w:tc>
          <w:tcPr>
            <w:tcW w:w="11307" w:type="dxa"/>
            <w:gridSpan w:val="5"/>
            <w:tcBorders>
              <w:top w:val="single" w:sz="4" w:space="0" w:color="auto"/>
              <w:right w:val="single" w:sz="4" w:space="0" w:color="auto"/>
            </w:tcBorders>
            <w:shd w:val="clear" w:color="auto" w:fill="DAEEF3" w:themeFill="accent5" w:themeFillTint="33"/>
            <w:vAlign w:val="center"/>
          </w:tcPr>
          <w:p w14:paraId="799D4E47"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ALCOHOL:</w:t>
            </w:r>
          </w:p>
        </w:tc>
      </w:tr>
      <w:tr w:rsidR="00274F16" w:rsidRPr="00AF3A24" w14:paraId="4D4F61A1" w14:textId="77777777" w:rsidTr="00A310A6">
        <w:trPr>
          <w:jc w:val="center"/>
        </w:trPr>
        <w:tc>
          <w:tcPr>
            <w:tcW w:w="4111" w:type="dxa"/>
            <w:tcBorders>
              <w:top w:val="single" w:sz="4" w:space="0" w:color="auto"/>
            </w:tcBorders>
            <w:shd w:val="clear" w:color="auto" w:fill="DAEEF3" w:themeFill="accent5" w:themeFillTint="33"/>
            <w:vAlign w:val="center"/>
          </w:tcPr>
          <w:p w14:paraId="459DA2C3"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Use of alcohol in the past 12 months</w:t>
            </w:r>
          </w:p>
        </w:tc>
        <w:tc>
          <w:tcPr>
            <w:tcW w:w="2067" w:type="dxa"/>
            <w:tcBorders>
              <w:left w:val="nil"/>
              <w:bottom w:val="nil"/>
              <w:right w:val="single" w:sz="4" w:space="0" w:color="auto"/>
            </w:tcBorders>
            <w:shd w:val="clear" w:color="auto" w:fill="DAEEF3" w:themeFill="accent5" w:themeFillTint="33"/>
            <w:vAlign w:val="center"/>
          </w:tcPr>
          <w:p w14:paraId="4B79E350"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tcPr>
          <w:p w14:paraId="1E12510D"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r w:rsidRPr="00AF3A24">
              <w:rPr>
                <w:rFonts w:asciiTheme="minorHAnsi" w:hAnsiTheme="minorHAnsi"/>
                <w:bCs/>
                <w:color w:val="000000"/>
                <w:sz w:val="16"/>
                <w:szCs w:val="16"/>
              </w:rPr>
              <w:br/>
              <w:t>(1.2 - 2.9)</w:t>
            </w:r>
          </w:p>
        </w:tc>
        <w:tc>
          <w:tcPr>
            <w:tcW w:w="2068" w:type="dxa"/>
            <w:tcBorders>
              <w:left w:val="single" w:sz="4" w:space="0" w:color="auto"/>
              <w:right w:val="single" w:sz="4" w:space="0" w:color="auto"/>
            </w:tcBorders>
            <w:shd w:val="clear" w:color="auto" w:fill="DAEEF3" w:themeFill="accent5" w:themeFillTint="33"/>
          </w:tcPr>
          <w:p w14:paraId="3FBC2329"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w:t>
            </w:r>
            <w:r w:rsidRPr="00AF3A24">
              <w:rPr>
                <w:rFonts w:asciiTheme="minorHAnsi" w:hAnsiTheme="minorHAnsi"/>
                <w:bCs/>
                <w:color w:val="000000"/>
                <w:sz w:val="16"/>
                <w:szCs w:val="16"/>
              </w:rPr>
              <w:br/>
              <w:t>(1.0 - 2.8)</w:t>
            </w:r>
          </w:p>
        </w:tc>
        <w:tc>
          <w:tcPr>
            <w:tcW w:w="993" w:type="dxa"/>
            <w:tcBorders>
              <w:left w:val="single" w:sz="4" w:space="0" w:color="auto"/>
              <w:right w:val="single" w:sz="4" w:space="0" w:color="auto"/>
            </w:tcBorders>
            <w:shd w:val="clear" w:color="auto" w:fill="DAEEF3" w:themeFill="accent5" w:themeFillTint="33"/>
            <w:vAlign w:val="center"/>
          </w:tcPr>
          <w:p w14:paraId="2F9DA1A7" w14:textId="77777777" w:rsidR="00274F16" w:rsidRPr="00AF3A24" w:rsidRDefault="00274F16"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 xml:space="preserve"> 0.0051</w:t>
            </w:r>
          </w:p>
        </w:tc>
      </w:tr>
      <w:tr w:rsidR="00274F16" w:rsidRPr="00AF3A24" w14:paraId="528C126F" w14:textId="77777777" w:rsidTr="00A310A6">
        <w:trPr>
          <w:trHeight w:val="342"/>
          <w:jc w:val="center"/>
        </w:trPr>
        <w:tc>
          <w:tcPr>
            <w:tcW w:w="4111" w:type="dxa"/>
            <w:tcBorders>
              <w:top w:val="single" w:sz="4" w:space="0" w:color="auto"/>
            </w:tcBorders>
            <w:shd w:val="clear" w:color="auto" w:fill="DAEEF3" w:themeFill="accent5" w:themeFillTint="33"/>
            <w:vAlign w:val="center"/>
          </w:tcPr>
          <w:p w14:paraId="79612EC8"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Hazardous</w:t>
            </w:r>
            <w:r w:rsidRPr="00AF3A24">
              <w:rPr>
                <w:rFonts w:asciiTheme="minorHAnsi" w:hAnsiTheme="minorHAnsi" w:cstheme="minorHAnsi"/>
                <w:sz w:val="16"/>
                <w:szCs w:val="16"/>
              </w:rPr>
              <w:t xml:space="preserve"> drinking (AUDIT score of ≥8)</w:t>
            </w:r>
          </w:p>
        </w:tc>
        <w:tc>
          <w:tcPr>
            <w:tcW w:w="2067" w:type="dxa"/>
            <w:tcBorders>
              <w:left w:val="nil"/>
              <w:bottom w:val="nil"/>
              <w:right w:val="single" w:sz="4" w:space="0" w:color="auto"/>
            </w:tcBorders>
            <w:shd w:val="clear" w:color="auto" w:fill="DAEEF3" w:themeFill="accent5" w:themeFillTint="33"/>
            <w:vAlign w:val="center"/>
          </w:tcPr>
          <w:p w14:paraId="204CB1EF" w14:textId="77777777" w:rsidR="00274F16" w:rsidRPr="00BE7D34" w:rsidRDefault="00274F16" w:rsidP="00A310A6">
            <w:pPr>
              <w:spacing w:before="0" w:line="240" w:lineRule="auto"/>
              <w:jc w:val="center"/>
              <w:rPr>
                <w:rFonts w:asciiTheme="minorHAnsi" w:hAnsiTheme="minorHAnsi"/>
                <w:bCs/>
                <w:color w:val="000000"/>
                <w:sz w:val="16"/>
                <w:szCs w:val="16"/>
              </w:rPr>
            </w:pPr>
            <w:r w:rsidRPr="00BE7D3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3952DA4B" w14:textId="77777777" w:rsidR="00274F16" w:rsidRPr="00BE7D34" w:rsidRDefault="00274F16" w:rsidP="00A310A6">
            <w:pPr>
              <w:spacing w:before="0" w:line="240" w:lineRule="auto"/>
              <w:jc w:val="center"/>
              <w:rPr>
                <w:rFonts w:asciiTheme="minorHAnsi" w:hAnsiTheme="minorHAnsi"/>
                <w:bCs/>
                <w:color w:val="000000"/>
                <w:sz w:val="16"/>
                <w:szCs w:val="16"/>
              </w:rPr>
            </w:pPr>
            <w:r w:rsidRPr="00BE7D34">
              <w:rPr>
                <w:rFonts w:asciiTheme="minorHAnsi" w:hAnsiTheme="minorHAnsi"/>
                <w:bCs/>
                <w:color w:val="000000"/>
                <w:sz w:val="16"/>
                <w:szCs w:val="16"/>
              </w:rPr>
              <w:t>2.8</w:t>
            </w:r>
            <w:r w:rsidRPr="00BE7D34">
              <w:rPr>
                <w:rFonts w:asciiTheme="minorHAnsi" w:hAnsiTheme="minorHAnsi"/>
                <w:bCs/>
                <w:color w:val="000000"/>
                <w:sz w:val="16"/>
                <w:szCs w:val="16"/>
              </w:rPr>
              <w:br/>
              <w:t>(1.9 - 4.1)</w:t>
            </w:r>
          </w:p>
        </w:tc>
        <w:tc>
          <w:tcPr>
            <w:tcW w:w="2068" w:type="dxa"/>
            <w:tcBorders>
              <w:left w:val="single" w:sz="4" w:space="0" w:color="auto"/>
              <w:right w:val="single" w:sz="4" w:space="0" w:color="auto"/>
            </w:tcBorders>
            <w:shd w:val="clear" w:color="auto" w:fill="DAEEF3" w:themeFill="accent5" w:themeFillTint="33"/>
            <w:vAlign w:val="center"/>
          </w:tcPr>
          <w:p w14:paraId="3A8D3920" w14:textId="77777777" w:rsidR="00274F16" w:rsidRPr="00BE7D34" w:rsidRDefault="00274F16" w:rsidP="00A310A6">
            <w:pPr>
              <w:spacing w:before="0" w:line="240" w:lineRule="auto"/>
              <w:jc w:val="center"/>
              <w:rPr>
                <w:rFonts w:asciiTheme="minorHAnsi" w:hAnsiTheme="minorHAnsi"/>
                <w:bCs/>
                <w:color w:val="000000"/>
                <w:sz w:val="16"/>
                <w:szCs w:val="16"/>
              </w:rPr>
            </w:pPr>
            <w:r w:rsidRPr="00BE7D34">
              <w:rPr>
                <w:rFonts w:asciiTheme="minorHAnsi" w:hAnsiTheme="minorHAnsi"/>
                <w:bCs/>
                <w:color w:val="000000"/>
                <w:sz w:val="16"/>
                <w:szCs w:val="16"/>
              </w:rPr>
              <w:t>4.7</w:t>
            </w:r>
            <w:r w:rsidRPr="00BE7D34">
              <w:rPr>
                <w:rFonts w:asciiTheme="minorHAnsi" w:hAnsiTheme="minorHAnsi"/>
                <w:bCs/>
                <w:color w:val="000000"/>
                <w:sz w:val="16"/>
                <w:szCs w:val="16"/>
              </w:rPr>
              <w:br/>
              <w:t>(2.9 - 7.7)</w:t>
            </w:r>
          </w:p>
        </w:tc>
        <w:tc>
          <w:tcPr>
            <w:tcW w:w="993" w:type="dxa"/>
            <w:tcBorders>
              <w:left w:val="single" w:sz="4" w:space="0" w:color="auto"/>
              <w:right w:val="single" w:sz="4" w:space="0" w:color="auto"/>
            </w:tcBorders>
            <w:shd w:val="clear" w:color="auto" w:fill="DAEEF3" w:themeFill="accent5" w:themeFillTint="33"/>
            <w:vAlign w:val="center"/>
          </w:tcPr>
          <w:p w14:paraId="56D55E36" w14:textId="77777777" w:rsidR="00274F16" w:rsidRPr="00BE7D34" w:rsidRDefault="00274F16" w:rsidP="00A310A6">
            <w:pPr>
              <w:spacing w:before="0" w:line="240" w:lineRule="auto"/>
              <w:jc w:val="center"/>
              <w:rPr>
                <w:rFonts w:asciiTheme="minorHAnsi" w:hAnsiTheme="minorHAnsi"/>
                <w:bCs/>
                <w:color w:val="000000"/>
                <w:sz w:val="16"/>
                <w:szCs w:val="16"/>
              </w:rPr>
            </w:pPr>
            <w:r w:rsidRPr="00BE7D34">
              <w:rPr>
                <w:rFonts w:asciiTheme="minorHAnsi" w:hAnsiTheme="minorHAnsi"/>
                <w:bCs/>
                <w:color w:val="000000"/>
                <w:sz w:val="16"/>
                <w:szCs w:val="16"/>
              </w:rPr>
              <w:t>&lt;0.0001</w:t>
            </w:r>
          </w:p>
        </w:tc>
      </w:tr>
      <w:tr w:rsidR="00274F16" w:rsidRPr="00AF3A24" w14:paraId="45FEE066" w14:textId="77777777" w:rsidTr="00A310A6">
        <w:trPr>
          <w:jc w:val="center"/>
        </w:trPr>
        <w:tc>
          <w:tcPr>
            <w:tcW w:w="4111" w:type="dxa"/>
            <w:tcBorders>
              <w:top w:val="single" w:sz="4" w:space="0" w:color="auto"/>
            </w:tcBorders>
            <w:shd w:val="clear" w:color="auto" w:fill="DAEEF3" w:themeFill="accent5" w:themeFillTint="33"/>
            <w:vAlign w:val="center"/>
          </w:tcPr>
          <w:p w14:paraId="62AC1DD7"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Pr>
                <w:rFonts w:asciiTheme="minorHAnsi" w:hAnsiTheme="minorHAnsi" w:cstheme="minorHAnsi"/>
                <w:sz w:val="16"/>
                <w:szCs w:val="16"/>
              </w:rPr>
              <w:t>Alcohol dependence (AUDIT score of ≥13</w:t>
            </w:r>
            <w:r w:rsidRPr="00AF3A24">
              <w:rPr>
                <w:rFonts w:asciiTheme="minorHAnsi" w:hAnsiTheme="minorHAnsi" w:cstheme="minorHAnsi"/>
                <w:sz w:val="16"/>
                <w:szCs w:val="16"/>
              </w:rPr>
              <w:t>)</w:t>
            </w:r>
          </w:p>
        </w:tc>
        <w:tc>
          <w:tcPr>
            <w:tcW w:w="2067" w:type="dxa"/>
            <w:tcBorders>
              <w:left w:val="nil"/>
              <w:bottom w:val="nil"/>
              <w:right w:val="single" w:sz="4" w:space="0" w:color="auto"/>
            </w:tcBorders>
            <w:shd w:val="clear" w:color="auto" w:fill="DAEEF3" w:themeFill="accent5" w:themeFillTint="33"/>
            <w:vAlign w:val="center"/>
          </w:tcPr>
          <w:p w14:paraId="0001A211" w14:textId="77777777" w:rsidR="00274F16" w:rsidRPr="008731A1" w:rsidRDefault="00274F16" w:rsidP="00A310A6">
            <w:pPr>
              <w:spacing w:before="0" w:line="240" w:lineRule="auto"/>
              <w:jc w:val="center"/>
              <w:rPr>
                <w:rFonts w:asciiTheme="minorHAnsi" w:hAnsiTheme="minorHAnsi"/>
                <w:bCs/>
                <w:color w:val="000000"/>
                <w:sz w:val="16"/>
                <w:szCs w:val="16"/>
              </w:rPr>
            </w:pPr>
            <w:r w:rsidRPr="008731A1">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tcPr>
          <w:p w14:paraId="59B31B4C" w14:textId="77777777" w:rsidR="00274F16" w:rsidRPr="008731A1" w:rsidRDefault="00274F16" w:rsidP="00A310A6">
            <w:pPr>
              <w:spacing w:before="0" w:line="240" w:lineRule="auto"/>
              <w:jc w:val="center"/>
              <w:rPr>
                <w:rFonts w:asciiTheme="minorHAnsi" w:hAnsiTheme="minorHAnsi"/>
                <w:bCs/>
                <w:color w:val="000000"/>
                <w:sz w:val="16"/>
                <w:szCs w:val="16"/>
              </w:rPr>
            </w:pPr>
            <w:r w:rsidRPr="008731A1">
              <w:rPr>
                <w:rFonts w:asciiTheme="minorHAnsi" w:hAnsiTheme="minorHAnsi"/>
                <w:bCs/>
                <w:color w:val="000000"/>
                <w:sz w:val="16"/>
                <w:szCs w:val="16"/>
              </w:rPr>
              <w:t>2.0</w:t>
            </w:r>
            <w:r w:rsidRPr="008731A1">
              <w:rPr>
                <w:rFonts w:asciiTheme="minorHAnsi" w:hAnsiTheme="minorHAnsi"/>
                <w:bCs/>
                <w:color w:val="000000"/>
                <w:sz w:val="16"/>
                <w:szCs w:val="16"/>
              </w:rPr>
              <w:br/>
              <w:t>(1.3 - 3.3)</w:t>
            </w:r>
          </w:p>
        </w:tc>
        <w:tc>
          <w:tcPr>
            <w:tcW w:w="2068" w:type="dxa"/>
            <w:tcBorders>
              <w:left w:val="single" w:sz="4" w:space="0" w:color="auto"/>
              <w:right w:val="single" w:sz="4" w:space="0" w:color="auto"/>
            </w:tcBorders>
            <w:shd w:val="clear" w:color="auto" w:fill="DAEEF3" w:themeFill="accent5" w:themeFillTint="33"/>
          </w:tcPr>
          <w:p w14:paraId="472B2A7F" w14:textId="77777777" w:rsidR="00274F16" w:rsidRPr="008731A1" w:rsidRDefault="00274F16" w:rsidP="00A310A6">
            <w:pPr>
              <w:spacing w:before="0" w:line="240" w:lineRule="auto"/>
              <w:jc w:val="center"/>
              <w:rPr>
                <w:rFonts w:asciiTheme="minorHAnsi" w:hAnsiTheme="minorHAnsi"/>
                <w:bCs/>
                <w:color w:val="000000"/>
                <w:sz w:val="16"/>
                <w:szCs w:val="16"/>
              </w:rPr>
            </w:pPr>
            <w:r w:rsidRPr="008731A1">
              <w:rPr>
                <w:rFonts w:asciiTheme="minorHAnsi" w:hAnsiTheme="minorHAnsi"/>
                <w:bCs/>
                <w:color w:val="000000"/>
                <w:sz w:val="16"/>
                <w:szCs w:val="16"/>
              </w:rPr>
              <w:t>6.3</w:t>
            </w:r>
            <w:r w:rsidRPr="008731A1">
              <w:rPr>
                <w:rFonts w:asciiTheme="minorHAnsi" w:hAnsiTheme="minorHAnsi"/>
                <w:bCs/>
                <w:color w:val="000000"/>
                <w:sz w:val="16"/>
                <w:szCs w:val="16"/>
              </w:rPr>
              <w:br/>
              <w:t>(3.8 - 10.5)</w:t>
            </w:r>
          </w:p>
        </w:tc>
        <w:tc>
          <w:tcPr>
            <w:tcW w:w="993" w:type="dxa"/>
            <w:tcBorders>
              <w:left w:val="single" w:sz="4" w:space="0" w:color="auto"/>
              <w:right w:val="single" w:sz="4" w:space="0" w:color="auto"/>
            </w:tcBorders>
            <w:shd w:val="clear" w:color="auto" w:fill="DAEEF3" w:themeFill="accent5" w:themeFillTint="33"/>
            <w:vAlign w:val="center"/>
          </w:tcPr>
          <w:p w14:paraId="5E0A2373" w14:textId="77777777" w:rsidR="00274F16" w:rsidRPr="008731A1" w:rsidRDefault="00274F16" w:rsidP="00A310A6">
            <w:pPr>
              <w:spacing w:before="0" w:line="240" w:lineRule="auto"/>
              <w:jc w:val="center"/>
              <w:rPr>
                <w:rFonts w:asciiTheme="minorHAnsi" w:hAnsiTheme="minorHAnsi"/>
                <w:bCs/>
                <w:color w:val="000000"/>
                <w:sz w:val="16"/>
                <w:szCs w:val="16"/>
              </w:rPr>
            </w:pPr>
            <w:r w:rsidRPr="008731A1">
              <w:rPr>
                <w:rFonts w:asciiTheme="minorHAnsi" w:hAnsiTheme="minorHAnsi"/>
                <w:bCs/>
                <w:color w:val="000000"/>
                <w:sz w:val="16"/>
                <w:szCs w:val="16"/>
              </w:rPr>
              <w:t>&lt;0.0001</w:t>
            </w:r>
          </w:p>
        </w:tc>
      </w:tr>
      <w:tr w:rsidR="00274F16" w:rsidRPr="00AF3A24" w14:paraId="60730E10" w14:textId="77777777" w:rsidTr="00A310A6">
        <w:trPr>
          <w:trHeight w:val="227"/>
          <w:jc w:val="center"/>
        </w:trPr>
        <w:tc>
          <w:tcPr>
            <w:tcW w:w="11307" w:type="dxa"/>
            <w:gridSpan w:val="5"/>
            <w:tcBorders>
              <w:top w:val="single" w:sz="4" w:space="0" w:color="auto"/>
              <w:right w:val="single" w:sz="4" w:space="0" w:color="auto"/>
            </w:tcBorders>
            <w:shd w:val="clear" w:color="auto" w:fill="DAEEF3" w:themeFill="accent5" w:themeFillTint="33"/>
            <w:vAlign w:val="center"/>
          </w:tcPr>
          <w:p w14:paraId="5DF378ED"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TOBACCO / SMOKING:</w:t>
            </w:r>
          </w:p>
        </w:tc>
      </w:tr>
      <w:tr w:rsidR="00274F16" w:rsidRPr="00AF3A24" w14:paraId="54A9BE6B" w14:textId="77777777" w:rsidTr="00A310A6">
        <w:trPr>
          <w:jc w:val="center"/>
        </w:trPr>
        <w:tc>
          <w:tcPr>
            <w:tcW w:w="4111" w:type="dxa"/>
            <w:tcBorders>
              <w:top w:val="single" w:sz="4" w:space="0" w:color="auto"/>
            </w:tcBorders>
            <w:shd w:val="clear" w:color="auto" w:fill="DAEEF3" w:themeFill="accent5" w:themeFillTint="33"/>
            <w:vAlign w:val="center"/>
          </w:tcPr>
          <w:p w14:paraId="38EF6038" w14:textId="77777777" w:rsidR="00274F16" w:rsidRPr="00AF3A24" w:rsidRDefault="00274F16"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Current smoker </w:t>
            </w:r>
            <w:r w:rsidRPr="00AF3A24">
              <w:rPr>
                <w:rFonts w:asciiTheme="minorHAnsi" w:hAnsiTheme="minorHAnsi" w:cstheme="minorHAnsi"/>
                <w:sz w:val="16"/>
                <w:szCs w:val="16"/>
                <w:vertAlign w:val="superscript"/>
              </w:rPr>
              <w:t>5</w:t>
            </w:r>
          </w:p>
        </w:tc>
        <w:tc>
          <w:tcPr>
            <w:tcW w:w="2067" w:type="dxa"/>
            <w:tcBorders>
              <w:left w:val="nil"/>
              <w:bottom w:val="nil"/>
              <w:right w:val="single" w:sz="4" w:space="0" w:color="auto"/>
            </w:tcBorders>
            <w:shd w:val="clear" w:color="auto" w:fill="DAEEF3" w:themeFill="accent5" w:themeFillTint="33"/>
            <w:vAlign w:val="center"/>
          </w:tcPr>
          <w:p w14:paraId="524B071B"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tcPr>
          <w:p w14:paraId="235C6A95"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(2.1 - 4.2)</w:t>
            </w:r>
          </w:p>
        </w:tc>
        <w:tc>
          <w:tcPr>
            <w:tcW w:w="2068" w:type="dxa"/>
            <w:tcBorders>
              <w:left w:val="single" w:sz="4" w:space="0" w:color="auto"/>
              <w:right w:val="single" w:sz="4" w:space="0" w:color="auto"/>
            </w:tcBorders>
            <w:shd w:val="clear" w:color="auto" w:fill="DAEEF3" w:themeFill="accent5" w:themeFillTint="33"/>
          </w:tcPr>
          <w:p w14:paraId="2B718C74"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r w:rsidRPr="00AF3A24">
              <w:rPr>
                <w:rFonts w:asciiTheme="minorHAnsi" w:hAnsiTheme="minorHAnsi"/>
                <w:bCs/>
                <w:color w:val="000000"/>
                <w:sz w:val="16"/>
                <w:szCs w:val="16"/>
              </w:rPr>
              <w:br/>
              <w:t>(2.7 - 6.5)</w:t>
            </w:r>
          </w:p>
        </w:tc>
        <w:tc>
          <w:tcPr>
            <w:tcW w:w="993" w:type="dxa"/>
            <w:tcBorders>
              <w:left w:val="single" w:sz="4" w:space="0" w:color="auto"/>
              <w:right w:val="single" w:sz="4" w:space="0" w:color="auto"/>
            </w:tcBorders>
            <w:shd w:val="clear" w:color="auto" w:fill="DAEEF3" w:themeFill="accent5" w:themeFillTint="33"/>
            <w:vAlign w:val="center"/>
          </w:tcPr>
          <w:p w14:paraId="3E260C11"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w:t>
            </w:r>
            <w:r>
              <w:rPr>
                <w:rFonts w:asciiTheme="minorHAnsi" w:hAnsiTheme="minorHAnsi"/>
                <w:bCs/>
                <w:color w:val="000000"/>
                <w:sz w:val="16"/>
                <w:szCs w:val="16"/>
              </w:rPr>
              <w:t>0</w:t>
            </w:r>
            <w:r w:rsidRPr="00AF3A24">
              <w:rPr>
                <w:rFonts w:asciiTheme="minorHAnsi" w:hAnsiTheme="minorHAnsi"/>
                <w:bCs/>
                <w:color w:val="000000"/>
                <w:sz w:val="16"/>
                <w:szCs w:val="16"/>
              </w:rPr>
              <w:t>.0001</w:t>
            </w:r>
          </w:p>
        </w:tc>
      </w:tr>
      <w:tr w:rsidR="00274F16" w:rsidRPr="00AF3A24" w14:paraId="4B22FB43" w14:textId="77777777" w:rsidTr="00A310A6">
        <w:trPr>
          <w:trHeight w:val="227"/>
          <w:jc w:val="center"/>
        </w:trPr>
        <w:tc>
          <w:tcPr>
            <w:tcW w:w="11307" w:type="dxa"/>
            <w:gridSpan w:val="5"/>
            <w:tcBorders>
              <w:top w:val="single" w:sz="4" w:space="0" w:color="auto"/>
              <w:right w:val="single" w:sz="4" w:space="0" w:color="auto"/>
            </w:tcBorders>
            <w:shd w:val="clear" w:color="auto" w:fill="DAEEF3" w:themeFill="accent5" w:themeFillTint="33"/>
            <w:vAlign w:val="center"/>
          </w:tcPr>
          <w:p w14:paraId="0EFAEB56" w14:textId="77777777" w:rsidR="00274F16" w:rsidRPr="00AF3A24" w:rsidRDefault="00274F16"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DRUG</w:t>
            </w:r>
            <w:r>
              <w:rPr>
                <w:rFonts w:asciiTheme="minorHAnsi" w:hAnsiTheme="minorHAnsi" w:cstheme="minorHAnsi"/>
                <w:b/>
                <w:sz w:val="16"/>
                <w:szCs w:val="16"/>
              </w:rPr>
              <w:t xml:space="preserve"> U</w:t>
            </w:r>
            <w:r w:rsidRPr="00AF3A24">
              <w:rPr>
                <w:rFonts w:asciiTheme="minorHAnsi" w:hAnsiTheme="minorHAnsi" w:cstheme="minorHAnsi"/>
                <w:b/>
                <w:sz w:val="16"/>
                <w:szCs w:val="16"/>
              </w:rPr>
              <w:t>S</w:t>
            </w:r>
            <w:r>
              <w:rPr>
                <w:rFonts w:asciiTheme="minorHAnsi" w:hAnsiTheme="minorHAnsi" w:cstheme="minorHAnsi"/>
                <w:b/>
                <w:sz w:val="16"/>
                <w:szCs w:val="16"/>
              </w:rPr>
              <w:t>E</w:t>
            </w:r>
            <w:r w:rsidRPr="00AF3A24">
              <w:rPr>
                <w:rFonts w:asciiTheme="minorHAnsi" w:hAnsiTheme="minorHAnsi" w:cstheme="minorHAnsi"/>
                <w:b/>
                <w:sz w:val="16"/>
                <w:szCs w:val="16"/>
              </w:rPr>
              <w:t>:</w:t>
            </w:r>
          </w:p>
        </w:tc>
      </w:tr>
      <w:tr w:rsidR="00274F16" w:rsidRPr="00AF3A24" w14:paraId="2306E66D"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180E1BF3" w14:textId="77777777" w:rsidR="00274F16" w:rsidRPr="00AF3A24" w:rsidRDefault="00274F16" w:rsidP="00E9659C">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Have used drugs in the past 12 months </w:t>
            </w:r>
            <w:r w:rsidRPr="00AF3A24">
              <w:rPr>
                <w:rFonts w:asciiTheme="minorHAnsi" w:hAnsiTheme="minorHAnsi" w:cstheme="minorHAnsi"/>
                <w:sz w:val="16"/>
                <w:szCs w:val="16"/>
                <w:vertAlign w:val="superscript"/>
              </w:rPr>
              <w:t>6</w:t>
            </w:r>
          </w:p>
        </w:tc>
        <w:tc>
          <w:tcPr>
            <w:tcW w:w="2067" w:type="dxa"/>
            <w:tcBorders>
              <w:left w:val="nil"/>
              <w:bottom w:val="single" w:sz="4" w:space="0" w:color="auto"/>
              <w:right w:val="single" w:sz="4" w:space="0" w:color="auto"/>
            </w:tcBorders>
            <w:shd w:val="clear" w:color="auto" w:fill="DAEEF3" w:themeFill="accent5" w:themeFillTint="33"/>
            <w:vAlign w:val="center"/>
          </w:tcPr>
          <w:p w14:paraId="7052EE40"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tcPr>
          <w:p w14:paraId="388AF733"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(1.8 - 4.2)</w:t>
            </w:r>
          </w:p>
        </w:tc>
        <w:tc>
          <w:tcPr>
            <w:tcW w:w="2068" w:type="dxa"/>
            <w:tcBorders>
              <w:left w:val="single" w:sz="4" w:space="0" w:color="auto"/>
              <w:bottom w:val="single" w:sz="4" w:space="0" w:color="auto"/>
              <w:right w:val="single" w:sz="4" w:space="0" w:color="auto"/>
            </w:tcBorders>
            <w:shd w:val="clear" w:color="auto" w:fill="DAEEF3" w:themeFill="accent5" w:themeFillTint="33"/>
          </w:tcPr>
          <w:p w14:paraId="463A335F"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w:t>
            </w:r>
            <w:r w:rsidRPr="00AF3A24">
              <w:rPr>
                <w:rFonts w:asciiTheme="minorHAnsi" w:hAnsiTheme="minorHAnsi"/>
                <w:bCs/>
                <w:color w:val="000000"/>
                <w:sz w:val="16"/>
                <w:szCs w:val="16"/>
              </w:rPr>
              <w:br/>
              <w:t>(2.2 - 6.4)</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41D1A72B"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w:t>
            </w:r>
            <w:r>
              <w:rPr>
                <w:rFonts w:asciiTheme="minorHAnsi" w:hAnsiTheme="minorHAnsi"/>
                <w:bCs/>
                <w:color w:val="000000"/>
                <w:sz w:val="16"/>
                <w:szCs w:val="16"/>
              </w:rPr>
              <w:t>0</w:t>
            </w:r>
            <w:r w:rsidRPr="00AF3A24">
              <w:rPr>
                <w:rFonts w:asciiTheme="minorHAnsi" w:hAnsiTheme="minorHAnsi"/>
                <w:bCs/>
                <w:color w:val="000000"/>
                <w:sz w:val="16"/>
                <w:szCs w:val="16"/>
              </w:rPr>
              <w:t>.0001</w:t>
            </w:r>
          </w:p>
        </w:tc>
      </w:tr>
      <w:tr w:rsidR="00274F16" w:rsidRPr="00AF3A24" w14:paraId="4C432C7F"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5AC2BA37" w14:textId="77777777" w:rsidR="00274F16" w:rsidRPr="00AF3A24" w:rsidRDefault="00274F16" w:rsidP="00A310A6">
            <w:pPr>
              <w:pStyle w:val="ListParagraph"/>
              <w:numPr>
                <w:ilvl w:val="0"/>
                <w:numId w:val="9"/>
              </w:numPr>
              <w:spacing w:line="240" w:lineRule="auto"/>
              <w:ind w:left="459"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Cannabis (marijuana, hash, hash oil) </w:t>
            </w:r>
          </w:p>
        </w:tc>
        <w:tc>
          <w:tcPr>
            <w:tcW w:w="2067" w:type="dxa"/>
            <w:tcBorders>
              <w:left w:val="nil"/>
              <w:right w:val="single" w:sz="4" w:space="0" w:color="auto"/>
            </w:tcBorders>
            <w:shd w:val="clear" w:color="auto" w:fill="DAEEF3" w:themeFill="accent5" w:themeFillTint="33"/>
            <w:vAlign w:val="center"/>
          </w:tcPr>
          <w:p w14:paraId="7B6EA8EB"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tcPr>
          <w:p w14:paraId="5F533083"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(1.7 - 4.1)</w:t>
            </w:r>
          </w:p>
        </w:tc>
        <w:tc>
          <w:tcPr>
            <w:tcW w:w="2068" w:type="dxa"/>
            <w:tcBorders>
              <w:left w:val="single" w:sz="4" w:space="0" w:color="auto"/>
              <w:right w:val="single" w:sz="4" w:space="0" w:color="auto"/>
            </w:tcBorders>
            <w:shd w:val="clear" w:color="auto" w:fill="DAEEF3" w:themeFill="accent5" w:themeFillTint="33"/>
          </w:tcPr>
          <w:p w14:paraId="1578F639"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(1.5 - 4.8)</w:t>
            </w:r>
          </w:p>
        </w:tc>
        <w:tc>
          <w:tcPr>
            <w:tcW w:w="993" w:type="dxa"/>
            <w:tcBorders>
              <w:left w:val="single" w:sz="4" w:space="0" w:color="auto"/>
              <w:right w:val="single" w:sz="4" w:space="0" w:color="auto"/>
            </w:tcBorders>
            <w:shd w:val="clear" w:color="auto" w:fill="DAEEF3" w:themeFill="accent5" w:themeFillTint="33"/>
            <w:vAlign w:val="center"/>
          </w:tcPr>
          <w:p w14:paraId="5C8A9A02"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w:t>
            </w:r>
            <w:r>
              <w:rPr>
                <w:rFonts w:asciiTheme="minorHAnsi" w:hAnsiTheme="minorHAnsi"/>
                <w:bCs/>
                <w:color w:val="000000"/>
                <w:sz w:val="16"/>
                <w:szCs w:val="16"/>
              </w:rPr>
              <w:t>0</w:t>
            </w:r>
            <w:r w:rsidRPr="00AF3A24">
              <w:rPr>
                <w:rFonts w:asciiTheme="minorHAnsi" w:hAnsiTheme="minorHAnsi"/>
                <w:bCs/>
                <w:color w:val="000000"/>
                <w:sz w:val="16"/>
                <w:szCs w:val="16"/>
              </w:rPr>
              <w:t>.0001</w:t>
            </w:r>
          </w:p>
        </w:tc>
      </w:tr>
      <w:tr w:rsidR="00274F16" w:rsidRPr="00AF3A24" w14:paraId="31C7BB46"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480EE1F2" w14:textId="77777777" w:rsidR="00274F16" w:rsidRPr="00AF3A24" w:rsidRDefault="00274F16" w:rsidP="00A310A6">
            <w:pPr>
              <w:pStyle w:val="ListParagraph"/>
              <w:numPr>
                <w:ilvl w:val="0"/>
                <w:numId w:val="9"/>
              </w:numPr>
              <w:spacing w:line="240" w:lineRule="auto"/>
              <w:ind w:left="459" w:hanging="142"/>
              <w:jc w:val="left"/>
              <w:rPr>
                <w:rFonts w:asciiTheme="minorHAnsi" w:hAnsiTheme="minorHAnsi" w:cstheme="minorHAnsi"/>
                <w:sz w:val="16"/>
                <w:szCs w:val="16"/>
              </w:rPr>
            </w:pPr>
            <w:r w:rsidRPr="00E13E9B">
              <w:rPr>
                <w:rFonts w:asciiTheme="minorHAnsi" w:hAnsiTheme="minorHAnsi" w:cstheme="minorHAnsi"/>
                <w:sz w:val="16"/>
                <w:szCs w:val="16"/>
              </w:rPr>
              <w:t xml:space="preserve">Other </w:t>
            </w:r>
            <w:r w:rsidRPr="00E13E9B">
              <w:rPr>
                <w:rFonts w:asciiTheme="minorHAnsi" w:hAnsiTheme="minorHAnsi" w:cstheme="minorHAnsi"/>
                <w:sz w:val="16"/>
                <w:szCs w:val="16"/>
                <w:vertAlign w:val="superscript"/>
              </w:rPr>
              <w:t>7</w:t>
            </w:r>
          </w:p>
        </w:tc>
        <w:tc>
          <w:tcPr>
            <w:tcW w:w="2067" w:type="dxa"/>
            <w:tcBorders>
              <w:left w:val="nil"/>
              <w:bottom w:val="single" w:sz="4" w:space="0" w:color="auto"/>
              <w:right w:val="single" w:sz="4" w:space="0" w:color="auto"/>
            </w:tcBorders>
            <w:shd w:val="clear" w:color="auto" w:fill="DAEEF3" w:themeFill="accent5" w:themeFillTint="33"/>
            <w:vAlign w:val="center"/>
          </w:tcPr>
          <w:p w14:paraId="7DFEEAA2" w14:textId="77777777" w:rsidR="00274F16" w:rsidRPr="00AF3A24" w:rsidRDefault="00274F16"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tcPr>
          <w:p w14:paraId="377C545E" w14:textId="77777777" w:rsidR="00274F16" w:rsidRPr="00E13E9B" w:rsidRDefault="00274F16" w:rsidP="00A310A6">
            <w:pPr>
              <w:spacing w:before="0" w:line="240" w:lineRule="auto"/>
              <w:jc w:val="center"/>
              <w:rPr>
                <w:rFonts w:asciiTheme="minorHAnsi" w:hAnsiTheme="minorHAnsi"/>
                <w:bCs/>
                <w:color w:val="000000"/>
                <w:sz w:val="16"/>
                <w:szCs w:val="16"/>
              </w:rPr>
            </w:pPr>
            <w:r w:rsidRPr="00E13E9B">
              <w:rPr>
                <w:rFonts w:asciiTheme="minorHAnsi" w:hAnsiTheme="minorHAnsi"/>
                <w:bCs/>
                <w:color w:val="000000"/>
                <w:sz w:val="16"/>
                <w:szCs w:val="16"/>
              </w:rPr>
              <w:t>2.7</w:t>
            </w:r>
            <w:r w:rsidRPr="00E13E9B">
              <w:rPr>
                <w:rFonts w:asciiTheme="minorHAnsi" w:hAnsiTheme="minorHAnsi"/>
                <w:bCs/>
                <w:color w:val="000000"/>
                <w:sz w:val="16"/>
                <w:szCs w:val="16"/>
              </w:rPr>
              <w:br/>
              <w:t>(1.5 - 4.8)</w:t>
            </w:r>
          </w:p>
        </w:tc>
        <w:tc>
          <w:tcPr>
            <w:tcW w:w="2068" w:type="dxa"/>
            <w:tcBorders>
              <w:left w:val="single" w:sz="4" w:space="0" w:color="auto"/>
              <w:bottom w:val="single" w:sz="4" w:space="0" w:color="auto"/>
              <w:right w:val="single" w:sz="4" w:space="0" w:color="auto"/>
            </w:tcBorders>
            <w:shd w:val="clear" w:color="auto" w:fill="DAEEF3" w:themeFill="accent5" w:themeFillTint="33"/>
          </w:tcPr>
          <w:p w14:paraId="37BD7C61" w14:textId="77777777" w:rsidR="00274F16" w:rsidRPr="00E13E9B" w:rsidRDefault="00274F16" w:rsidP="00A310A6">
            <w:pPr>
              <w:spacing w:before="0" w:line="240" w:lineRule="auto"/>
              <w:jc w:val="center"/>
              <w:rPr>
                <w:rFonts w:asciiTheme="minorHAnsi" w:hAnsiTheme="minorHAnsi"/>
                <w:bCs/>
                <w:color w:val="000000"/>
                <w:sz w:val="16"/>
                <w:szCs w:val="16"/>
              </w:rPr>
            </w:pPr>
            <w:r w:rsidRPr="00E13E9B">
              <w:rPr>
                <w:rFonts w:asciiTheme="minorHAnsi" w:hAnsiTheme="minorHAnsi"/>
                <w:bCs/>
                <w:color w:val="000000"/>
                <w:sz w:val="16"/>
                <w:szCs w:val="16"/>
              </w:rPr>
              <w:t>6.9</w:t>
            </w:r>
            <w:r w:rsidRPr="00E13E9B">
              <w:rPr>
                <w:rFonts w:asciiTheme="minorHAnsi" w:hAnsiTheme="minorHAnsi"/>
                <w:bCs/>
                <w:color w:val="000000"/>
                <w:sz w:val="16"/>
                <w:szCs w:val="16"/>
              </w:rPr>
              <w:br/>
              <w:t>(3.5 - 13.7)</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7B597418" w14:textId="77777777" w:rsidR="00274F16" w:rsidRPr="00AF3A24" w:rsidRDefault="00274F16"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w:t>
            </w:r>
            <w:r>
              <w:rPr>
                <w:rFonts w:asciiTheme="minorHAnsi" w:hAnsiTheme="minorHAnsi"/>
                <w:bCs/>
                <w:color w:val="000000"/>
                <w:sz w:val="16"/>
                <w:szCs w:val="16"/>
              </w:rPr>
              <w:t>0</w:t>
            </w:r>
            <w:r w:rsidRPr="00AF3A24">
              <w:rPr>
                <w:rFonts w:asciiTheme="minorHAnsi" w:hAnsiTheme="minorHAnsi"/>
                <w:bCs/>
                <w:color w:val="000000"/>
                <w:sz w:val="16"/>
                <w:szCs w:val="16"/>
              </w:rPr>
              <w:t>.0001</w:t>
            </w:r>
          </w:p>
        </w:tc>
      </w:tr>
    </w:tbl>
    <w:p w14:paraId="56683E53" w14:textId="77777777" w:rsidR="00274F16" w:rsidRPr="00AF3A24" w:rsidRDefault="00274F16" w:rsidP="00274F16">
      <w:pPr>
        <w:spacing w:before="0" w:line="240" w:lineRule="auto"/>
        <w:ind w:left="1418" w:hanging="284"/>
        <w:rPr>
          <w:rFonts w:asciiTheme="minorHAnsi" w:hAnsiTheme="minorHAnsi" w:cstheme="minorHAnsi"/>
          <w:sz w:val="16"/>
        </w:rPr>
      </w:pPr>
      <w:r w:rsidRPr="00AF3A24">
        <w:rPr>
          <w:rFonts w:asciiTheme="minorHAnsi" w:hAnsiTheme="minorHAnsi" w:cstheme="minorHAnsi"/>
          <w:sz w:val="16"/>
        </w:rPr>
        <w:t>Notes:</w:t>
      </w:r>
    </w:p>
    <w:p w14:paraId="782BE472"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46E7D1A4"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rPr>
        <w:t xml:space="preserve">‘People with no gambling problems’ have been defined as non-gamblers and recreational gamblers. </w:t>
      </w:r>
    </w:p>
    <w:p w14:paraId="46624D88"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444522C9"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rPr>
        <w:t>Logistic regression analyses have controlled for gender, age-group, prioritised ethnic group, neighbourhood deprivation and geography (urban/rural).</w:t>
      </w:r>
    </w:p>
    <w:p w14:paraId="2B5464B1"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rPr>
        <w:t xml:space="preserve">Identifies as a current smoker - as defined by the WHO: smoked at least 100 cigarettes in life time and smoking daily, weekly or monthly. </w:t>
      </w:r>
    </w:p>
    <w:p w14:paraId="5FA7B4D0" w14:textId="77777777" w:rsidR="00274F16" w:rsidRPr="0042301B" w:rsidRDefault="00274F16" w:rsidP="006A0B0E">
      <w:pPr>
        <w:pStyle w:val="ListParagraph"/>
        <w:numPr>
          <w:ilvl w:val="0"/>
          <w:numId w:val="27"/>
        </w:numPr>
        <w:spacing w:line="240" w:lineRule="auto"/>
        <w:ind w:left="1418" w:hanging="284"/>
        <w:rPr>
          <w:rFonts w:asciiTheme="minorHAnsi" w:hAnsiTheme="minorHAnsi" w:cstheme="minorHAnsi"/>
          <w:sz w:val="16"/>
        </w:rPr>
      </w:pPr>
      <w:r w:rsidRPr="00AF3A24">
        <w:rPr>
          <w:rFonts w:asciiTheme="minorHAnsi" w:hAnsiTheme="minorHAnsi" w:cstheme="minorHAnsi"/>
          <w:sz w:val="16"/>
          <w:szCs w:val="16"/>
        </w:rPr>
        <w:t>Have used drugs (apart from alcohol and tobacco) for recreational purposes or to get high in the past 12 months. This item allowed for multiple responses.</w:t>
      </w:r>
    </w:p>
    <w:p w14:paraId="3FD07996" w14:textId="77777777" w:rsidR="00274F16" w:rsidRPr="00AF3A24" w:rsidRDefault="00274F16" w:rsidP="006A0B0E">
      <w:pPr>
        <w:pStyle w:val="ListParagraph"/>
        <w:numPr>
          <w:ilvl w:val="0"/>
          <w:numId w:val="27"/>
        </w:numPr>
        <w:spacing w:line="240" w:lineRule="auto"/>
        <w:ind w:left="1418" w:hanging="284"/>
        <w:rPr>
          <w:rFonts w:asciiTheme="minorHAnsi" w:hAnsiTheme="minorHAnsi" w:cstheme="minorHAnsi"/>
          <w:sz w:val="16"/>
        </w:rPr>
      </w:pPr>
      <w:r>
        <w:rPr>
          <w:rFonts w:asciiTheme="minorHAnsi" w:hAnsiTheme="minorHAnsi" w:cstheme="minorHAnsi"/>
          <w:sz w:val="16"/>
        </w:rPr>
        <w:t>‘Other’ includes:</w:t>
      </w:r>
      <w:r>
        <w:rPr>
          <w:rFonts w:asciiTheme="minorHAnsi" w:hAnsiTheme="minorHAnsi" w:cstheme="minorHAnsi"/>
          <w:sz w:val="16"/>
          <w:szCs w:val="16"/>
        </w:rPr>
        <w:t xml:space="preserve"> e</w:t>
      </w:r>
      <w:r w:rsidRPr="00AF3A24">
        <w:rPr>
          <w:rFonts w:asciiTheme="minorHAnsi" w:hAnsiTheme="minorHAnsi" w:cstheme="minorHAnsi"/>
          <w:sz w:val="16"/>
          <w:szCs w:val="16"/>
        </w:rPr>
        <w:t>cstasy</w:t>
      </w:r>
      <w:r>
        <w:rPr>
          <w:rFonts w:asciiTheme="minorHAnsi" w:hAnsiTheme="minorHAnsi" w:cstheme="minorHAnsi"/>
          <w:sz w:val="16"/>
          <w:szCs w:val="16"/>
        </w:rPr>
        <w:t>, a</w:t>
      </w:r>
      <w:r w:rsidRPr="00AF3A24">
        <w:rPr>
          <w:rFonts w:asciiTheme="minorHAnsi" w:hAnsiTheme="minorHAnsi" w:cstheme="minorHAnsi"/>
          <w:sz w:val="16"/>
          <w:szCs w:val="16"/>
        </w:rPr>
        <w:t>mphetamines</w:t>
      </w:r>
      <w:r>
        <w:rPr>
          <w:rFonts w:asciiTheme="minorHAnsi" w:hAnsiTheme="minorHAnsi" w:cstheme="minorHAnsi"/>
          <w:sz w:val="16"/>
          <w:szCs w:val="16"/>
        </w:rPr>
        <w:t>, l</w:t>
      </w:r>
      <w:r w:rsidRPr="00AF3A24">
        <w:rPr>
          <w:rFonts w:asciiTheme="minorHAnsi" w:hAnsiTheme="minorHAnsi" w:cstheme="minorHAnsi"/>
          <w:sz w:val="16"/>
          <w:szCs w:val="16"/>
        </w:rPr>
        <w:t>egal party pills</w:t>
      </w:r>
      <w:r>
        <w:rPr>
          <w:rFonts w:asciiTheme="minorHAnsi" w:hAnsiTheme="minorHAnsi" w:cstheme="minorHAnsi"/>
          <w:sz w:val="16"/>
          <w:szCs w:val="16"/>
        </w:rPr>
        <w:t>, s</w:t>
      </w:r>
      <w:r w:rsidRPr="00AF3A24">
        <w:rPr>
          <w:rFonts w:asciiTheme="minorHAnsi" w:hAnsiTheme="minorHAnsi" w:cstheme="minorHAnsi"/>
          <w:sz w:val="16"/>
          <w:szCs w:val="16"/>
        </w:rPr>
        <w:t>timulants</w:t>
      </w:r>
      <w:r>
        <w:rPr>
          <w:rFonts w:asciiTheme="minorHAnsi" w:hAnsiTheme="minorHAnsi" w:cstheme="minorHAnsi"/>
          <w:sz w:val="16"/>
          <w:szCs w:val="16"/>
        </w:rPr>
        <w:t>, p</w:t>
      </w:r>
      <w:r w:rsidRPr="00AF3A24">
        <w:rPr>
          <w:rFonts w:asciiTheme="minorHAnsi" w:hAnsiTheme="minorHAnsi" w:cstheme="minorHAnsi"/>
          <w:sz w:val="16"/>
          <w:szCs w:val="16"/>
        </w:rPr>
        <w:t>ainkillers</w:t>
      </w:r>
      <w:r>
        <w:rPr>
          <w:rFonts w:asciiTheme="minorHAnsi" w:hAnsiTheme="minorHAnsi" w:cstheme="minorHAnsi"/>
          <w:sz w:val="16"/>
          <w:szCs w:val="16"/>
        </w:rPr>
        <w:t>, b</w:t>
      </w:r>
      <w:r w:rsidRPr="00AF3A24">
        <w:rPr>
          <w:rFonts w:asciiTheme="minorHAnsi" w:hAnsiTheme="minorHAnsi" w:cstheme="minorHAnsi"/>
          <w:sz w:val="16"/>
          <w:szCs w:val="16"/>
        </w:rPr>
        <w:t>enzodiazepines</w:t>
      </w:r>
      <w:r>
        <w:rPr>
          <w:rFonts w:asciiTheme="minorHAnsi" w:hAnsiTheme="minorHAnsi" w:cstheme="minorHAnsi"/>
          <w:sz w:val="16"/>
          <w:szCs w:val="16"/>
        </w:rPr>
        <w:t>, h</w:t>
      </w:r>
      <w:r w:rsidRPr="00AF3A24">
        <w:rPr>
          <w:rFonts w:asciiTheme="minorHAnsi" w:hAnsiTheme="minorHAnsi" w:cstheme="minorHAnsi"/>
          <w:sz w:val="16"/>
          <w:szCs w:val="16"/>
        </w:rPr>
        <w:t>allucinogens</w:t>
      </w:r>
      <w:r>
        <w:rPr>
          <w:rFonts w:asciiTheme="minorHAnsi" w:hAnsiTheme="minorHAnsi" w:cstheme="minorHAnsi"/>
          <w:sz w:val="16"/>
          <w:szCs w:val="16"/>
        </w:rPr>
        <w:t>, c</w:t>
      </w:r>
      <w:r w:rsidRPr="00AF3A24">
        <w:rPr>
          <w:rFonts w:asciiTheme="minorHAnsi" w:hAnsiTheme="minorHAnsi" w:cstheme="minorHAnsi"/>
          <w:sz w:val="16"/>
          <w:szCs w:val="16"/>
        </w:rPr>
        <w:t>ocaine</w:t>
      </w:r>
      <w:r>
        <w:rPr>
          <w:rFonts w:asciiTheme="minorHAnsi" w:hAnsiTheme="minorHAnsi" w:cstheme="minorHAnsi"/>
          <w:sz w:val="16"/>
          <w:szCs w:val="16"/>
        </w:rPr>
        <w:t>, h</w:t>
      </w:r>
      <w:r w:rsidRPr="00AF3A24">
        <w:rPr>
          <w:rFonts w:asciiTheme="minorHAnsi" w:hAnsiTheme="minorHAnsi" w:cstheme="minorHAnsi"/>
          <w:sz w:val="16"/>
          <w:szCs w:val="16"/>
        </w:rPr>
        <w:t>eroin</w:t>
      </w:r>
      <w:r>
        <w:rPr>
          <w:rFonts w:asciiTheme="minorHAnsi" w:hAnsiTheme="minorHAnsi" w:cstheme="minorHAnsi"/>
          <w:sz w:val="16"/>
          <w:szCs w:val="16"/>
        </w:rPr>
        <w:t>, and o</w:t>
      </w:r>
      <w:r w:rsidRPr="00AF3A24">
        <w:rPr>
          <w:rFonts w:asciiTheme="minorHAnsi" w:hAnsiTheme="minorHAnsi" w:cstheme="minorHAnsi"/>
          <w:sz w:val="16"/>
          <w:szCs w:val="16"/>
        </w:rPr>
        <w:t>ther</w:t>
      </w:r>
      <w:r>
        <w:rPr>
          <w:rFonts w:asciiTheme="minorHAnsi" w:hAnsiTheme="minorHAnsi" w:cstheme="minorHAnsi"/>
          <w:sz w:val="16"/>
          <w:szCs w:val="16"/>
        </w:rPr>
        <w:t xml:space="preserve">. </w:t>
      </w:r>
    </w:p>
    <w:p w14:paraId="3BD54A28" w14:textId="77777777" w:rsidR="00274F16" w:rsidRPr="00AF3A24" w:rsidRDefault="00274F16" w:rsidP="00274F16">
      <w:pPr>
        <w:pStyle w:val="ListParagraph"/>
        <w:spacing w:line="240" w:lineRule="auto"/>
        <w:ind w:left="1353"/>
        <w:rPr>
          <w:rFonts w:asciiTheme="minorHAnsi" w:hAnsiTheme="minorHAnsi" w:cstheme="minorHAnsi"/>
          <w:sz w:val="16"/>
          <w:highlight w:val="cyan"/>
        </w:rPr>
      </w:pPr>
    </w:p>
    <w:p w14:paraId="008AB222" w14:textId="77777777" w:rsidR="00274F16" w:rsidRPr="00274F16" w:rsidRDefault="00274F16" w:rsidP="00274F16"/>
    <w:p w14:paraId="63E06E68" w14:textId="77777777" w:rsidR="00274F16" w:rsidRDefault="00274F16" w:rsidP="00274F16"/>
    <w:p w14:paraId="33F8847E" w14:textId="77777777" w:rsidR="00D16433" w:rsidRDefault="00D16433">
      <w:pPr>
        <w:spacing w:before="0" w:after="200" w:line="276" w:lineRule="auto"/>
        <w:jc w:val="left"/>
        <w:rPr>
          <w:rFonts w:asciiTheme="minorHAnsi" w:hAnsiTheme="minorHAnsi" w:cstheme="minorHAnsi"/>
          <w:b/>
          <w:bCs/>
          <w:iCs/>
          <w:color w:val="1F497D"/>
        </w:rPr>
      </w:pPr>
      <w:r>
        <w:rPr>
          <w:rFonts w:asciiTheme="minorHAnsi" w:hAnsiTheme="minorHAnsi"/>
        </w:rPr>
        <w:br w:type="page"/>
      </w:r>
    </w:p>
    <w:p w14:paraId="5FFFAC9D" w14:textId="77777777" w:rsidR="00D16433" w:rsidRPr="00FB0B7B" w:rsidRDefault="00D16433" w:rsidP="008F7A58">
      <w:pPr>
        <w:pStyle w:val="FionasAppendixtitles"/>
        <w:ind w:left="1134"/>
      </w:pPr>
      <w:bookmarkStart w:id="314" w:name="_Ref397607784"/>
      <w:bookmarkStart w:id="315" w:name="_Toc403833220"/>
      <w:r w:rsidRPr="00FB0B7B">
        <w:lastRenderedPageBreak/>
        <w:t>Health and gambling</w:t>
      </w:r>
      <w:bookmarkEnd w:id="314"/>
      <w:bookmarkEnd w:id="315"/>
    </w:p>
    <w:p w14:paraId="6E8DF0E1" w14:textId="511C44A4" w:rsidR="006657F0" w:rsidRPr="00AF3A24" w:rsidRDefault="006657F0" w:rsidP="006657F0">
      <w:pPr>
        <w:pStyle w:val="Caption"/>
        <w:keepNext/>
        <w:spacing w:line="276" w:lineRule="auto"/>
        <w:ind w:left="993" w:hanging="993"/>
        <w:rPr>
          <w:rFonts w:asciiTheme="minorHAnsi" w:hAnsiTheme="minorHAnsi" w:cstheme="minorHAnsi"/>
          <w:i/>
          <w:vertAlign w:val="superscript"/>
        </w:rPr>
      </w:pPr>
      <w:bookmarkStart w:id="316" w:name="_Ref397607754"/>
      <w:bookmarkStart w:id="317" w:name="_Toc425426897"/>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30</w:t>
      </w:r>
      <w:r w:rsidRPr="00AF3A24">
        <w:rPr>
          <w:rFonts w:asciiTheme="minorHAnsi" w:hAnsiTheme="minorHAnsi"/>
          <w:i/>
        </w:rPr>
        <w:fldChar w:fldCharType="end"/>
      </w:r>
      <w:bookmarkEnd w:id="316"/>
      <w:r w:rsidRPr="00AF3A24">
        <w:rPr>
          <w:rFonts w:asciiTheme="minorHAnsi" w:hAnsiTheme="minorHAnsi"/>
          <w:i/>
        </w:rPr>
        <w:t>:</w:t>
      </w:r>
      <w:r w:rsidRPr="00AF3A24">
        <w:rPr>
          <w:rFonts w:asciiTheme="minorHAnsi" w:hAnsiTheme="minorHAnsi" w:cstheme="minorHAnsi"/>
          <w:i/>
        </w:rPr>
        <w:tab/>
        <w:t>Health status and gambling status (PGSI categorisation)</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(unadjusted prevalence) </w:t>
      </w:r>
      <w:r w:rsidRPr="00AF3A24">
        <w:rPr>
          <w:rFonts w:asciiTheme="minorHAnsi" w:hAnsiTheme="minorHAnsi" w:cstheme="minorHAnsi"/>
          <w:i/>
          <w:vertAlign w:val="superscript"/>
        </w:rPr>
        <w:t>1</w:t>
      </w:r>
      <w:bookmarkEnd w:id="317"/>
    </w:p>
    <w:tbl>
      <w:tblPr>
        <w:tblStyle w:val="TableGrid"/>
        <w:tblW w:w="12896" w:type="dxa"/>
        <w:jc w:val="center"/>
        <w:tblLayout w:type="fixed"/>
        <w:tblLook w:val="04A0" w:firstRow="1" w:lastRow="0" w:firstColumn="1" w:lastColumn="0" w:noHBand="0" w:noVBand="1"/>
      </w:tblPr>
      <w:tblGrid>
        <w:gridCol w:w="3062"/>
        <w:gridCol w:w="895"/>
        <w:gridCol w:w="1080"/>
        <w:gridCol w:w="856"/>
        <w:gridCol w:w="1063"/>
        <w:gridCol w:w="900"/>
        <w:gridCol w:w="1080"/>
        <w:gridCol w:w="900"/>
        <w:gridCol w:w="1080"/>
        <w:gridCol w:w="900"/>
        <w:gridCol w:w="1080"/>
      </w:tblGrid>
      <w:tr w:rsidR="006657F0" w:rsidRPr="00E05D90" w14:paraId="5A0ACAFC" w14:textId="77777777" w:rsidTr="00A310A6">
        <w:trPr>
          <w:trHeight w:val="386"/>
          <w:jc w:val="center"/>
        </w:trPr>
        <w:tc>
          <w:tcPr>
            <w:tcW w:w="3062" w:type="dxa"/>
            <w:vMerge w:val="restart"/>
            <w:shd w:val="clear" w:color="auto" w:fill="92CDDC" w:themeFill="accent5" w:themeFillTint="99"/>
            <w:vAlign w:val="center"/>
          </w:tcPr>
          <w:p w14:paraId="565ECC84" w14:textId="77777777" w:rsidR="006657F0" w:rsidRPr="00E05D90" w:rsidRDefault="006657F0" w:rsidP="00A310A6">
            <w:pPr>
              <w:spacing w:before="0" w:line="240" w:lineRule="auto"/>
              <w:jc w:val="left"/>
              <w:rPr>
                <w:rFonts w:asciiTheme="minorHAnsi" w:hAnsiTheme="minorHAnsi" w:cstheme="minorHAnsi"/>
                <w:b/>
                <w:sz w:val="16"/>
                <w:szCs w:val="16"/>
              </w:rPr>
            </w:pPr>
            <w:r w:rsidRPr="00E05D90">
              <w:rPr>
                <w:rFonts w:asciiTheme="minorHAnsi" w:hAnsiTheme="minorHAnsi" w:cstheme="minorHAnsi"/>
                <w:b/>
                <w:sz w:val="16"/>
                <w:szCs w:val="16"/>
              </w:rPr>
              <w:t>VARIABLE</w:t>
            </w:r>
          </w:p>
        </w:tc>
        <w:tc>
          <w:tcPr>
            <w:tcW w:w="1975" w:type="dxa"/>
            <w:gridSpan w:val="2"/>
            <w:vMerge w:val="restart"/>
            <w:shd w:val="clear" w:color="auto" w:fill="92CDDC" w:themeFill="accent5" w:themeFillTint="99"/>
            <w:vAlign w:val="center"/>
          </w:tcPr>
          <w:p w14:paraId="0DD8C9A2" w14:textId="77777777" w:rsidR="006657F0" w:rsidRPr="003736B9" w:rsidRDefault="006657F0" w:rsidP="00A310A6">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TOTAL ADULT POPULATION</w:t>
            </w:r>
          </w:p>
        </w:tc>
        <w:tc>
          <w:tcPr>
            <w:tcW w:w="7859" w:type="dxa"/>
            <w:gridSpan w:val="8"/>
            <w:tcBorders>
              <w:bottom w:val="single" w:sz="4" w:space="0" w:color="auto"/>
            </w:tcBorders>
            <w:shd w:val="clear" w:color="auto" w:fill="92CDDC" w:themeFill="accent5" w:themeFillTint="99"/>
            <w:vAlign w:val="center"/>
          </w:tcPr>
          <w:p w14:paraId="50BC11FC" w14:textId="77777777" w:rsidR="006657F0" w:rsidRPr="003736B9" w:rsidRDefault="006657F0" w:rsidP="00A310A6">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GAMBLING STATUS</w:t>
            </w:r>
          </w:p>
        </w:tc>
      </w:tr>
      <w:tr w:rsidR="006657F0" w:rsidRPr="00E05D90" w14:paraId="7CE87326" w14:textId="77777777" w:rsidTr="00A310A6">
        <w:trPr>
          <w:trHeight w:val="435"/>
          <w:jc w:val="center"/>
        </w:trPr>
        <w:tc>
          <w:tcPr>
            <w:tcW w:w="3062" w:type="dxa"/>
            <w:vMerge/>
            <w:shd w:val="clear" w:color="auto" w:fill="92CDDC" w:themeFill="accent5" w:themeFillTint="99"/>
            <w:vAlign w:val="center"/>
          </w:tcPr>
          <w:p w14:paraId="6B1A089A" w14:textId="77777777" w:rsidR="006657F0" w:rsidRPr="00E05D90" w:rsidRDefault="006657F0" w:rsidP="00A310A6">
            <w:pPr>
              <w:spacing w:before="0" w:line="240" w:lineRule="auto"/>
              <w:jc w:val="left"/>
              <w:rPr>
                <w:rFonts w:asciiTheme="minorHAnsi" w:hAnsiTheme="minorHAnsi" w:cstheme="minorHAnsi"/>
                <w:b/>
                <w:sz w:val="16"/>
                <w:szCs w:val="16"/>
              </w:rPr>
            </w:pPr>
          </w:p>
        </w:tc>
        <w:tc>
          <w:tcPr>
            <w:tcW w:w="1975" w:type="dxa"/>
            <w:gridSpan w:val="2"/>
            <w:vMerge/>
            <w:tcBorders>
              <w:bottom w:val="single" w:sz="4" w:space="0" w:color="auto"/>
            </w:tcBorders>
            <w:shd w:val="clear" w:color="auto" w:fill="92CDDC" w:themeFill="accent5" w:themeFillTint="99"/>
          </w:tcPr>
          <w:p w14:paraId="60C8DABA" w14:textId="77777777" w:rsidR="006657F0" w:rsidRPr="003736B9" w:rsidRDefault="006657F0" w:rsidP="00A310A6">
            <w:pPr>
              <w:spacing w:before="0" w:line="240" w:lineRule="auto"/>
              <w:jc w:val="center"/>
              <w:rPr>
                <w:rFonts w:asciiTheme="minorHAnsi" w:hAnsiTheme="minorHAnsi" w:cstheme="minorHAnsi"/>
                <w:b/>
                <w:sz w:val="18"/>
                <w:szCs w:val="16"/>
              </w:rPr>
            </w:pPr>
          </w:p>
        </w:tc>
        <w:tc>
          <w:tcPr>
            <w:tcW w:w="1919" w:type="dxa"/>
            <w:gridSpan w:val="2"/>
            <w:tcBorders>
              <w:bottom w:val="single" w:sz="4" w:space="0" w:color="auto"/>
            </w:tcBorders>
            <w:shd w:val="clear" w:color="auto" w:fill="92CDDC" w:themeFill="accent5" w:themeFillTint="99"/>
            <w:vAlign w:val="center"/>
          </w:tcPr>
          <w:p w14:paraId="147C093C" w14:textId="77777777" w:rsidR="006657F0" w:rsidRPr="003736B9" w:rsidRDefault="006657F0" w:rsidP="00A310A6">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Non-gambler</w:t>
            </w:r>
          </w:p>
        </w:tc>
        <w:tc>
          <w:tcPr>
            <w:tcW w:w="1980" w:type="dxa"/>
            <w:gridSpan w:val="2"/>
            <w:tcBorders>
              <w:bottom w:val="single" w:sz="4" w:space="0" w:color="auto"/>
            </w:tcBorders>
            <w:shd w:val="clear" w:color="auto" w:fill="92CDDC" w:themeFill="accent5" w:themeFillTint="99"/>
            <w:vAlign w:val="center"/>
          </w:tcPr>
          <w:p w14:paraId="757AF957" w14:textId="77777777" w:rsidR="006657F0" w:rsidRPr="003736B9" w:rsidRDefault="006657F0" w:rsidP="00847789">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 xml:space="preserve">Non-problem / </w:t>
            </w:r>
            <w:r w:rsidR="00847789" w:rsidRPr="003736B9">
              <w:rPr>
                <w:rFonts w:asciiTheme="minorHAnsi" w:hAnsiTheme="minorHAnsi" w:cstheme="minorHAnsi"/>
                <w:b/>
                <w:sz w:val="18"/>
                <w:szCs w:val="16"/>
              </w:rPr>
              <w:t>r</w:t>
            </w:r>
            <w:r w:rsidRPr="003736B9">
              <w:rPr>
                <w:rFonts w:asciiTheme="minorHAnsi" w:hAnsiTheme="minorHAnsi" w:cstheme="minorHAnsi"/>
                <w:b/>
                <w:sz w:val="18"/>
                <w:szCs w:val="16"/>
              </w:rPr>
              <w:t>ecreational</w:t>
            </w:r>
          </w:p>
        </w:tc>
        <w:tc>
          <w:tcPr>
            <w:tcW w:w="1980" w:type="dxa"/>
            <w:gridSpan w:val="2"/>
            <w:tcBorders>
              <w:bottom w:val="single" w:sz="4" w:space="0" w:color="auto"/>
            </w:tcBorders>
            <w:shd w:val="clear" w:color="auto" w:fill="92CDDC" w:themeFill="accent5" w:themeFillTint="99"/>
            <w:vAlign w:val="center"/>
          </w:tcPr>
          <w:p w14:paraId="09BC87CE" w14:textId="77777777" w:rsidR="006657F0" w:rsidRPr="003736B9" w:rsidRDefault="006657F0" w:rsidP="00A310A6">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Low-risk</w:t>
            </w:r>
          </w:p>
        </w:tc>
        <w:tc>
          <w:tcPr>
            <w:tcW w:w="1980" w:type="dxa"/>
            <w:gridSpan w:val="2"/>
            <w:tcBorders>
              <w:bottom w:val="single" w:sz="4" w:space="0" w:color="auto"/>
            </w:tcBorders>
            <w:shd w:val="clear" w:color="auto" w:fill="92CDDC" w:themeFill="accent5" w:themeFillTint="99"/>
            <w:vAlign w:val="center"/>
          </w:tcPr>
          <w:p w14:paraId="20B28D6E" w14:textId="77777777" w:rsidR="006657F0" w:rsidRPr="003736B9" w:rsidRDefault="00847789" w:rsidP="00A310A6">
            <w:pPr>
              <w:spacing w:before="0" w:line="240" w:lineRule="auto"/>
              <w:jc w:val="center"/>
              <w:rPr>
                <w:rFonts w:asciiTheme="minorHAnsi" w:hAnsiTheme="minorHAnsi" w:cstheme="minorHAnsi"/>
                <w:b/>
                <w:sz w:val="18"/>
                <w:szCs w:val="16"/>
              </w:rPr>
            </w:pPr>
            <w:r w:rsidRPr="003736B9">
              <w:rPr>
                <w:rFonts w:asciiTheme="minorHAnsi" w:hAnsiTheme="minorHAnsi" w:cstheme="minorHAnsi"/>
                <w:b/>
                <w:sz w:val="18"/>
                <w:szCs w:val="16"/>
              </w:rPr>
              <w:t xml:space="preserve">Combined moderate-risk and problem </w:t>
            </w:r>
            <w:r w:rsidR="006657F0" w:rsidRPr="003736B9">
              <w:rPr>
                <w:rFonts w:asciiTheme="minorHAnsi" w:hAnsiTheme="minorHAnsi" w:cstheme="minorHAnsi"/>
                <w:b/>
                <w:sz w:val="18"/>
                <w:szCs w:val="16"/>
                <w:vertAlign w:val="superscript"/>
              </w:rPr>
              <w:t>2</w:t>
            </w:r>
          </w:p>
        </w:tc>
      </w:tr>
      <w:tr w:rsidR="006657F0" w:rsidRPr="00E05D90" w14:paraId="577F9B41" w14:textId="77777777" w:rsidTr="001D0DB7">
        <w:trPr>
          <w:trHeight w:val="386"/>
          <w:jc w:val="center"/>
        </w:trPr>
        <w:tc>
          <w:tcPr>
            <w:tcW w:w="3062" w:type="dxa"/>
            <w:vMerge/>
            <w:tcBorders>
              <w:bottom w:val="single" w:sz="4" w:space="0" w:color="auto"/>
            </w:tcBorders>
            <w:shd w:val="clear" w:color="auto" w:fill="92CDDC" w:themeFill="accent5" w:themeFillTint="99"/>
          </w:tcPr>
          <w:p w14:paraId="7C966FDD" w14:textId="77777777" w:rsidR="006657F0" w:rsidRPr="00E05D90" w:rsidRDefault="006657F0" w:rsidP="00A310A6">
            <w:pPr>
              <w:spacing w:before="0" w:line="240" w:lineRule="auto"/>
              <w:jc w:val="left"/>
              <w:rPr>
                <w:rFonts w:asciiTheme="minorHAnsi" w:hAnsiTheme="minorHAnsi" w:cstheme="minorHAnsi"/>
                <w:b/>
                <w:sz w:val="16"/>
                <w:szCs w:val="16"/>
              </w:rPr>
            </w:pPr>
          </w:p>
        </w:tc>
        <w:tc>
          <w:tcPr>
            <w:tcW w:w="895" w:type="dxa"/>
            <w:tcBorders>
              <w:bottom w:val="single" w:sz="4" w:space="0" w:color="auto"/>
            </w:tcBorders>
            <w:shd w:val="clear" w:color="auto" w:fill="92CDDC" w:themeFill="accent5" w:themeFillTint="99"/>
            <w:vAlign w:val="center"/>
          </w:tcPr>
          <w:p w14:paraId="324E6341"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044272BC" w14:textId="77777777" w:rsidR="006657F0" w:rsidRPr="00E05D90" w:rsidRDefault="006657F0" w:rsidP="006E1762">
            <w:pPr>
              <w:spacing w:before="0" w:line="240" w:lineRule="auto"/>
              <w:ind w:right="-59"/>
              <w:jc w:val="center"/>
              <w:rPr>
                <w:rFonts w:asciiTheme="minorHAnsi" w:hAnsiTheme="minorHAnsi" w:cstheme="minorHAnsi"/>
                <w:b/>
                <w:sz w:val="16"/>
                <w:szCs w:val="16"/>
              </w:rPr>
            </w:pPr>
            <w:r w:rsidRPr="00E05D90">
              <w:rPr>
                <w:rFonts w:asciiTheme="minorHAnsi" w:hAnsiTheme="minorHAnsi" w:cstheme="minorHAnsi"/>
                <w:b/>
                <w:sz w:val="16"/>
                <w:szCs w:val="16"/>
              </w:rPr>
              <w:t>(N</w:t>
            </w:r>
            <w:r w:rsidR="006E1762" w:rsidRPr="00E05D90">
              <w:rPr>
                <w:rFonts w:asciiTheme="minorHAnsi" w:hAnsiTheme="minorHAnsi" w:cstheme="minorHAnsi"/>
                <w:b/>
                <w:sz w:val="16"/>
                <w:szCs w:val="16"/>
              </w:rPr>
              <w:t>=12,596</w:t>
            </w:r>
            <w:r w:rsidRPr="00E05D90">
              <w:rPr>
                <w:rFonts w:asciiTheme="minorHAnsi" w:hAnsiTheme="minorHAnsi" w:cstheme="minorHAnsi"/>
                <w:b/>
                <w:sz w:val="16"/>
                <w:szCs w:val="16"/>
              </w:rPr>
              <w:t>)</w:t>
            </w:r>
          </w:p>
        </w:tc>
        <w:tc>
          <w:tcPr>
            <w:tcW w:w="1080" w:type="dxa"/>
            <w:tcBorders>
              <w:bottom w:val="single" w:sz="4" w:space="0" w:color="auto"/>
            </w:tcBorders>
            <w:shd w:val="clear" w:color="auto" w:fill="92CDDC" w:themeFill="accent5" w:themeFillTint="99"/>
            <w:vAlign w:val="center"/>
          </w:tcPr>
          <w:p w14:paraId="043839AB" w14:textId="77777777" w:rsidR="008B4CAC"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Mean</w:t>
            </w:r>
          </w:p>
          <w:p w14:paraId="7C08FE67" w14:textId="77777777" w:rsidR="006657F0"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 xml:space="preserve"> </w:t>
            </w:r>
            <w:r w:rsidR="006657F0" w:rsidRPr="00E05D90">
              <w:rPr>
                <w:rFonts w:asciiTheme="minorHAnsi" w:hAnsiTheme="minorHAnsi" w:cstheme="minorHAnsi"/>
                <w:b/>
                <w:sz w:val="16"/>
                <w:szCs w:val="16"/>
              </w:rPr>
              <w:t>(95% CI)</w:t>
            </w:r>
          </w:p>
        </w:tc>
        <w:tc>
          <w:tcPr>
            <w:tcW w:w="856" w:type="dxa"/>
            <w:tcBorders>
              <w:bottom w:val="single" w:sz="4" w:space="0" w:color="auto"/>
            </w:tcBorders>
            <w:shd w:val="clear" w:color="auto" w:fill="92CDDC" w:themeFill="accent5" w:themeFillTint="99"/>
            <w:vAlign w:val="center"/>
          </w:tcPr>
          <w:p w14:paraId="0014B8D9"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36040106" w14:textId="77777777" w:rsidR="006657F0" w:rsidRPr="00E05D90" w:rsidRDefault="006657F0" w:rsidP="001D0DB7">
            <w:pPr>
              <w:spacing w:before="0" w:line="240" w:lineRule="auto"/>
              <w:ind w:right="-108"/>
              <w:jc w:val="center"/>
              <w:rPr>
                <w:rFonts w:asciiTheme="minorHAnsi" w:hAnsiTheme="minorHAnsi" w:cstheme="minorHAnsi"/>
                <w:b/>
                <w:sz w:val="16"/>
                <w:szCs w:val="16"/>
              </w:rPr>
            </w:pPr>
            <w:r w:rsidRPr="00E05D90">
              <w:rPr>
                <w:rFonts w:asciiTheme="minorHAnsi" w:hAnsiTheme="minorHAnsi" w:cstheme="minorHAnsi"/>
                <w:b/>
                <w:sz w:val="16"/>
                <w:szCs w:val="16"/>
              </w:rPr>
              <w:t>(N</w:t>
            </w:r>
            <w:r w:rsidR="00623244" w:rsidRPr="00E05D90">
              <w:rPr>
                <w:rFonts w:asciiTheme="minorHAnsi" w:hAnsiTheme="minorHAnsi" w:cstheme="minorHAnsi"/>
                <w:b/>
                <w:sz w:val="16"/>
                <w:szCs w:val="16"/>
              </w:rPr>
              <w:t>=6</w:t>
            </w:r>
            <w:r w:rsidR="001D0DB7" w:rsidRPr="00E05D90">
              <w:rPr>
                <w:rFonts w:asciiTheme="minorHAnsi" w:hAnsiTheme="minorHAnsi" w:cstheme="minorHAnsi"/>
                <w:b/>
                <w:sz w:val="16"/>
                <w:szCs w:val="16"/>
              </w:rPr>
              <w:t>,</w:t>
            </w:r>
            <w:r w:rsidR="00623244" w:rsidRPr="00E05D90">
              <w:rPr>
                <w:rFonts w:asciiTheme="minorHAnsi" w:hAnsiTheme="minorHAnsi" w:cstheme="minorHAnsi"/>
                <w:b/>
                <w:sz w:val="16"/>
                <w:szCs w:val="16"/>
              </w:rPr>
              <w:t>047</w:t>
            </w:r>
            <w:r w:rsidRPr="00E05D90">
              <w:rPr>
                <w:rFonts w:asciiTheme="minorHAnsi" w:hAnsiTheme="minorHAnsi" w:cstheme="minorHAnsi"/>
                <w:b/>
                <w:sz w:val="16"/>
                <w:szCs w:val="16"/>
              </w:rPr>
              <w:t>)</w:t>
            </w:r>
          </w:p>
        </w:tc>
        <w:tc>
          <w:tcPr>
            <w:tcW w:w="1063" w:type="dxa"/>
            <w:tcBorders>
              <w:bottom w:val="single" w:sz="4" w:space="0" w:color="auto"/>
            </w:tcBorders>
            <w:shd w:val="clear" w:color="auto" w:fill="92CDDC" w:themeFill="accent5" w:themeFillTint="99"/>
            <w:vAlign w:val="center"/>
          </w:tcPr>
          <w:p w14:paraId="52A812C1" w14:textId="77777777" w:rsidR="006657F0" w:rsidRPr="00E05D90" w:rsidRDefault="008B4CAC"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Mean</w:t>
            </w:r>
          </w:p>
          <w:p w14:paraId="14E459D9"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1757843F"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13791106"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r w:rsidR="001D0DB7" w:rsidRPr="00E05D90">
              <w:rPr>
                <w:rFonts w:asciiTheme="minorHAnsi" w:hAnsiTheme="minorHAnsi" w:cstheme="minorHAnsi"/>
                <w:b/>
                <w:sz w:val="16"/>
                <w:szCs w:val="16"/>
              </w:rPr>
              <w:t>=6,092</w:t>
            </w:r>
            <w:r w:rsidRPr="00E05D90">
              <w:rPr>
                <w:rFonts w:asciiTheme="minorHAnsi" w:hAnsiTheme="minorHAnsi" w:cstheme="minorHAnsi"/>
                <w:b/>
                <w:sz w:val="16"/>
                <w:szCs w:val="16"/>
              </w:rPr>
              <w:t>)</w:t>
            </w:r>
          </w:p>
        </w:tc>
        <w:tc>
          <w:tcPr>
            <w:tcW w:w="1080" w:type="dxa"/>
            <w:tcBorders>
              <w:bottom w:val="single" w:sz="4" w:space="0" w:color="auto"/>
            </w:tcBorders>
            <w:shd w:val="clear" w:color="auto" w:fill="92CDDC" w:themeFill="accent5" w:themeFillTint="99"/>
            <w:vAlign w:val="center"/>
          </w:tcPr>
          <w:p w14:paraId="268EC622" w14:textId="77777777" w:rsidR="008B4CAC"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Mean</w:t>
            </w:r>
          </w:p>
          <w:p w14:paraId="4E53CD9C" w14:textId="77777777" w:rsidR="006657F0"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 xml:space="preserve"> </w:t>
            </w:r>
            <w:r w:rsidR="006657F0"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0003A98D"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278C2B77"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r w:rsidR="00CD515C" w:rsidRPr="00E05D90">
              <w:rPr>
                <w:rFonts w:asciiTheme="minorHAnsi" w:hAnsiTheme="minorHAnsi" w:cstheme="minorHAnsi"/>
                <w:b/>
                <w:sz w:val="16"/>
                <w:szCs w:val="16"/>
              </w:rPr>
              <w:t>=272</w:t>
            </w:r>
            <w:r w:rsidRPr="00E05D90">
              <w:rPr>
                <w:rFonts w:asciiTheme="minorHAnsi" w:hAnsiTheme="minorHAnsi" w:cstheme="minorHAnsi"/>
                <w:b/>
                <w:sz w:val="16"/>
                <w:szCs w:val="16"/>
              </w:rPr>
              <w:t>)</w:t>
            </w:r>
          </w:p>
        </w:tc>
        <w:tc>
          <w:tcPr>
            <w:tcW w:w="1080" w:type="dxa"/>
            <w:tcBorders>
              <w:bottom w:val="single" w:sz="4" w:space="0" w:color="auto"/>
            </w:tcBorders>
            <w:shd w:val="clear" w:color="auto" w:fill="92CDDC" w:themeFill="accent5" w:themeFillTint="99"/>
            <w:vAlign w:val="center"/>
          </w:tcPr>
          <w:p w14:paraId="476C3246" w14:textId="77777777" w:rsidR="008B4CAC"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Mean</w:t>
            </w:r>
          </w:p>
          <w:p w14:paraId="1CD17804"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2AF605AD"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3B44779E" w14:textId="77777777" w:rsidR="006657F0" w:rsidRPr="00E05D90" w:rsidRDefault="006657F0" w:rsidP="00A310A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r w:rsidR="00CD515C" w:rsidRPr="00E05D90">
              <w:rPr>
                <w:rFonts w:asciiTheme="minorHAnsi" w:hAnsiTheme="minorHAnsi" w:cstheme="minorHAnsi"/>
                <w:b/>
                <w:sz w:val="16"/>
                <w:szCs w:val="16"/>
              </w:rPr>
              <w:t>=183</w:t>
            </w:r>
            <w:r w:rsidRPr="00E05D90">
              <w:rPr>
                <w:rFonts w:asciiTheme="minorHAnsi" w:hAnsiTheme="minorHAnsi" w:cstheme="minorHAnsi"/>
                <w:b/>
                <w:sz w:val="16"/>
                <w:szCs w:val="16"/>
              </w:rPr>
              <w:t>)</w:t>
            </w:r>
          </w:p>
        </w:tc>
        <w:tc>
          <w:tcPr>
            <w:tcW w:w="1080" w:type="dxa"/>
            <w:tcBorders>
              <w:bottom w:val="single" w:sz="4" w:space="0" w:color="auto"/>
            </w:tcBorders>
            <w:shd w:val="clear" w:color="auto" w:fill="92CDDC" w:themeFill="accent5" w:themeFillTint="99"/>
            <w:vAlign w:val="center"/>
          </w:tcPr>
          <w:p w14:paraId="4CADC3F6" w14:textId="77777777" w:rsidR="008B4CAC"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Mean</w:t>
            </w:r>
          </w:p>
          <w:p w14:paraId="41438CDC" w14:textId="77777777" w:rsidR="006657F0" w:rsidRPr="00E05D90" w:rsidRDefault="008B4CAC" w:rsidP="008B4CAC">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 xml:space="preserve"> </w:t>
            </w:r>
            <w:r w:rsidR="006657F0" w:rsidRPr="00E05D90">
              <w:rPr>
                <w:rFonts w:asciiTheme="minorHAnsi" w:hAnsiTheme="minorHAnsi" w:cstheme="minorHAnsi"/>
                <w:b/>
                <w:sz w:val="16"/>
                <w:szCs w:val="16"/>
              </w:rPr>
              <w:t>(95% CI)</w:t>
            </w:r>
          </w:p>
        </w:tc>
      </w:tr>
      <w:tr w:rsidR="006657F0" w:rsidRPr="00E05D90" w14:paraId="78839653"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5573E374" w14:textId="77777777" w:rsidR="004C60F4" w:rsidRPr="00E05D90" w:rsidRDefault="00E713D8" w:rsidP="004C60F4">
            <w:pPr>
              <w:spacing w:before="0" w:line="240" w:lineRule="auto"/>
              <w:jc w:val="left"/>
              <w:rPr>
                <w:rFonts w:asciiTheme="minorHAnsi" w:hAnsiTheme="minorHAnsi" w:cstheme="minorHAnsi"/>
                <w:b/>
                <w:sz w:val="16"/>
                <w:szCs w:val="16"/>
              </w:rPr>
            </w:pPr>
            <w:r w:rsidRPr="00E05D90">
              <w:rPr>
                <w:rFonts w:asciiTheme="minorHAnsi" w:hAnsiTheme="minorHAnsi" w:cstheme="minorHAnsi"/>
                <w:b/>
                <w:sz w:val="16"/>
                <w:szCs w:val="16"/>
              </w:rPr>
              <w:t>SF-12 HEALTH SURVEY</w:t>
            </w:r>
            <w:r w:rsidR="00BF36C6" w:rsidRPr="00E05D90">
              <w:rPr>
                <w:rFonts w:asciiTheme="minorHAnsi" w:hAnsiTheme="minorHAnsi" w:cstheme="minorHAnsi"/>
                <w:b/>
                <w:sz w:val="16"/>
                <w:szCs w:val="16"/>
              </w:rPr>
              <w:t>:</w:t>
            </w:r>
          </w:p>
          <w:p w14:paraId="59E9C6FC" w14:textId="77777777" w:rsidR="006657F0" w:rsidRPr="00E05D90" w:rsidRDefault="004C60F4" w:rsidP="004C60F4">
            <w:pPr>
              <w:spacing w:before="0" w:line="240" w:lineRule="auto"/>
              <w:jc w:val="left"/>
              <w:rPr>
                <w:rFonts w:asciiTheme="minorHAnsi" w:hAnsiTheme="minorHAnsi"/>
                <w:bCs/>
                <w:color w:val="000000"/>
                <w:sz w:val="16"/>
                <w:szCs w:val="16"/>
              </w:rPr>
            </w:pPr>
            <w:r w:rsidRPr="00E05D90">
              <w:rPr>
                <w:rFonts w:asciiTheme="minorHAnsi" w:hAnsiTheme="minorHAnsi" w:cstheme="minorHAnsi"/>
                <w:b/>
                <w:sz w:val="16"/>
                <w:szCs w:val="16"/>
              </w:rPr>
              <w:t>(SF-12)</w:t>
            </w:r>
          </w:p>
        </w:tc>
      </w:tr>
      <w:tr w:rsidR="00A114BC" w:rsidRPr="00E05D90" w14:paraId="575BA059"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6B2AD3C1" w14:textId="77777777" w:rsidR="00A114BC" w:rsidRPr="00E05D90" w:rsidRDefault="00A114BC" w:rsidP="00293281">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Physical Component Summary (PCS)</w:t>
            </w:r>
          </w:p>
        </w:tc>
        <w:tc>
          <w:tcPr>
            <w:tcW w:w="895" w:type="dxa"/>
            <w:tcBorders>
              <w:top w:val="single" w:sz="4" w:space="0" w:color="auto"/>
              <w:bottom w:val="single" w:sz="4" w:space="0" w:color="auto"/>
              <w:right w:val="nil"/>
            </w:tcBorders>
            <w:shd w:val="clear" w:color="auto" w:fill="DAEEF3" w:themeFill="accent5" w:themeFillTint="33"/>
            <w:vAlign w:val="center"/>
          </w:tcPr>
          <w:p w14:paraId="650A78A4" w14:textId="77777777" w:rsidR="00A114BC" w:rsidRPr="0030699B" w:rsidRDefault="00A114BC" w:rsidP="00293281">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12,378</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DC30A36" w14:textId="77777777" w:rsidR="00A114BC" w:rsidRPr="0030699B" w:rsidRDefault="00A114BC" w:rsidP="00293281">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50.3</w:t>
            </w:r>
            <w:r w:rsidRPr="0030699B">
              <w:rPr>
                <w:rFonts w:asciiTheme="minorHAnsi" w:hAnsiTheme="minorHAnsi"/>
                <w:b/>
                <w:bCs/>
                <w:color w:val="000000"/>
                <w:sz w:val="16"/>
                <w:szCs w:val="16"/>
              </w:rPr>
              <w:br/>
              <w:t>(50.0 - 50.5)</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1E6BA345"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5,933</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26345E4"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50.4</w:t>
            </w:r>
            <w:r w:rsidRPr="00E05D90">
              <w:rPr>
                <w:rFonts w:asciiTheme="minorHAnsi" w:hAnsiTheme="minorHAnsi"/>
                <w:bCs/>
                <w:color w:val="000000"/>
                <w:sz w:val="16"/>
                <w:szCs w:val="16"/>
              </w:rPr>
              <w:br/>
              <w:t>(50.1 - 50.7)</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57CFBAB"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6,004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6CF9FAB"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50.3</w:t>
            </w:r>
            <w:r w:rsidRPr="00E05D90">
              <w:rPr>
                <w:rFonts w:asciiTheme="minorHAnsi" w:hAnsiTheme="minorHAnsi"/>
                <w:bCs/>
                <w:color w:val="000000"/>
                <w:sz w:val="16"/>
                <w:szCs w:val="16"/>
              </w:rPr>
              <w:br/>
              <w:t>(50.0 - 50.7)</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62D4713"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265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20C8995"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47.0</w:t>
            </w:r>
            <w:r w:rsidRPr="00E05D90">
              <w:rPr>
                <w:rFonts w:asciiTheme="minorHAnsi" w:hAnsiTheme="minorHAnsi"/>
                <w:bCs/>
                <w:color w:val="000000"/>
                <w:sz w:val="16"/>
                <w:szCs w:val="16"/>
              </w:rPr>
              <w:br/>
              <w:t>(45.5 - 48.5)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606DF43"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175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0AFE7C7"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48.9</w:t>
            </w:r>
            <w:r w:rsidRPr="00E05D90">
              <w:rPr>
                <w:rFonts w:asciiTheme="minorHAnsi" w:hAnsiTheme="minorHAnsi"/>
                <w:bCs/>
                <w:color w:val="000000"/>
                <w:sz w:val="16"/>
                <w:szCs w:val="16"/>
              </w:rPr>
              <w:br/>
              <w:t>(46.9 - 50.9)</w:t>
            </w:r>
          </w:p>
        </w:tc>
      </w:tr>
      <w:tr w:rsidR="00A114BC" w:rsidRPr="00E05D90" w14:paraId="139A4A73" w14:textId="77777777" w:rsidTr="00A114BC">
        <w:trPr>
          <w:jc w:val="center"/>
        </w:trPr>
        <w:tc>
          <w:tcPr>
            <w:tcW w:w="3062" w:type="dxa"/>
            <w:tcBorders>
              <w:top w:val="single" w:sz="4" w:space="0" w:color="auto"/>
              <w:bottom w:val="dashed" w:sz="4" w:space="0" w:color="auto"/>
              <w:right w:val="single" w:sz="4" w:space="0" w:color="auto"/>
            </w:tcBorders>
            <w:shd w:val="clear" w:color="auto" w:fill="DAEEF3" w:themeFill="accent5" w:themeFillTint="33"/>
            <w:vAlign w:val="center"/>
          </w:tcPr>
          <w:p w14:paraId="7123551D" w14:textId="77777777" w:rsidR="00A114BC" w:rsidRPr="00E05D90" w:rsidRDefault="00A114BC" w:rsidP="00293281">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Mental Component Summary (MCS)</w:t>
            </w:r>
          </w:p>
        </w:tc>
        <w:tc>
          <w:tcPr>
            <w:tcW w:w="895" w:type="dxa"/>
            <w:tcBorders>
              <w:top w:val="single" w:sz="4" w:space="0" w:color="auto"/>
              <w:bottom w:val="dashed" w:sz="4" w:space="0" w:color="auto"/>
              <w:right w:val="nil"/>
            </w:tcBorders>
            <w:shd w:val="clear" w:color="auto" w:fill="DAEEF3" w:themeFill="accent5" w:themeFillTint="33"/>
            <w:vAlign w:val="center"/>
          </w:tcPr>
          <w:p w14:paraId="7385311E" w14:textId="77777777" w:rsidR="00A114BC" w:rsidRPr="0030699B" w:rsidRDefault="00A114BC" w:rsidP="00293281">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12,378</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57BA4834" w14:textId="77777777" w:rsidR="00A114BC" w:rsidRPr="0030699B" w:rsidRDefault="00A114BC" w:rsidP="00293281">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48.2</w:t>
            </w:r>
            <w:r w:rsidRPr="0030699B">
              <w:rPr>
                <w:rFonts w:asciiTheme="minorHAnsi" w:hAnsiTheme="minorHAnsi"/>
                <w:b/>
                <w:bCs/>
                <w:color w:val="000000"/>
                <w:sz w:val="16"/>
                <w:szCs w:val="16"/>
              </w:rPr>
              <w:br/>
              <w:t>(48.1 - 48.4)</w:t>
            </w:r>
          </w:p>
        </w:tc>
        <w:tc>
          <w:tcPr>
            <w:tcW w:w="856" w:type="dxa"/>
            <w:tcBorders>
              <w:top w:val="single" w:sz="4" w:space="0" w:color="auto"/>
              <w:left w:val="single" w:sz="4" w:space="0" w:color="auto"/>
              <w:bottom w:val="dashed" w:sz="4" w:space="0" w:color="auto"/>
              <w:right w:val="nil"/>
            </w:tcBorders>
            <w:shd w:val="clear" w:color="auto" w:fill="DAEEF3" w:themeFill="accent5" w:themeFillTint="33"/>
            <w:vAlign w:val="center"/>
          </w:tcPr>
          <w:p w14:paraId="2070D9EB"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5,933</w:t>
            </w:r>
          </w:p>
        </w:tc>
        <w:tc>
          <w:tcPr>
            <w:tcW w:w="1063"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2464DCD9"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51.2</w:t>
            </w:r>
            <w:r w:rsidRPr="00E05D90">
              <w:rPr>
                <w:rFonts w:asciiTheme="minorHAnsi" w:hAnsiTheme="minorHAnsi"/>
                <w:bCs/>
                <w:color w:val="000000"/>
                <w:sz w:val="16"/>
                <w:szCs w:val="16"/>
              </w:rPr>
              <w:br/>
              <w:t>(50.9 - 51.5)</w:t>
            </w:r>
          </w:p>
        </w:tc>
        <w:tc>
          <w:tcPr>
            <w:tcW w:w="900" w:type="dxa"/>
            <w:tcBorders>
              <w:top w:val="single" w:sz="4" w:space="0" w:color="auto"/>
              <w:left w:val="single" w:sz="4" w:space="0" w:color="auto"/>
              <w:bottom w:val="dashed" w:sz="4" w:space="0" w:color="auto"/>
              <w:right w:val="nil"/>
            </w:tcBorders>
            <w:shd w:val="clear" w:color="auto" w:fill="DAEEF3" w:themeFill="accent5" w:themeFillTint="33"/>
            <w:vAlign w:val="center"/>
          </w:tcPr>
          <w:p w14:paraId="4C792774"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6,004</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5EEB76F0"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51.5</w:t>
            </w:r>
            <w:r w:rsidRPr="00E05D90">
              <w:rPr>
                <w:rFonts w:asciiTheme="minorHAnsi" w:hAnsiTheme="minorHAnsi"/>
                <w:bCs/>
                <w:color w:val="000000"/>
                <w:sz w:val="16"/>
                <w:szCs w:val="16"/>
              </w:rPr>
              <w:br/>
              <w:t>(51.2 - 51.8)</w:t>
            </w:r>
          </w:p>
        </w:tc>
        <w:tc>
          <w:tcPr>
            <w:tcW w:w="900" w:type="dxa"/>
            <w:tcBorders>
              <w:top w:val="single" w:sz="4" w:space="0" w:color="auto"/>
              <w:left w:val="nil"/>
              <w:bottom w:val="dashed" w:sz="4" w:space="0" w:color="auto"/>
              <w:right w:val="nil"/>
            </w:tcBorders>
            <w:shd w:val="clear" w:color="auto" w:fill="DAEEF3" w:themeFill="accent5" w:themeFillTint="33"/>
            <w:vAlign w:val="center"/>
          </w:tcPr>
          <w:p w14:paraId="0A3EC150"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265</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248AD1A9"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51.0</w:t>
            </w:r>
            <w:r w:rsidRPr="00E05D90">
              <w:rPr>
                <w:rFonts w:asciiTheme="minorHAnsi" w:hAnsiTheme="minorHAnsi"/>
                <w:bCs/>
                <w:color w:val="000000"/>
                <w:sz w:val="16"/>
                <w:szCs w:val="16"/>
              </w:rPr>
              <w:br/>
              <w:t>(49.6 - 52.3)</w:t>
            </w:r>
          </w:p>
        </w:tc>
        <w:tc>
          <w:tcPr>
            <w:tcW w:w="900" w:type="dxa"/>
            <w:tcBorders>
              <w:top w:val="single" w:sz="4" w:space="0" w:color="auto"/>
              <w:left w:val="nil"/>
              <w:bottom w:val="dashed" w:sz="4" w:space="0" w:color="auto"/>
              <w:right w:val="nil"/>
            </w:tcBorders>
            <w:shd w:val="clear" w:color="auto" w:fill="DAEEF3" w:themeFill="accent5" w:themeFillTint="33"/>
            <w:vAlign w:val="center"/>
          </w:tcPr>
          <w:p w14:paraId="7C9A11B0"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175</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3DA59036" w14:textId="77777777" w:rsidR="00A114BC" w:rsidRPr="00E05D90" w:rsidRDefault="00A114BC" w:rsidP="00293281">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43.1</w:t>
            </w:r>
            <w:r w:rsidRPr="00E05D90">
              <w:rPr>
                <w:rFonts w:asciiTheme="minorHAnsi" w:hAnsiTheme="minorHAnsi"/>
                <w:bCs/>
                <w:color w:val="000000"/>
                <w:sz w:val="16"/>
                <w:szCs w:val="16"/>
              </w:rPr>
              <w:br/>
              <w:t>(40.5 - 45.7)</w:t>
            </w:r>
          </w:p>
        </w:tc>
      </w:tr>
      <w:tr w:rsidR="00A114BC" w:rsidRPr="00E05D90" w14:paraId="62EBD183" w14:textId="77777777" w:rsidTr="00A114BC">
        <w:trPr>
          <w:jc w:val="center"/>
        </w:trPr>
        <w:tc>
          <w:tcPr>
            <w:tcW w:w="3062" w:type="dxa"/>
            <w:tcBorders>
              <w:top w:val="dashed" w:sz="4" w:space="0" w:color="auto"/>
              <w:bottom w:val="single" w:sz="4" w:space="0" w:color="auto"/>
              <w:right w:val="single" w:sz="4" w:space="0" w:color="auto"/>
            </w:tcBorders>
            <w:shd w:val="clear" w:color="auto" w:fill="DAEEF3" w:themeFill="accent5" w:themeFillTint="33"/>
            <w:vAlign w:val="center"/>
          </w:tcPr>
          <w:p w14:paraId="2126E7A9" w14:textId="77777777" w:rsidR="00A114BC" w:rsidRPr="00E05D90" w:rsidRDefault="00A114BC" w:rsidP="00143F8D">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Physical functioning (PF)</w:t>
            </w:r>
          </w:p>
        </w:tc>
        <w:tc>
          <w:tcPr>
            <w:tcW w:w="895" w:type="dxa"/>
            <w:tcBorders>
              <w:top w:val="dashed" w:sz="4" w:space="0" w:color="auto"/>
              <w:bottom w:val="single" w:sz="4" w:space="0" w:color="auto"/>
              <w:right w:val="nil"/>
            </w:tcBorders>
            <w:shd w:val="clear" w:color="auto" w:fill="DAEEF3" w:themeFill="accent5" w:themeFillTint="33"/>
            <w:vAlign w:val="center"/>
          </w:tcPr>
          <w:p w14:paraId="6C91F59D"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12,525</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36888338"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87.6</w:t>
            </w:r>
            <w:r w:rsidRPr="0030699B">
              <w:rPr>
                <w:rFonts w:asciiTheme="minorHAnsi" w:hAnsiTheme="minorHAnsi"/>
                <w:b/>
                <w:bCs/>
                <w:color w:val="000000"/>
                <w:sz w:val="16"/>
                <w:szCs w:val="16"/>
              </w:rPr>
              <w:br/>
              <w:t>(86.9 - 88.2)</w:t>
            </w:r>
          </w:p>
        </w:tc>
        <w:tc>
          <w:tcPr>
            <w:tcW w:w="856" w:type="dxa"/>
            <w:tcBorders>
              <w:top w:val="dashed" w:sz="4" w:space="0" w:color="auto"/>
              <w:left w:val="single" w:sz="4" w:space="0" w:color="auto"/>
              <w:bottom w:val="single" w:sz="4" w:space="0" w:color="auto"/>
              <w:right w:val="nil"/>
            </w:tcBorders>
            <w:shd w:val="clear" w:color="auto" w:fill="DAEEF3" w:themeFill="accent5" w:themeFillTint="33"/>
            <w:vAlign w:val="center"/>
          </w:tcPr>
          <w:p w14:paraId="2E1EC680"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6,013</w:t>
            </w:r>
          </w:p>
        </w:tc>
        <w:tc>
          <w:tcPr>
            <w:tcW w:w="1063"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6DB1D717"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87.1</w:t>
            </w:r>
            <w:r w:rsidRPr="00E05D90">
              <w:rPr>
                <w:rFonts w:asciiTheme="minorHAnsi" w:hAnsiTheme="minorHAnsi"/>
                <w:bCs/>
                <w:color w:val="000000"/>
                <w:sz w:val="16"/>
                <w:szCs w:val="16"/>
              </w:rPr>
              <w:br/>
              <w:t>(86.2 - 88.0)</w:t>
            </w:r>
          </w:p>
        </w:tc>
        <w:tc>
          <w:tcPr>
            <w:tcW w:w="900" w:type="dxa"/>
            <w:tcBorders>
              <w:top w:val="dashed" w:sz="4" w:space="0" w:color="auto"/>
              <w:left w:val="single" w:sz="4" w:space="0" w:color="auto"/>
              <w:bottom w:val="single" w:sz="4" w:space="0" w:color="auto"/>
              <w:right w:val="nil"/>
            </w:tcBorders>
            <w:shd w:val="clear" w:color="auto" w:fill="DAEEF3" w:themeFill="accent5" w:themeFillTint="33"/>
            <w:vAlign w:val="center"/>
          </w:tcPr>
          <w:p w14:paraId="5A958F34"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6,061</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36A3B5DA"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88.3</w:t>
            </w:r>
            <w:r w:rsidRPr="00E05D90">
              <w:rPr>
                <w:rFonts w:asciiTheme="minorHAnsi" w:hAnsiTheme="minorHAnsi"/>
                <w:bCs/>
                <w:color w:val="000000"/>
                <w:sz w:val="16"/>
                <w:szCs w:val="16"/>
              </w:rPr>
              <w:br/>
              <w:t>(87.5 - 89.2)</w:t>
            </w:r>
          </w:p>
        </w:tc>
        <w:tc>
          <w:tcPr>
            <w:tcW w:w="900" w:type="dxa"/>
            <w:tcBorders>
              <w:top w:val="dashed" w:sz="4" w:space="0" w:color="auto"/>
              <w:left w:val="nil"/>
              <w:bottom w:val="single" w:sz="4" w:space="0" w:color="auto"/>
              <w:right w:val="nil"/>
            </w:tcBorders>
            <w:shd w:val="clear" w:color="auto" w:fill="DAEEF3" w:themeFill="accent5" w:themeFillTint="33"/>
            <w:vAlign w:val="center"/>
          </w:tcPr>
          <w:p w14:paraId="41843E9E"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268</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096305C0"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81.5</w:t>
            </w:r>
            <w:r w:rsidRPr="00E05D90">
              <w:rPr>
                <w:rFonts w:asciiTheme="minorHAnsi" w:hAnsiTheme="minorHAnsi"/>
                <w:bCs/>
                <w:color w:val="000000"/>
                <w:sz w:val="16"/>
                <w:szCs w:val="16"/>
              </w:rPr>
              <w:br/>
              <w:t>(77.2 - 85.9)</w:t>
            </w:r>
          </w:p>
        </w:tc>
        <w:tc>
          <w:tcPr>
            <w:tcW w:w="900" w:type="dxa"/>
            <w:tcBorders>
              <w:top w:val="dashed" w:sz="4" w:space="0" w:color="auto"/>
              <w:left w:val="nil"/>
              <w:bottom w:val="single" w:sz="4" w:space="0" w:color="auto"/>
              <w:right w:val="nil"/>
            </w:tcBorders>
            <w:shd w:val="clear" w:color="auto" w:fill="DAEEF3" w:themeFill="accent5" w:themeFillTint="33"/>
            <w:vAlign w:val="center"/>
          </w:tcPr>
          <w:p w14:paraId="36E03BC4"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181</w:t>
            </w:r>
          </w:p>
        </w:tc>
        <w:tc>
          <w:tcPr>
            <w:tcW w:w="1080" w:type="dxa"/>
            <w:tcBorders>
              <w:top w:val="dashed" w:sz="4" w:space="0" w:color="auto"/>
              <w:left w:val="nil"/>
              <w:bottom w:val="single" w:sz="4" w:space="0" w:color="auto"/>
              <w:right w:val="single" w:sz="4" w:space="0" w:color="auto"/>
            </w:tcBorders>
            <w:shd w:val="clear" w:color="auto" w:fill="DAEEF3" w:themeFill="accent5" w:themeFillTint="33"/>
            <w:vAlign w:val="center"/>
          </w:tcPr>
          <w:p w14:paraId="53619DB4"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86.9</w:t>
            </w:r>
            <w:r w:rsidRPr="00E05D90">
              <w:rPr>
                <w:rFonts w:asciiTheme="minorHAnsi" w:hAnsiTheme="minorHAnsi"/>
                <w:bCs/>
                <w:color w:val="000000"/>
                <w:sz w:val="16"/>
                <w:szCs w:val="16"/>
              </w:rPr>
              <w:br/>
              <w:t>(82.4 - 91.3)</w:t>
            </w:r>
          </w:p>
        </w:tc>
      </w:tr>
      <w:tr w:rsidR="00A114BC" w:rsidRPr="00E05D90" w14:paraId="4D420A78"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0BD1879A" w14:textId="77777777" w:rsidR="00A114BC" w:rsidRPr="00E05D90" w:rsidRDefault="00A114BC" w:rsidP="00143F8D">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Role physical (RF)</w:t>
            </w:r>
          </w:p>
        </w:tc>
        <w:tc>
          <w:tcPr>
            <w:tcW w:w="895" w:type="dxa"/>
            <w:tcBorders>
              <w:top w:val="single" w:sz="4" w:space="0" w:color="auto"/>
              <w:bottom w:val="single" w:sz="4" w:space="0" w:color="auto"/>
              <w:right w:val="nil"/>
            </w:tcBorders>
            <w:shd w:val="clear" w:color="auto" w:fill="DAEEF3" w:themeFill="accent5" w:themeFillTint="33"/>
            <w:vAlign w:val="center"/>
          </w:tcPr>
          <w:p w14:paraId="004BDFD6"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12,570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9D6D3C1"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87.4</w:t>
            </w:r>
            <w:r w:rsidRPr="0030699B">
              <w:rPr>
                <w:rFonts w:asciiTheme="minorHAnsi" w:hAnsiTheme="minorHAnsi"/>
                <w:b/>
                <w:bCs/>
                <w:color w:val="000000"/>
                <w:sz w:val="16"/>
                <w:szCs w:val="16"/>
              </w:rPr>
              <w:br/>
              <w:t>(86.8 - 88.0)</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1868A1A"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6,032</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16CDA64"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87.5</w:t>
            </w:r>
            <w:r w:rsidRPr="00E05D90">
              <w:rPr>
                <w:rFonts w:asciiTheme="minorHAnsi" w:hAnsiTheme="minorHAnsi"/>
                <w:bCs/>
                <w:color w:val="000000"/>
                <w:sz w:val="16"/>
                <w:szCs w:val="16"/>
              </w:rPr>
              <w:br/>
              <w:t>(86.7 - 88.3)</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8030B17"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6,084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7CD4641"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87.7</w:t>
            </w:r>
            <w:r w:rsidRPr="00E05D90">
              <w:rPr>
                <w:rFonts w:asciiTheme="minorHAnsi" w:hAnsiTheme="minorHAnsi"/>
                <w:bCs/>
                <w:color w:val="000000"/>
                <w:sz w:val="16"/>
                <w:szCs w:val="16"/>
              </w:rPr>
              <w:br/>
              <w:t>(87.0 - 88.5)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90CD75F"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CAF3459"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80.3</w:t>
            </w:r>
            <w:r w:rsidRPr="00E05D90">
              <w:rPr>
                <w:rFonts w:asciiTheme="minorHAnsi" w:hAnsiTheme="minorHAnsi"/>
                <w:bCs/>
                <w:color w:val="000000"/>
                <w:sz w:val="16"/>
                <w:szCs w:val="16"/>
              </w:rPr>
              <w:br/>
              <w:t>(76.6 - 84.1)</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8781632"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1F84A2B"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78.4</w:t>
            </w:r>
            <w:r w:rsidRPr="00E05D90">
              <w:rPr>
                <w:rFonts w:asciiTheme="minorHAnsi" w:hAnsiTheme="minorHAnsi"/>
                <w:bCs/>
                <w:color w:val="000000"/>
                <w:sz w:val="16"/>
                <w:szCs w:val="16"/>
              </w:rPr>
              <w:br/>
              <w:t>(72.8 - 84.0)</w:t>
            </w:r>
          </w:p>
        </w:tc>
      </w:tr>
      <w:tr w:rsidR="00A114BC" w:rsidRPr="00E05D90" w14:paraId="2780A200"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799875EE"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Bodily pain (BP)</w:t>
            </w:r>
          </w:p>
        </w:tc>
        <w:tc>
          <w:tcPr>
            <w:tcW w:w="895" w:type="dxa"/>
            <w:tcBorders>
              <w:top w:val="single" w:sz="4" w:space="0" w:color="auto"/>
              <w:bottom w:val="single" w:sz="4" w:space="0" w:color="auto"/>
              <w:right w:val="nil"/>
            </w:tcBorders>
            <w:shd w:val="clear" w:color="auto" w:fill="DAEEF3" w:themeFill="accent5" w:themeFillTint="33"/>
            <w:vAlign w:val="center"/>
          </w:tcPr>
          <w:p w14:paraId="68F13195"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12,582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808005E"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86.8</w:t>
            </w:r>
            <w:r w:rsidRPr="0030699B">
              <w:rPr>
                <w:rFonts w:asciiTheme="minorHAnsi" w:hAnsiTheme="minorHAnsi"/>
                <w:b/>
                <w:bCs/>
                <w:color w:val="000000"/>
                <w:sz w:val="16"/>
                <w:szCs w:val="16"/>
              </w:rPr>
              <w:br/>
              <w:t>(86.3 - 87.4)</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602C474"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6,037</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33779B9"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87.6</w:t>
            </w:r>
            <w:r w:rsidRPr="00E05D90">
              <w:rPr>
                <w:rFonts w:asciiTheme="minorHAnsi" w:hAnsiTheme="minorHAnsi"/>
                <w:bCs/>
                <w:color w:val="000000"/>
                <w:sz w:val="16"/>
                <w:szCs w:val="16"/>
              </w:rPr>
              <w:br/>
              <w:t>(86.8 - 88.4)</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245710C"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6,088</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D0E8DBC"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86.6</w:t>
            </w:r>
            <w:r w:rsidRPr="00E05D90">
              <w:rPr>
                <w:rFonts w:asciiTheme="minorHAnsi" w:hAnsiTheme="minorHAnsi"/>
                <w:bCs/>
                <w:color w:val="000000"/>
                <w:sz w:val="16"/>
                <w:szCs w:val="16"/>
              </w:rPr>
              <w:br/>
              <w:t>(85.8 - 87.3)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2603DDD"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1321597"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79.9</w:t>
            </w:r>
            <w:r w:rsidRPr="00E05D90">
              <w:rPr>
                <w:rFonts w:asciiTheme="minorHAnsi" w:hAnsiTheme="minorHAnsi"/>
                <w:bCs/>
                <w:color w:val="000000"/>
                <w:sz w:val="16"/>
                <w:szCs w:val="16"/>
              </w:rPr>
              <w:br/>
              <w:t>(75.5 - 84.2)</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972EE36"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9297BD6"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78.5</w:t>
            </w:r>
            <w:r w:rsidRPr="00E05D90">
              <w:rPr>
                <w:rFonts w:asciiTheme="minorHAnsi" w:hAnsiTheme="minorHAnsi"/>
                <w:bCs/>
                <w:color w:val="000000"/>
                <w:sz w:val="16"/>
                <w:szCs w:val="16"/>
              </w:rPr>
              <w:br/>
              <w:t>(72.7 - 84.2)</w:t>
            </w:r>
          </w:p>
        </w:tc>
      </w:tr>
      <w:tr w:rsidR="00A114BC" w:rsidRPr="00E05D90" w14:paraId="316E4528"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0CD3AB00"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General health (GH)</w:t>
            </w:r>
          </w:p>
        </w:tc>
        <w:tc>
          <w:tcPr>
            <w:tcW w:w="895" w:type="dxa"/>
            <w:tcBorders>
              <w:top w:val="single" w:sz="4" w:space="0" w:color="auto"/>
              <w:bottom w:val="single" w:sz="4" w:space="0" w:color="auto"/>
              <w:right w:val="nil"/>
            </w:tcBorders>
            <w:shd w:val="clear" w:color="auto" w:fill="DAEEF3" w:themeFill="accent5" w:themeFillTint="33"/>
            <w:vAlign w:val="center"/>
          </w:tcPr>
          <w:p w14:paraId="2F53E00A"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12,575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FC6AC96"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73.0</w:t>
            </w:r>
            <w:r w:rsidRPr="0030699B">
              <w:rPr>
                <w:rFonts w:asciiTheme="minorHAnsi" w:hAnsiTheme="minorHAnsi"/>
                <w:b/>
                <w:bCs/>
                <w:color w:val="000000"/>
                <w:sz w:val="16"/>
                <w:szCs w:val="16"/>
              </w:rPr>
              <w:br/>
              <w:t>(72.4 - 73.7)</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3D7BEDF"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6,029</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6C25CAF"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73.5</w:t>
            </w:r>
            <w:r w:rsidRPr="00E05D90">
              <w:rPr>
                <w:rFonts w:asciiTheme="minorHAnsi" w:hAnsiTheme="minorHAnsi"/>
                <w:bCs/>
                <w:color w:val="000000"/>
                <w:sz w:val="16"/>
                <w:szCs w:val="16"/>
              </w:rPr>
              <w:br/>
              <w:t>(72.6 - 74.4)</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96A8017"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6,090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5C0B603"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73.2</w:t>
            </w:r>
            <w:r w:rsidRPr="00E05D90">
              <w:rPr>
                <w:rFonts w:asciiTheme="minorHAnsi" w:hAnsiTheme="minorHAnsi"/>
                <w:bCs/>
                <w:color w:val="000000"/>
                <w:sz w:val="16"/>
                <w:szCs w:val="16"/>
              </w:rPr>
              <w:br/>
              <w:t>(72.4 - 74.0)</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D13921D"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2D95AA4"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65.8</w:t>
            </w:r>
            <w:r w:rsidRPr="00E05D90">
              <w:rPr>
                <w:rFonts w:asciiTheme="minorHAnsi" w:hAnsiTheme="minorHAnsi"/>
                <w:bCs/>
                <w:color w:val="000000"/>
                <w:sz w:val="16"/>
                <w:szCs w:val="16"/>
              </w:rPr>
              <w:br/>
              <w:t>(62.2 - 69.4)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7774C60"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6B9D005"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60.4</w:t>
            </w:r>
            <w:r w:rsidRPr="00E05D90">
              <w:rPr>
                <w:rFonts w:asciiTheme="minorHAnsi" w:hAnsiTheme="minorHAnsi"/>
                <w:bCs/>
                <w:color w:val="000000"/>
                <w:sz w:val="16"/>
                <w:szCs w:val="16"/>
              </w:rPr>
              <w:br/>
              <w:t>(54.9 - 66.0)</w:t>
            </w:r>
          </w:p>
        </w:tc>
      </w:tr>
      <w:tr w:rsidR="00A114BC" w:rsidRPr="00E05D90" w14:paraId="7D6C7D68"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6E5FD43D"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Vitality (VT)</w:t>
            </w:r>
          </w:p>
        </w:tc>
        <w:tc>
          <w:tcPr>
            <w:tcW w:w="895" w:type="dxa"/>
            <w:tcBorders>
              <w:top w:val="single" w:sz="4" w:space="0" w:color="auto"/>
              <w:bottom w:val="single" w:sz="4" w:space="0" w:color="auto"/>
              <w:right w:val="nil"/>
            </w:tcBorders>
            <w:shd w:val="clear" w:color="auto" w:fill="DAEEF3" w:themeFill="accent5" w:themeFillTint="33"/>
            <w:vAlign w:val="center"/>
          </w:tcPr>
          <w:p w14:paraId="6D5E17A7"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12,563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DBE464C"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61.1</w:t>
            </w:r>
            <w:r w:rsidRPr="0030699B">
              <w:rPr>
                <w:rFonts w:asciiTheme="minorHAnsi" w:hAnsiTheme="minorHAnsi"/>
                <w:b/>
                <w:bCs/>
                <w:color w:val="000000"/>
                <w:sz w:val="16"/>
                <w:szCs w:val="16"/>
              </w:rPr>
              <w:br/>
              <w:t>(60.5 - 61.8)</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179BA95A"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6,030</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9BCB012"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61.7</w:t>
            </w:r>
            <w:r w:rsidRPr="00E05D90">
              <w:rPr>
                <w:rFonts w:asciiTheme="minorHAnsi" w:hAnsiTheme="minorHAnsi"/>
                <w:bCs/>
                <w:color w:val="000000"/>
                <w:sz w:val="16"/>
                <w:szCs w:val="16"/>
              </w:rPr>
              <w:br/>
              <w:t>(60.8 - 62.6)</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66BB7C3A"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6,078</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199A72B"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60.9</w:t>
            </w:r>
            <w:r w:rsidRPr="00E05D90">
              <w:rPr>
                <w:rFonts w:asciiTheme="minorHAnsi" w:hAnsiTheme="minorHAnsi"/>
                <w:bCs/>
                <w:color w:val="000000"/>
                <w:sz w:val="16"/>
                <w:szCs w:val="16"/>
              </w:rPr>
              <w:br/>
              <w:t>(60.1 - 61.7)</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EAEFE41"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A5CD116"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60.4</w:t>
            </w:r>
            <w:r w:rsidRPr="00E05D90">
              <w:rPr>
                <w:rFonts w:asciiTheme="minorHAnsi" w:hAnsiTheme="minorHAnsi"/>
                <w:bCs/>
                <w:color w:val="000000"/>
                <w:sz w:val="16"/>
                <w:szCs w:val="16"/>
              </w:rPr>
              <w:br/>
              <w:t>(57.0 - 63.8)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5CE3227"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266D0FE"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49.7</w:t>
            </w:r>
            <w:r w:rsidRPr="00E05D90">
              <w:rPr>
                <w:rFonts w:asciiTheme="minorHAnsi" w:hAnsiTheme="minorHAnsi"/>
                <w:bCs/>
                <w:color w:val="000000"/>
                <w:sz w:val="16"/>
                <w:szCs w:val="16"/>
              </w:rPr>
              <w:br/>
              <w:t>(44.2 - 55.2)</w:t>
            </w:r>
          </w:p>
        </w:tc>
      </w:tr>
      <w:tr w:rsidR="00A114BC" w:rsidRPr="00E05D90" w14:paraId="16D9DBBC"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4613F684"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Social functioning (SF)</w:t>
            </w:r>
          </w:p>
        </w:tc>
        <w:tc>
          <w:tcPr>
            <w:tcW w:w="895" w:type="dxa"/>
            <w:tcBorders>
              <w:top w:val="single" w:sz="4" w:space="0" w:color="auto"/>
              <w:bottom w:val="single" w:sz="4" w:space="0" w:color="auto"/>
              <w:right w:val="nil"/>
            </w:tcBorders>
            <w:shd w:val="clear" w:color="auto" w:fill="DAEEF3" w:themeFill="accent5" w:themeFillTint="33"/>
            <w:vAlign w:val="center"/>
          </w:tcPr>
          <w:p w14:paraId="06E509FC"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12,576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BBCCED5"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92.1</w:t>
            </w:r>
            <w:r w:rsidRPr="0030699B">
              <w:rPr>
                <w:rFonts w:asciiTheme="minorHAnsi" w:hAnsiTheme="minorHAnsi"/>
                <w:b/>
                <w:bCs/>
                <w:color w:val="000000"/>
                <w:sz w:val="16"/>
                <w:szCs w:val="16"/>
              </w:rPr>
              <w:br/>
              <w:t>(91.6 - 92.6)</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5578364"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6,036</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9586E23"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91.7</w:t>
            </w:r>
            <w:r w:rsidRPr="00E05D90">
              <w:rPr>
                <w:rFonts w:asciiTheme="minorHAnsi" w:hAnsiTheme="minorHAnsi"/>
                <w:bCs/>
                <w:color w:val="000000"/>
                <w:sz w:val="16"/>
                <w:szCs w:val="16"/>
              </w:rPr>
              <w:br/>
              <w:t>(91.0 - 92.4)</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0863A9C"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6,085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883634A"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92.9</w:t>
            </w:r>
            <w:r w:rsidRPr="00E05D90">
              <w:rPr>
                <w:rFonts w:asciiTheme="minorHAnsi" w:hAnsiTheme="minorHAnsi"/>
                <w:bCs/>
                <w:color w:val="000000"/>
                <w:sz w:val="16"/>
                <w:szCs w:val="16"/>
              </w:rPr>
              <w:br/>
              <w:t>(92.3 - 93.6)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384E7F2"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CC3157E"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89.1</w:t>
            </w:r>
            <w:r w:rsidRPr="00E05D90">
              <w:rPr>
                <w:rFonts w:asciiTheme="minorHAnsi" w:hAnsiTheme="minorHAnsi"/>
                <w:bCs/>
                <w:color w:val="000000"/>
                <w:sz w:val="16"/>
                <w:szCs w:val="16"/>
              </w:rPr>
              <w:br/>
              <w:t>(86.2 - 91.9)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31C4FDF"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0311AB2"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79.1</w:t>
            </w:r>
            <w:r w:rsidRPr="00E05D90">
              <w:rPr>
                <w:rFonts w:asciiTheme="minorHAnsi" w:hAnsiTheme="minorHAnsi"/>
                <w:bCs/>
                <w:color w:val="000000"/>
                <w:sz w:val="16"/>
                <w:szCs w:val="16"/>
              </w:rPr>
              <w:br/>
              <w:t>(72.3 - 85.8)</w:t>
            </w:r>
          </w:p>
        </w:tc>
      </w:tr>
      <w:tr w:rsidR="00A114BC" w:rsidRPr="00E05D90" w14:paraId="16045E14"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3ECF7032"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Role emotional (RE)</w:t>
            </w:r>
          </w:p>
        </w:tc>
        <w:tc>
          <w:tcPr>
            <w:tcW w:w="895" w:type="dxa"/>
            <w:tcBorders>
              <w:top w:val="single" w:sz="4" w:space="0" w:color="auto"/>
              <w:bottom w:val="single" w:sz="4" w:space="0" w:color="auto"/>
              <w:right w:val="nil"/>
            </w:tcBorders>
            <w:shd w:val="clear" w:color="auto" w:fill="DAEEF3" w:themeFill="accent5" w:themeFillTint="33"/>
            <w:vAlign w:val="center"/>
          </w:tcPr>
          <w:p w14:paraId="37101125"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12,549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E6E9041"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94.0</w:t>
            </w:r>
            <w:r w:rsidRPr="0030699B">
              <w:rPr>
                <w:rFonts w:asciiTheme="minorHAnsi" w:hAnsiTheme="minorHAnsi"/>
                <w:b/>
                <w:bCs/>
                <w:color w:val="000000"/>
                <w:sz w:val="16"/>
                <w:szCs w:val="16"/>
              </w:rPr>
              <w:br/>
              <w:t>(93.6 - 94.3)</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2A10951"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6,014</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6EF646F"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93.6</w:t>
            </w:r>
            <w:r w:rsidRPr="00E05D90">
              <w:rPr>
                <w:rFonts w:asciiTheme="minorHAnsi" w:hAnsiTheme="minorHAnsi"/>
                <w:bCs/>
                <w:color w:val="000000"/>
                <w:sz w:val="16"/>
                <w:szCs w:val="16"/>
              </w:rPr>
              <w:br/>
              <w:t>(93.1 - 94.1)</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8ECC17A"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6,081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DC74647"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94.8</w:t>
            </w:r>
            <w:r w:rsidRPr="00E05D90">
              <w:rPr>
                <w:rFonts w:asciiTheme="minorHAnsi" w:hAnsiTheme="minorHAnsi"/>
                <w:bCs/>
                <w:color w:val="000000"/>
                <w:sz w:val="16"/>
                <w:szCs w:val="16"/>
              </w:rPr>
              <w:br/>
              <w:t>(94.3 - 95.2)</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0DFED48"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99EB4AE"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92.5</w:t>
            </w:r>
            <w:r w:rsidRPr="00E05D90">
              <w:rPr>
                <w:rFonts w:asciiTheme="minorHAnsi" w:hAnsiTheme="minorHAnsi"/>
                <w:bCs/>
                <w:color w:val="000000"/>
                <w:sz w:val="16"/>
                <w:szCs w:val="16"/>
              </w:rPr>
              <w:br/>
              <w:t>(90.3 - 94.6)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688642A9"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1B84A3B"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79.7</w:t>
            </w:r>
            <w:r w:rsidRPr="00E05D90">
              <w:rPr>
                <w:rFonts w:asciiTheme="minorHAnsi" w:hAnsiTheme="minorHAnsi"/>
                <w:bCs/>
                <w:color w:val="000000"/>
                <w:sz w:val="16"/>
                <w:szCs w:val="16"/>
              </w:rPr>
              <w:br/>
              <w:t>(74.9 - 84.6)</w:t>
            </w:r>
          </w:p>
        </w:tc>
      </w:tr>
      <w:tr w:rsidR="00A114BC" w:rsidRPr="00E05D90" w14:paraId="11CF4D33" w14:textId="77777777" w:rsidTr="00900A60">
        <w:trPr>
          <w:jc w:val="center"/>
        </w:trPr>
        <w:tc>
          <w:tcPr>
            <w:tcW w:w="3062" w:type="dxa"/>
            <w:tcBorders>
              <w:top w:val="single" w:sz="4" w:space="0" w:color="auto"/>
              <w:bottom w:val="dashed" w:sz="4" w:space="0" w:color="auto"/>
              <w:right w:val="single" w:sz="4" w:space="0" w:color="auto"/>
            </w:tcBorders>
            <w:shd w:val="clear" w:color="auto" w:fill="DAEEF3" w:themeFill="accent5" w:themeFillTint="33"/>
            <w:vAlign w:val="center"/>
          </w:tcPr>
          <w:p w14:paraId="4099D1ED" w14:textId="77777777" w:rsidR="00A114BC" w:rsidRPr="00E05D90" w:rsidRDefault="00A114BC" w:rsidP="00143F8D">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Mental health (MH)</w:t>
            </w:r>
          </w:p>
        </w:tc>
        <w:tc>
          <w:tcPr>
            <w:tcW w:w="895" w:type="dxa"/>
            <w:tcBorders>
              <w:top w:val="single" w:sz="4" w:space="0" w:color="auto"/>
              <w:bottom w:val="dashed" w:sz="4" w:space="0" w:color="auto"/>
              <w:right w:val="nil"/>
            </w:tcBorders>
            <w:shd w:val="clear" w:color="auto" w:fill="DAEEF3" w:themeFill="accent5" w:themeFillTint="33"/>
            <w:vAlign w:val="center"/>
          </w:tcPr>
          <w:p w14:paraId="68174577"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12,547</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5FD0D44C" w14:textId="77777777" w:rsidR="00A114BC" w:rsidRPr="0030699B" w:rsidRDefault="00A114BC" w:rsidP="006E1762">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78.0</w:t>
            </w:r>
            <w:r w:rsidRPr="0030699B">
              <w:rPr>
                <w:rFonts w:asciiTheme="minorHAnsi" w:hAnsiTheme="minorHAnsi"/>
                <w:b/>
                <w:bCs/>
                <w:color w:val="000000"/>
                <w:sz w:val="16"/>
                <w:szCs w:val="16"/>
              </w:rPr>
              <w:br/>
              <w:t>(77.6 - 78.4)</w:t>
            </w:r>
          </w:p>
        </w:tc>
        <w:tc>
          <w:tcPr>
            <w:tcW w:w="856" w:type="dxa"/>
            <w:tcBorders>
              <w:top w:val="single" w:sz="4" w:space="0" w:color="auto"/>
              <w:left w:val="single" w:sz="4" w:space="0" w:color="auto"/>
              <w:bottom w:val="dashed" w:sz="4" w:space="0" w:color="auto"/>
              <w:right w:val="nil"/>
            </w:tcBorders>
            <w:shd w:val="clear" w:color="auto" w:fill="DAEEF3" w:themeFill="accent5" w:themeFillTint="33"/>
            <w:vAlign w:val="center"/>
          </w:tcPr>
          <w:p w14:paraId="696D614A"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6,023</w:t>
            </w:r>
          </w:p>
        </w:tc>
        <w:tc>
          <w:tcPr>
            <w:tcW w:w="1063"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243A537D" w14:textId="77777777" w:rsidR="00A114BC" w:rsidRPr="00E05D90" w:rsidRDefault="00A114BC" w:rsidP="00623244">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77.9</w:t>
            </w:r>
            <w:r w:rsidRPr="00E05D90">
              <w:rPr>
                <w:rFonts w:asciiTheme="minorHAnsi" w:hAnsiTheme="minorHAnsi"/>
                <w:bCs/>
                <w:color w:val="000000"/>
                <w:sz w:val="16"/>
                <w:szCs w:val="16"/>
              </w:rPr>
              <w:br/>
              <w:t>(77.3 - 78.5)</w:t>
            </w:r>
          </w:p>
        </w:tc>
        <w:tc>
          <w:tcPr>
            <w:tcW w:w="900" w:type="dxa"/>
            <w:tcBorders>
              <w:top w:val="single" w:sz="4" w:space="0" w:color="auto"/>
              <w:left w:val="single" w:sz="4" w:space="0" w:color="auto"/>
              <w:bottom w:val="dashed" w:sz="4" w:space="0" w:color="auto"/>
              <w:right w:val="nil"/>
            </w:tcBorders>
            <w:shd w:val="clear" w:color="auto" w:fill="DAEEF3" w:themeFill="accent5" w:themeFillTint="33"/>
            <w:vAlign w:val="center"/>
          </w:tcPr>
          <w:p w14:paraId="6CA1A2B2"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6,072</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0FEB8106" w14:textId="77777777" w:rsidR="00A114BC" w:rsidRPr="00E05D90" w:rsidRDefault="00A114BC" w:rsidP="001D0DB7">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78.4</w:t>
            </w:r>
            <w:r w:rsidRPr="00E05D90">
              <w:rPr>
                <w:rFonts w:asciiTheme="minorHAnsi" w:hAnsiTheme="minorHAnsi"/>
                <w:bCs/>
                <w:color w:val="000000"/>
                <w:sz w:val="16"/>
                <w:szCs w:val="16"/>
              </w:rPr>
              <w:br/>
              <w:t>(77.9 - 78.9)</w:t>
            </w:r>
          </w:p>
        </w:tc>
        <w:tc>
          <w:tcPr>
            <w:tcW w:w="900" w:type="dxa"/>
            <w:tcBorders>
              <w:top w:val="single" w:sz="4" w:space="0" w:color="auto"/>
              <w:left w:val="nil"/>
              <w:bottom w:val="dashed" w:sz="4" w:space="0" w:color="auto"/>
              <w:right w:val="nil"/>
            </w:tcBorders>
            <w:shd w:val="clear" w:color="auto" w:fill="DAEEF3" w:themeFill="accent5" w:themeFillTint="33"/>
            <w:vAlign w:val="center"/>
          </w:tcPr>
          <w:p w14:paraId="58C18E7B"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270</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1483F395"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76.9</w:t>
            </w:r>
            <w:r w:rsidRPr="00E05D90">
              <w:rPr>
                <w:rFonts w:asciiTheme="minorHAnsi" w:hAnsiTheme="minorHAnsi"/>
                <w:bCs/>
                <w:color w:val="000000"/>
                <w:sz w:val="16"/>
                <w:szCs w:val="16"/>
              </w:rPr>
              <w:br/>
              <w:t>(74.2 - 79.6)</w:t>
            </w:r>
          </w:p>
        </w:tc>
        <w:tc>
          <w:tcPr>
            <w:tcW w:w="900" w:type="dxa"/>
            <w:tcBorders>
              <w:top w:val="single" w:sz="4" w:space="0" w:color="auto"/>
              <w:left w:val="nil"/>
              <w:bottom w:val="dashed" w:sz="4" w:space="0" w:color="auto"/>
              <w:right w:val="nil"/>
            </w:tcBorders>
            <w:shd w:val="clear" w:color="auto" w:fill="DAEEF3" w:themeFill="accent5" w:themeFillTint="33"/>
            <w:vAlign w:val="center"/>
          </w:tcPr>
          <w:p w14:paraId="25244803"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181</w:t>
            </w:r>
          </w:p>
        </w:tc>
        <w:tc>
          <w:tcPr>
            <w:tcW w:w="1080" w:type="dxa"/>
            <w:tcBorders>
              <w:top w:val="single" w:sz="4" w:space="0" w:color="auto"/>
              <w:left w:val="nil"/>
              <w:bottom w:val="dashed" w:sz="4" w:space="0" w:color="auto"/>
              <w:right w:val="single" w:sz="4" w:space="0" w:color="auto"/>
            </w:tcBorders>
            <w:shd w:val="clear" w:color="auto" w:fill="DAEEF3" w:themeFill="accent5" w:themeFillTint="33"/>
            <w:vAlign w:val="center"/>
          </w:tcPr>
          <w:p w14:paraId="7BEB6D5C" w14:textId="77777777" w:rsidR="00A114BC" w:rsidRPr="00E05D90" w:rsidRDefault="00A114BC" w:rsidP="00CD515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67.8</w:t>
            </w:r>
            <w:r w:rsidRPr="00E05D90">
              <w:rPr>
                <w:rFonts w:asciiTheme="minorHAnsi" w:hAnsiTheme="minorHAnsi"/>
                <w:bCs/>
                <w:color w:val="000000"/>
                <w:sz w:val="16"/>
                <w:szCs w:val="16"/>
              </w:rPr>
              <w:br/>
              <w:t>(63.7 - 72.0)</w:t>
            </w:r>
          </w:p>
        </w:tc>
      </w:tr>
      <w:tr w:rsidR="00A114BC" w:rsidRPr="00E05D90" w14:paraId="20544B5B" w14:textId="77777777" w:rsidTr="00E05D90">
        <w:trPr>
          <w:trHeight w:val="386"/>
          <w:jc w:val="center"/>
        </w:trPr>
        <w:tc>
          <w:tcPr>
            <w:tcW w:w="3062" w:type="dxa"/>
            <w:tcBorders>
              <w:bottom w:val="single" w:sz="4" w:space="0" w:color="auto"/>
            </w:tcBorders>
            <w:shd w:val="clear" w:color="auto" w:fill="92CDDC" w:themeFill="accent5" w:themeFillTint="99"/>
            <w:vAlign w:val="center"/>
          </w:tcPr>
          <w:p w14:paraId="58D14ADC" w14:textId="77777777" w:rsidR="00A114BC" w:rsidRPr="00E05D90" w:rsidRDefault="00E05D90" w:rsidP="00E05D90">
            <w:pPr>
              <w:spacing w:before="0" w:line="240" w:lineRule="auto"/>
              <w:jc w:val="left"/>
              <w:rPr>
                <w:rFonts w:asciiTheme="minorHAnsi" w:hAnsiTheme="minorHAnsi" w:cstheme="minorHAnsi"/>
                <w:b/>
                <w:sz w:val="16"/>
                <w:szCs w:val="16"/>
              </w:rPr>
            </w:pPr>
            <w:r w:rsidRPr="00E05D90">
              <w:rPr>
                <w:rFonts w:asciiTheme="minorHAnsi" w:hAnsiTheme="minorHAnsi" w:cstheme="minorHAnsi"/>
                <w:b/>
                <w:sz w:val="16"/>
                <w:szCs w:val="16"/>
              </w:rPr>
              <w:t>VARIABLE</w:t>
            </w:r>
          </w:p>
        </w:tc>
        <w:tc>
          <w:tcPr>
            <w:tcW w:w="895" w:type="dxa"/>
            <w:tcBorders>
              <w:bottom w:val="single" w:sz="4" w:space="0" w:color="auto"/>
            </w:tcBorders>
            <w:shd w:val="clear" w:color="auto" w:fill="92CDDC" w:themeFill="accent5" w:themeFillTint="99"/>
            <w:vAlign w:val="center"/>
          </w:tcPr>
          <w:p w14:paraId="7031AFA3"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3D2BF8A0"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tc>
        <w:tc>
          <w:tcPr>
            <w:tcW w:w="1080" w:type="dxa"/>
            <w:tcBorders>
              <w:bottom w:val="single" w:sz="4" w:space="0" w:color="auto"/>
            </w:tcBorders>
            <w:shd w:val="clear" w:color="auto" w:fill="92CDDC" w:themeFill="accent5" w:themeFillTint="99"/>
            <w:vAlign w:val="center"/>
          </w:tcPr>
          <w:p w14:paraId="5AEDE811"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w:t>
            </w:r>
          </w:p>
          <w:p w14:paraId="73ECBB20"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856" w:type="dxa"/>
            <w:tcBorders>
              <w:bottom w:val="single" w:sz="4" w:space="0" w:color="auto"/>
            </w:tcBorders>
            <w:shd w:val="clear" w:color="auto" w:fill="92CDDC" w:themeFill="accent5" w:themeFillTint="99"/>
            <w:vAlign w:val="center"/>
          </w:tcPr>
          <w:p w14:paraId="5BD3AA7E"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624084F4"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tc>
        <w:tc>
          <w:tcPr>
            <w:tcW w:w="1063" w:type="dxa"/>
            <w:tcBorders>
              <w:bottom w:val="single" w:sz="4" w:space="0" w:color="auto"/>
            </w:tcBorders>
            <w:shd w:val="clear" w:color="auto" w:fill="92CDDC" w:themeFill="accent5" w:themeFillTint="99"/>
            <w:vAlign w:val="center"/>
          </w:tcPr>
          <w:p w14:paraId="60397508"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w:t>
            </w:r>
          </w:p>
          <w:p w14:paraId="174B9F6E"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4B300B8A"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0D37790A"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tc>
        <w:tc>
          <w:tcPr>
            <w:tcW w:w="1080" w:type="dxa"/>
            <w:tcBorders>
              <w:bottom w:val="single" w:sz="4" w:space="0" w:color="auto"/>
            </w:tcBorders>
            <w:shd w:val="clear" w:color="auto" w:fill="92CDDC" w:themeFill="accent5" w:themeFillTint="99"/>
            <w:vAlign w:val="center"/>
          </w:tcPr>
          <w:p w14:paraId="242B282F"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w:t>
            </w:r>
          </w:p>
          <w:p w14:paraId="26B16BB7"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7F7E20BF"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24BB345A"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tc>
        <w:tc>
          <w:tcPr>
            <w:tcW w:w="1080" w:type="dxa"/>
            <w:tcBorders>
              <w:bottom w:val="single" w:sz="4" w:space="0" w:color="auto"/>
            </w:tcBorders>
            <w:shd w:val="clear" w:color="auto" w:fill="92CDDC" w:themeFill="accent5" w:themeFillTint="99"/>
            <w:vAlign w:val="center"/>
          </w:tcPr>
          <w:p w14:paraId="3CD42900"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w:t>
            </w:r>
          </w:p>
          <w:p w14:paraId="3235C9B4"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c>
          <w:tcPr>
            <w:tcW w:w="900" w:type="dxa"/>
            <w:tcBorders>
              <w:bottom w:val="single" w:sz="4" w:space="0" w:color="auto"/>
            </w:tcBorders>
            <w:shd w:val="clear" w:color="auto" w:fill="92CDDC" w:themeFill="accent5" w:themeFillTint="99"/>
            <w:vAlign w:val="center"/>
          </w:tcPr>
          <w:p w14:paraId="5487DD06"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p w14:paraId="7B3718D3"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(N)</w:t>
            </w:r>
          </w:p>
        </w:tc>
        <w:tc>
          <w:tcPr>
            <w:tcW w:w="1080" w:type="dxa"/>
            <w:tcBorders>
              <w:bottom w:val="single" w:sz="4" w:space="0" w:color="auto"/>
            </w:tcBorders>
            <w:shd w:val="clear" w:color="auto" w:fill="92CDDC" w:themeFill="accent5" w:themeFillTint="99"/>
            <w:vAlign w:val="center"/>
          </w:tcPr>
          <w:p w14:paraId="0BC05B34"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w:t>
            </w:r>
          </w:p>
          <w:p w14:paraId="6D7799CD" w14:textId="77777777" w:rsidR="00A114BC" w:rsidRPr="00E05D90" w:rsidRDefault="00A114BC" w:rsidP="002A3BD6">
            <w:pPr>
              <w:spacing w:before="0" w:line="240" w:lineRule="auto"/>
              <w:jc w:val="center"/>
              <w:rPr>
                <w:rFonts w:asciiTheme="minorHAnsi" w:hAnsiTheme="minorHAnsi" w:cstheme="minorHAnsi"/>
                <w:b/>
                <w:sz w:val="16"/>
                <w:szCs w:val="16"/>
              </w:rPr>
            </w:pPr>
            <w:r w:rsidRPr="00E05D90">
              <w:rPr>
                <w:rFonts w:asciiTheme="minorHAnsi" w:hAnsiTheme="minorHAnsi" w:cstheme="minorHAnsi"/>
                <w:b/>
                <w:sz w:val="16"/>
                <w:szCs w:val="16"/>
              </w:rPr>
              <w:t>(95% CI)</w:t>
            </w:r>
          </w:p>
        </w:tc>
      </w:tr>
      <w:tr w:rsidR="00A114BC" w:rsidRPr="00E05D90" w14:paraId="540BC904"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5CDB9B87"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General Health self-rated as fair/poor</w:t>
            </w:r>
          </w:p>
        </w:tc>
        <w:tc>
          <w:tcPr>
            <w:tcW w:w="895" w:type="dxa"/>
            <w:tcBorders>
              <w:top w:val="single" w:sz="4" w:space="0" w:color="auto"/>
              <w:bottom w:val="single" w:sz="4" w:space="0" w:color="auto"/>
              <w:right w:val="nil"/>
            </w:tcBorders>
            <w:shd w:val="clear" w:color="auto" w:fill="DAEEF3" w:themeFill="accent5" w:themeFillTint="33"/>
            <w:vAlign w:val="center"/>
          </w:tcPr>
          <w:p w14:paraId="6FEA7018"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1,643</w:t>
            </w:r>
          </w:p>
          <w:p w14:paraId="0FDB31B2"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(12,576)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70E3F92"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10.7</w:t>
            </w:r>
            <w:r w:rsidRPr="0030699B">
              <w:rPr>
                <w:rFonts w:asciiTheme="minorHAnsi" w:hAnsiTheme="minorHAnsi"/>
                <w:b/>
                <w:bCs/>
                <w:color w:val="000000"/>
                <w:sz w:val="16"/>
                <w:szCs w:val="16"/>
              </w:rPr>
              <w:br/>
              <w:t>(10.0 - 11.4)</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8A9AFF0"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797</w:t>
            </w:r>
          </w:p>
          <w:p w14:paraId="10CF533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(1,643)</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CB94F2E"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10.6</w:t>
            </w:r>
            <w:r w:rsidRPr="00E05D90">
              <w:rPr>
                <w:rFonts w:asciiTheme="minorHAnsi" w:hAnsiTheme="minorHAnsi"/>
                <w:bCs/>
                <w:color w:val="000000"/>
                <w:sz w:val="16"/>
                <w:szCs w:val="16"/>
              </w:rPr>
              <w:br/>
              <w:t>(9.6 - 11.6)</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6C1F99D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743</w:t>
            </w:r>
          </w:p>
          <w:p w14:paraId="135E7A65"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(1,643)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A8A36B4"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10.2</w:t>
            </w:r>
            <w:r w:rsidRPr="00E05D90">
              <w:rPr>
                <w:rFonts w:asciiTheme="minorHAnsi" w:hAnsiTheme="minorHAnsi"/>
                <w:bCs/>
                <w:color w:val="000000"/>
                <w:sz w:val="16"/>
                <w:szCs w:val="16"/>
              </w:rPr>
              <w:br/>
              <w:t>(9.2 - 11.2)</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3617235"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50</w:t>
            </w:r>
          </w:p>
          <w:p w14:paraId="1C67146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(1,643)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98763C7"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14.6</w:t>
            </w:r>
            <w:r w:rsidRPr="00E05D90">
              <w:rPr>
                <w:rFonts w:asciiTheme="minorHAnsi" w:hAnsiTheme="minorHAnsi"/>
                <w:bCs/>
                <w:color w:val="000000"/>
                <w:sz w:val="16"/>
                <w:szCs w:val="16"/>
              </w:rPr>
              <w:br/>
              <w:t>(9.9 - 19.2)</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1A0B9C64"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53</w:t>
            </w:r>
          </w:p>
          <w:p w14:paraId="4A7B6CA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(1,643)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C048268"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27.0</w:t>
            </w:r>
            <w:r w:rsidRPr="00E05D90">
              <w:rPr>
                <w:rFonts w:asciiTheme="minorHAnsi" w:hAnsiTheme="minorHAnsi"/>
                <w:bCs/>
                <w:color w:val="000000"/>
                <w:sz w:val="16"/>
                <w:szCs w:val="16"/>
              </w:rPr>
              <w:br/>
              <w:t>(18.4 - 35.5)</w:t>
            </w:r>
          </w:p>
        </w:tc>
      </w:tr>
      <w:tr w:rsidR="00A114BC" w:rsidRPr="00E05D90" w14:paraId="3A17CFC9"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632B7465" w14:textId="77777777" w:rsidR="00A114BC" w:rsidRPr="00E05D90" w:rsidRDefault="00A114BC" w:rsidP="00E05D90">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K10</w:t>
            </w:r>
            <w:r w:rsidR="00E05D90" w:rsidRPr="00E05D90">
              <w:rPr>
                <w:rFonts w:asciiTheme="minorHAnsi" w:hAnsiTheme="minorHAnsi" w:cstheme="minorHAnsi"/>
                <w:sz w:val="16"/>
                <w:szCs w:val="16"/>
              </w:rPr>
              <w:t xml:space="preserve"> </w:t>
            </w:r>
            <w:r w:rsidRPr="00E05D90">
              <w:rPr>
                <w:rFonts w:asciiTheme="minorHAnsi" w:hAnsiTheme="minorHAnsi" w:cstheme="minorHAnsi"/>
                <w:sz w:val="16"/>
                <w:szCs w:val="16"/>
              </w:rPr>
              <w:t>– high/very high probability of anxiety or depressive disorder</w:t>
            </w:r>
          </w:p>
        </w:tc>
        <w:tc>
          <w:tcPr>
            <w:tcW w:w="895" w:type="dxa"/>
            <w:tcBorders>
              <w:top w:val="single" w:sz="4" w:space="0" w:color="auto"/>
              <w:bottom w:val="single" w:sz="4" w:space="0" w:color="auto"/>
              <w:right w:val="nil"/>
            </w:tcBorders>
            <w:shd w:val="clear" w:color="auto" w:fill="DAEEF3" w:themeFill="accent5" w:themeFillTint="33"/>
            <w:vAlign w:val="center"/>
          </w:tcPr>
          <w:p w14:paraId="151D2DA5"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827</w:t>
            </w:r>
          </w:p>
          <w:p w14:paraId="1B6CDC7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(12,564)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A51E286"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5.6</w:t>
            </w:r>
            <w:r w:rsidRPr="0030699B">
              <w:rPr>
                <w:rFonts w:asciiTheme="minorHAnsi" w:hAnsiTheme="minorHAnsi"/>
                <w:b/>
                <w:bCs/>
                <w:color w:val="000000"/>
                <w:sz w:val="16"/>
                <w:szCs w:val="16"/>
              </w:rPr>
              <w:br/>
              <w:t>(5.0 - 6.1)</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26BF1B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410</w:t>
            </w:r>
          </w:p>
          <w:p w14:paraId="3225CF4E"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(827)</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F8EAFA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5.8</w:t>
            </w:r>
            <w:r w:rsidRPr="00E05D90">
              <w:rPr>
                <w:rFonts w:asciiTheme="minorHAnsi" w:hAnsiTheme="minorHAnsi"/>
                <w:bCs/>
                <w:color w:val="000000"/>
                <w:sz w:val="16"/>
                <w:szCs w:val="16"/>
              </w:rPr>
              <w:br/>
              <w:t>(5.0 - 6.6)</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FF6D04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324</w:t>
            </w:r>
          </w:p>
          <w:p w14:paraId="4AA1DA09"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(827)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E3670B9"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4.6</w:t>
            </w:r>
            <w:r w:rsidRPr="00E05D90">
              <w:rPr>
                <w:rFonts w:asciiTheme="minorHAnsi" w:hAnsiTheme="minorHAnsi"/>
                <w:bCs/>
                <w:color w:val="000000"/>
                <w:sz w:val="16"/>
                <w:szCs w:val="16"/>
              </w:rPr>
              <w:br/>
              <w:t>(3.9 - 5.3)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98F40C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46</w:t>
            </w:r>
          </w:p>
          <w:p w14:paraId="17B5B8E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(827)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183A494"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11.7</w:t>
            </w:r>
            <w:r w:rsidRPr="00E05D90">
              <w:rPr>
                <w:rFonts w:asciiTheme="minorHAnsi" w:hAnsiTheme="minorHAnsi"/>
                <w:bCs/>
                <w:color w:val="000000"/>
                <w:sz w:val="16"/>
                <w:szCs w:val="16"/>
              </w:rPr>
              <w:br/>
              <w:t>(7.5 - 15.8)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24D84C1"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47</w:t>
            </w:r>
          </w:p>
          <w:p w14:paraId="12EAA26E"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(827)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E65FFE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28.2</w:t>
            </w:r>
            <w:r w:rsidRPr="00E05D90">
              <w:rPr>
                <w:rFonts w:asciiTheme="minorHAnsi" w:hAnsiTheme="minorHAnsi"/>
                <w:bCs/>
                <w:color w:val="000000"/>
                <w:sz w:val="16"/>
                <w:szCs w:val="16"/>
              </w:rPr>
              <w:br/>
              <w:t>(19.0 - 37.4)</w:t>
            </w:r>
          </w:p>
        </w:tc>
      </w:tr>
      <w:tr w:rsidR="00A114BC" w:rsidRPr="00E05D90" w14:paraId="42F2A22F" w14:textId="77777777" w:rsidTr="001D0DB7">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3E8B1DB3"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Common mental disorder (depression/bi-polar/anxiety)</w:t>
            </w:r>
          </w:p>
        </w:tc>
        <w:tc>
          <w:tcPr>
            <w:tcW w:w="895" w:type="dxa"/>
            <w:tcBorders>
              <w:top w:val="single" w:sz="4" w:space="0" w:color="auto"/>
              <w:bottom w:val="single" w:sz="4" w:space="0" w:color="auto"/>
              <w:right w:val="nil"/>
            </w:tcBorders>
            <w:shd w:val="clear" w:color="auto" w:fill="DAEEF3" w:themeFill="accent5" w:themeFillTint="33"/>
            <w:vAlign w:val="center"/>
          </w:tcPr>
          <w:p w14:paraId="79FF2108"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2,273</w:t>
            </w:r>
          </w:p>
          <w:p w14:paraId="4BA33B46"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(12,559)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025C09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16.2</w:t>
            </w:r>
            <w:r w:rsidRPr="0030699B">
              <w:rPr>
                <w:rFonts w:asciiTheme="minorHAnsi" w:hAnsiTheme="minorHAnsi"/>
                <w:b/>
                <w:bCs/>
                <w:color w:val="000000"/>
                <w:sz w:val="16"/>
                <w:szCs w:val="16"/>
              </w:rPr>
              <w:br/>
              <w:t>(15.3 - 17.1)</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359A091"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1,081</w:t>
            </w:r>
          </w:p>
          <w:p w14:paraId="3071BA5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(2,273)</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607338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15.7</w:t>
            </w:r>
            <w:r w:rsidRPr="00E05D90">
              <w:rPr>
                <w:rFonts w:asciiTheme="minorHAnsi" w:hAnsiTheme="minorHAnsi"/>
                <w:bCs/>
                <w:color w:val="000000"/>
                <w:sz w:val="16"/>
                <w:szCs w:val="16"/>
              </w:rPr>
              <w:br/>
              <w:t>(14.5 - 17.0)</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D50FFF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1,080</w:t>
            </w:r>
          </w:p>
          <w:p w14:paraId="177951F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(2,273)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44B693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16.2</w:t>
            </w:r>
            <w:r w:rsidRPr="00E05D90">
              <w:rPr>
                <w:rFonts w:asciiTheme="minorHAnsi" w:hAnsiTheme="minorHAnsi"/>
                <w:bCs/>
                <w:color w:val="000000"/>
                <w:sz w:val="16"/>
                <w:szCs w:val="16"/>
              </w:rPr>
              <w:br/>
              <w:t>(15.0 - 17.4)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C1165E8"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59</w:t>
            </w:r>
          </w:p>
          <w:p w14:paraId="427F752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(2,273)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EBF6850"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18.5</w:t>
            </w:r>
            <w:r w:rsidRPr="00E05D90">
              <w:rPr>
                <w:rFonts w:asciiTheme="minorHAnsi" w:hAnsiTheme="minorHAnsi"/>
                <w:bCs/>
                <w:color w:val="000000"/>
                <w:sz w:val="16"/>
                <w:szCs w:val="16"/>
              </w:rPr>
              <w:br/>
              <w:t>(12.3 - 24.8)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00118F8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53</w:t>
            </w:r>
          </w:p>
          <w:p w14:paraId="3CBC901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(2,273)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8F10FA9"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30.8</w:t>
            </w:r>
            <w:r w:rsidRPr="00E05D90">
              <w:rPr>
                <w:rFonts w:asciiTheme="minorHAnsi" w:hAnsiTheme="minorHAnsi"/>
                <w:bCs/>
                <w:color w:val="000000"/>
                <w:sz w:val="16"/>
                <w:szCs w:val="16"/>
              </w:rPr>
              <w:br/>
              <w:t>(21.5 - 40.0)</w:t>
            </w:r>
          </w:p>
        </w:tc>
      </w:tr>
      <w:tr w:rsidR="00A114BC" w:rsidRPr="00E05D90" w14:paraId="1C43BF90"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7144AC1B"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Depression</w:t>
            </w:r>
          </w:p>
        </w:tc>
        <w:tc>
          <w:tcPr>
            <w:tcW w:w="895" w:type="dxa"/>
            <w:tcBorders>
              <w:top w:val="single" w:sz="4" w:space="0" w:color="auto"/>
              <w:bottom w:val="single" w:sz="4" w:space="0" w:color="auto"/>
              <w:right w:val="nil"/>
            </w:tcBorders>
            <w:shd w:val="clear" w:color="auto" w:fill="DAEEF3" w:themeFill="accent5" w:themeFillTint="33"/>
            <w:vAlign w:val="center"/>
          </w:tcPr>
          <w:p w14:paraId="728B692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2,011</w:t>
            </w:r>
          </w:p>
          <w:p w14:paraId="694D621E"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(12,580)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8BA0338"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14.2</w:t>
            </w:r>
            <w:r w:rsidRPr="0030699B">
              <w:rPr>
                <w:rFonts w:asciiTheme="minorHAnsi" w:hAnsiTheme="minorHAnsi"/>
                <w:b/>
                <w:bCs/>
                <w:color w:val="000000"/>
                <w:sz w:val="16"/>
                <w:szCs w:val="16"/>
              </w:rPr>
              <w:br/>
              <w:t>(13.4 - 15.1)</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731A71E1"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961</w:t>
            </w:r>
          </w:p>
          <w:p w14:paraId="588FAC37"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(2,011)</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ACE8DF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13.9</w:t>
            </w:r>
            <w:r w:rsidRPr="00E05D90">
              <w:rPr>
                <w:rFonts w:asciiTheme="minorHAnsi" w:hAnsiTheme="minorHAnsi"/>
                <w:bCs/>
                <w:color w:val="000000"/>
                <w:sz w:val="16"/>
                <w:szCs w:val="16"/>
              </w:rPr>
              <w:br/>
              <w:t>(12.7 - 15.1)</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1297B0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949</w:t>
            </w:r>
          </w:p>
          <w:p w14:paraId="2F626349"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(2,011)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C87BEE2"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14.1</w:t>
            </w:r>
            <w:r w:rsidRPr="00E05D90">
              <w:rPr>
                <w:rFonts w:asciiTheme="minorHAnsi" w:hAnsiTheme="minorHAnsi"/>
                <w:bCs/>
                <w:color w:val="000000"/>
                <w:sz w:val="16"/>
                <w:szCs w:val="16"/>
              </w:rPr>
              <w:br/>
              <w:t>(13.0 - 15.3)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EB2E7D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53</w:t>
            </w:r>
          </w:p>
          <w:p w14:paraId="2075DFFB"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(2,011)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51E59B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14.9</w:t>
            </w:r>
            <w:r w:rsidRPr="00E05D90">
              <w:rPr>
                <w:rFonts w:asciiTheme="minorHAnsi" w:hAnsiTheme="minorHAnsi"/>
                <w:bCs/>
                <w:color w:val="000000"/>
                <w:sz w:val="16"/>
                <w:szCs w:val="16"/>
              </w:rPr>
              <w:br/>
              <w:t>(10.0 - 19.8)</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8652197"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48</w:t>
            </w:r>
          </w:p>
          <w:p w14:paraId="3AC682B6"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(2,011)</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C914653"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29.5</w:t>
            </w:r>
            <w:r w:rsidRPr="00E05D90">
              <w:rPr>
                <w:rFonts w:asciiTheme="minorHAnsi" w:hAnsiTheme="minorHAnsi"/>
                <w:bCs/>
                <w:color w:val="000000"/>
                <w:sz w:val="16"/>
                <w:szCs w:val="16"/>
              </w:rPr>
              <w:br/>
              <w:t>(20.3 - 38.8)</w:t>
            </w:r>
          </w:p>
        </w:tc>
      </w:tr>
      <w:tr w:rsidR="00A114BC" w:rsidRPr="00E05D90" w14:paraId="1A334A52" w14:textId="77777777" w:rsidTr="001D0DB7">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6E18AFE2"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Bi-polar disorder</w:t>
            </w:r>
          </w:p>
        </w:tc>
        <w:tc>
          <w:tcPr>
            <w:tcW w:w="895" w:type="dxa"/>
            <w:tcBorders>
              <w:top w:val="single" w:sz="4" w:space="0" w:color="auto"/>
              <w:bottom w:val="single" w:sz="4" w:space="0" w:color="auto"/>
              <w:right w:val="nil"/>
            </w:tcBorders>
            <w:shd w:val="clear" w:color="auto" w:fill="DAEEF3" w:themeFill="accent5" w:themeFillTint="33"/>
            <w:vAlign w:val="center"/>
          </w:tcPr>
          <w:p w14:paraId="4420504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143</w:t>
            </w:r>
          </w:p>
          <w:p w14:paraId="26B3E831"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(12,575)</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EDF6F1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0.9</w:t>
            </w:r>
            <w:r w:rsidRPr="0030699B">
              <w:rPr>
                <w:rFonts w:asciiTheme="minorHAnsi" w:hAnsiTheme="minorHAnsi"/>
                <w:b/>
                <w:bCs/>
                <w:color w:val="000000"/>
                <w:sz w:val="16"/>
                <w:szCs w:val="16"/>
              </w:rPr>
              <w:br/>
              <w:t>(0.7 - 1.0)</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CB50C7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81</w:t>
            </w:r>
          </w:p>
          <w:p w14:paraId="08ACD00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(143)</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8B68F36"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w:t>
            </w:r>
            <w:r w:rsidRPr="00E05D90">
              <w:rPr>
                <w:rFonts w:asciiTheme="minorHAnsi" w:hAnsiTheme="minorHAnsi"/>
                <w:bCs/>
                <w:color w:val="000000"/>
                <w:sz w:val="16"/>
                <w:szCs w:val="16"/>
              </w:rPr>
              <w:br/>
              <w:t>(0.7 - 1.3)</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EA0FA8F"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52</w:t>
            </w:r>
          </w:p>
          <w:p w14:paraId="40B92806"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A41537C"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0.7</w:t>
            </w:r>
            <w:r w:rsidRPr="00E05D90">
              <w:rPr>
                <w:rFonts w:asciiTheme="minorHAnsi" w:hAnsiTheme="minorHAnsi"/>
                <w:bCs/>
                <w:color w:val="000000"/>
                <w:sz w:val="16"/>
                <w:szCs w:val="16"/>
              </w:rPr>
              <w:br/>
              <w:t>(0.4 - 0.9)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72C85B3" w14:textId="77777777" w:rsidR="00A114BC" w:rsidRPr="00E05D90" w:rsidRDefault="00A114BC" w:rsidP="00E0056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2121312" w14:textId="77777777" w:rsidR="00A114BC" w:rsidRPr="00E05D90" w:rsidRDefault="00A114BC" w:rsidP="00E0056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6A727AB8" w14:textId="77777777" w:rsidR="00A114BC" w:rsidRPr="00E05D90" w:rsidRDefault="00A114BC" w:rsidP="00E0056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&lt;30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44DAD53C" w14:textId="77777777" w:rsidR="00A114BC" w:rsidRPr="00E05D90" w:rsidRDefault="00A114BC" w:rsidP="00E0056C">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w:t>
            </w:r>
          </w:p>
        </w:tc>
      </w:tr>
      <w:tr w:rsidR="00A114BC" w:rsidRPr="00E05D90" w14:paraId="43B5E2FE" w14:textId="77777777" w:rsidTr="001D0DB7">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3CB6F85E" w14:textId="77777777" w:rsidR="00A114BC" w:rsidRPr="00E05D90" w:rsidRDefault="00A114BC"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E05D90">
              <w:rPr>
                <w:rFonts w:asciiTheme="minorHAnsi" w:hAnsiTheme="minorHAnsi" w:cstheme="minorHAnsi"/>
                <w:sz w:val="16"/>
                <w:szCs w:val="16"/>
              </w:rPr>
              <w:t>Anxiety disorder</w:t>
            </w:r>
          </w:p>
        </w:tc>
        <w:tc>
          <w:tcPr>
            <w:tcW w:w="895" w:type="dxa"/>
            <w:tcBorders>
              <w:top w:val="single" w:sz="4" w:space="0" w:color="auto"/>
              <w:bottom w:val="single" w:sz="4" w:space="0" w:color="auto"/>
              <w:right w:val="nil"/>
            </w:tcBorders>
            <w:shd w:val="clear" w:color="auto" w:fill="DAEEF3" w:themeFill="accent5" w:themeFillTint="33"/>
            <w:vAlign w:val="center"/>
          </w:tcPr>
          <w:p w14:paraId="5262FA0D"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843</w:t>
            </w:r>
          </w:p>
          <w:p w14:paraId="3A1F9EA3"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(12,584)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A15ABDA" w14:textId="77777777" w:rsidR="00A114BC" w:rsidRPr="0030699B" w:rsidRDefault="00A114BC" w:rsidP="00A310A6">
            <w:pPr>
              <w:spacing w:before="0" w:line="240" w:lineRule="auto"/>
              <w:jc w:val="center"/>
              <w:rPr>
                <w:rFonts w:asciiTheme="minorHAnsi" w:hAnsiTheme="minorHAnsi"/>
                <w:b/>
                <w:bCs/>
                <w:color w:val="000000"/>
                <w:sz w:val="16"/>
                <w:szCs w:val="16"/>
              </w:rPr>
            </w:pPr>
            <w:r w:rsidRPr="0030699B">
              <w:rPr>
                <w:rFonts w:asciiTheme="minorHAnsi" w:hAnsiTheme="minorHAnsi"/>
                <w:b/>
                <w:bCs/>
                <w:color w:val="000000"/>
                <w:sz w:val="16"/>
                <w:szCs w:val="16"/>
              </w:rPr>
              <w:t>6.1</w:t>
            </w:r>
            <w:r w:rsidRPr="0030699B">
              <w:rPr>
                <w:rFonts w:asciiTheme="minorHAnsi" w:hAnsiTheme="minorHAnsi"/>
                <w:b/>
                <w:bCs/>
                <w:color w:val="000000"/>
                <w:sz w:val="16"/>
                <w:szCs w:val="16"/>
              </w:rPr>
              <w:br/>
              <w:t>(5.5 - 6.7)</w:t>
            </w:r>
          </w:p>
        </w:tc>
        <w:tc>
          <w:tcPr>
            <w:tcW w:w="856"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C6EC5D3"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386</w:t>
            </w:r>
          </w:p>
          <w:p w14:paraId="20A8249E"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(843)</w:t>
            </w:r>
          </w:p>
        </w:tc>
        <w:tc>
          <w:tcPr>
            <w:tcW w:w="1063"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D9189A0"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6.0</w:t>
            </w:r>
            <w:r w:rsidRPr="00E05D90">
              <w:rPr>
                <w:rFonts w:asciiTheme="minorHAnsi" w:hAnsiTheme="minorHAnsi"/>
                <w:bCs/>
                <w:color w:val="000000"/>
                <w:sz w:val="16"/>
                <w:szCs w:val="16"/>
              </w:rPr>
              <w:br/>
              <w:t>(5.1 - 6.8)</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359C33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411</w:t>
            </w:r>
          </w:p>
          <w:p w14:paraId="25A3448A"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3892C04"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6.1</w:t>
            </w:r>
            <w:r w:rsidRPr="00E05D90">
              <w:rPr>
                <w:rFonts w:asciiTheme="minorHAnsi" w:hAnsiTheme="minorHAnsi"/>
                <w:bCs/>
                <w:color w:val="000000"/>
                <w:sz w:val="16"/>
                <w:szCs w:val="16"/>
              </w:rPr>
              <w:br/>
              <w:t>(5.2 - 6.9)</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406A4CAD"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28</w:t>
            </w:r>
          </w:p>
          <w:p w14:paraId="490C5DAB"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A723445"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9.3</w:t>
            </w:r>
            <w:r w:rsidRPr="00E05D90">
              <w:rPr>
                <w:rFonts w:asciiTheme="minorHAnsi" w:hAnsiTheme="minorHAnsi"/>
                <w:bCs/>
                <w:color w:val="000000"/>
                <w:sz w:val="16"/>
                <w:szCs w:val="16"/>
              </w:rPr>
              <w:br/>
              <w:t>(4.4 - 14.3)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0A4C4264"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18</w:t>
            </w:r>
          </w:p>
          <w:p w14:paraId="2A9BAB9B"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(843)</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1131268" w14:textId="77777777" w:rsidR="00A114BC" w:rsidRPr="00E05D90" w:rsidRDefault="00A114BC" w:rsidP="00A310A6">
            <w:pPr>
              <w:spacing w:before="0" w:line="240" w:lineRule="auto"/>
              <w:jc w:val="center"/>
              <w:rPr>
                <w:rFonts w:asciiTheme="minorHAnsi" w:hAnsiTheme="minorHAnsi"/>
                <w:bCs/>
                <w:color w:val="000000"/>
                <w:sz w:val="16"/>
                <w:szCs w:val="16"/>
              </w:rPr>
            </w:pPr>
            <w:r w:rsidRPr="00E05D90">
              <w:rPr>
                <w:rFonts w:asciiTheme="minorHAnsi" w:hAnsiTheme="minorHAnsi"/>
                <w:bCs/>
                <w:color w:val="000000"/>
                <w:sz w:val="16"/>
                <w:szCs w:val="16"/>
              </w:rPr>
              <w:t>10.2</w:t>
            </w:r>
            <w:r w:rsidRPr="00E05D90">
              <w:rPr>
                <w:rFonts w:asciiTheme="minorHAnsi" w:hAnsiTheme="minorHAnsi"/>
                <w:bCs/>
                <w:color w:val="000000"/>
                <w:sz w:val="16"/>
                <w:szCs w:val="16"/>
              </w:rPr>
              <w:br/>
              <w:t>(4.1 - 16.3)</w:t>
            </w:r>
          </w:p>
        </w:tc>
      </w:tr>
    </w:tbl>
    <w:p w14:paraId="33D2017E" w14:textId="77777777" w:rsidR="0030699B" w:rsidRDefault="006657F0" w:rsidP="0030699B">
      <w:pPr>
        <w:tabs>
          <w:tab w:val="left" w:pos="1134"/>
        </w:tabs>
        <w:spacing w:before="0" w:line="240" w:lineRule="auto"/>
        <w:ind w:left="426"/>
        <w:rPr>
          <w:rFonts w:asciiTheme="minorHAnsi" w:hAnsiTheme="minorHAnsi" w:cstheme="minorHAnsi"/>
          <w:sz w:val="16"/>
        </w:rPr>
      </w:pPr>
      <w:r w:rsidRPr="00AF3A24">
        <w:rPr>
          <w:rFonts w:asciiTheme="minorHAnsi" w:hAnsiTheme="minorHAnsi" w:cstheme="minorHAnsi"/>
          <w:sz w:val="16"/>
        </w:rPr>
        <w:t>Notes:</w:t>
      </w:r>
      <w:r w:rsidR="00F41793">
        <w:rPr>
          <w:rFonts w:asciiTheme="minorHAnsi" w:hAnsiTheme="minorHAnsi" w:cstheme="minorHAnsi"/>
          <w:sz w:val="16"/>
        </w:rPr>
        <w:t xml:space="preserve"> </w:t>
      </w:r>
      <w:r w:rsidR="0030699B">
        <w:rPr>
          <w:rFonts w:asciiTheme="minorHAnsi" w:hAnsiTheme="minorHAnsi" w:cstheme="minorHAnsi"/>
          <w:sz w:val="16"/>
        </w:rPr>
        <w:tab/>
      </w:r>
      <w:r w:rsidR="00F41793">
        <w:rPr>
          <w:rFonts w:asciiTheme="minorHAnsi" w:hAnsiTheme="minorHAnsi" w:cstheme="minorHAnsi"/>
          <w:sz w:val="16"/>
        </w:rPr>
        <w:t xml:space="preserve">1. </w:t>
      </w:r>
      <w:r w:rsidRPr="00AF3A24">
        <w:rPr>
          <w:rFonts w:asciiTheme="minorHAnsi" w:hAnsiTheme="minorHAnsi" w:cstheme="minorHAnsi"/>
          <w:sz w:val="16"/>
        </w:rPr>
        <w:t>Source: 2011/12 New Zealand Health Survey.</w:t>
      </w:r>
    </w:p>
    <w:p w14:paraId="1A9002BC" w14:textId="77777777" w:rsidR="006657F0" w:rsidRPr="00AF3A24" w:rsidRDefault="0030699B" w:rsidP="0030699B">
      <w:pPr>
        <w:tabs>
          <w:tab w:val="left" w:pos="1134"/>
        </w:tabs>
        <w:spacing w:before="0" w:line="240" w:lineRule="auto"/>
        <w:ind w:left="142"/>
        <w:rPr>
          <w:rFonts w:asciiTheme="minorHAnsi" w:hAnsiTheme="minorHAnsi" w:cstheme="minorHAnsi"/>
          <w:sz w:val="16"/>
        </w:rPr>
      </w:pPr>
      <w:r>
        <w:rPr>
          <w:rFonts w:asciiTheme="minorHAnsi" w:hAnsiTheme="minorHAnsi" w:cstheme="minorHAnsi"/>
          <w:sz w:val="16"/>
        </w:rPr>
        <w:tab/>
      </w:r>
      <w:r w:rsidR="00F41793">
        <w:rPr>
          <w:rFonts w:asciiTheme="minorHAnsi" w:hAnsiTheme="minorHAnsi" w:cstheme="minorHAnsi"/>
          <w:sz w:val="16"/>
        </w:rPr>
        <w:t xml:space="preserve">2. </w:t>
      </w:r>
      <w:r w:rsidR="006657F0" w:rsidRPr="00AF3A24">
        <w:rPr>
          <w:rFonts w:asciiTheme="minorHAnsi" w:hAnsiTheme="minorHAnsi" w:cstheme="minorHAnsi"/>
          <w:sz w:val="16"/>
        </w:rPr>
        <w:t>Due to small cell sizes / denominators (n&lt;30), the ‘problem’ and ‘moderate-risk’ categories have been combined to enable their inclusion in these analyses.</w:t>
      </w:r>
    </w:p>
    <w:p w14:paraId="21C5B679" w14:textId="5CBFC1FD" w:rsidR="006657F0" w:rsidRPr="00AF3A24" w:rsidRDefault="006657F0" w:rsidP="006657F0">
      <w:pPr>
        <w:pStyle w:val="Caption"/>
        <w:keepNext/>
        <w:spacing w:line="276" w:lineRule="auto"/>
        <w:ind w:left="993" w:hanging="993"/>
        <w:rPr>
          <w:rFonts w:asciiTheme="minorHAnsi" w:hAnsiTheme="minorHAnsi" w:cstheme="minorHAnsi"/>
          <w:i/>
          <w:vertAlign w:val="superscript"/>
        </w:rPr>
      </w:pPr>
      <w:bookmarkStart w:id="318" w:name="_Ref397607759"/>
      <w:bookmarkStart w:id="319" w:name="_Ref399930194"/>
      <w:bookmarkStart w:id="320" w:name="_Toc425426898"/>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31</w:t>
      </w:r>
      <w:r w:rsidRPr="00AF3A24">
        <w:rPr>
          <w:rFonts w:asciiTheme="minorHAnsi" w:hAnsiTheme="minorHAnsi"/>
          <w:i/>
        </w:rPr>
        <w:fldChar w:fldCharType="end"/>
      </w:r>
      <w:bookmarkEnd w:id="318"/>
      <w:bookmarkEnd w:id="319"/>
      <w:r w:rsidRPr="00AF3A24">
        <w:rPr>
          <w:rFonts w:asciiTheme="minorHAnsi" w:hAnsiTheme="minorHAnsi"/>
          <w:i/>
        </w:rPr>
        <w:t>:</w:t>
      </w:r>
      <w:r w:rsidRPr="00AF3A24">
        <w:rPr>
          <w:rFonts w:asciiTheme="minorHAnsi" w:hAnsiTheme="minorHAnsi" w:cstheme="minorHAnsi"/>
          <w:i/>
        </w:rPr>
        <w:tab/>
        <w:t>Gambling status by health status</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 Odds ratios and p-values </w:t>
      </w:r>
      <w:r w:rsidRPr="00AF3A24">
        <w:rPr>
          <w:rFonts w:asciiTheme="minorHAnsi" w:hAnsiTheme="minorHAnsi" w:cstheme="minorHAnsi"/>
          <w:i/>
          <w:vertAlign w:val="superscript"/>
        </w:rPr>
        <w:t>1</w:t>
      </w:r>
      <w:bookmarkEnd w:id="320"/>
      <w:r w:rsidRPr="00AF3A24">
        <w:rPr>
          <w:rFonts w:asciiTheme="minorHAnsi" w:hAnsiTheme="minorHAnsi" w:cstheme="minorHAnsi"/>
          <w:i/>
          <w:vertAlign w:val="superscript"/>
        </w:rPr>
        <w:t xml:space="preserve"> </w:t>
      </w:r>
    </w:p>
    <w:tbl>
      <w:tblPr>
        <w:tblStyle w:val="TableGrid"/>
        <w:tblW w:w="11307" w:type="dxa"/>
        <w:jc w:val="center"/>
        <w:tblLayout w:type="fixed"/>
        <w:tblLook w:val="04A0" w:firstRow="1" w:lastRow="0" w:firstColumn="1" w:lastColumn="0" w:noHBand="0" w:noVBand="1"/>
      </w:tblPr>
      <w:tblGrid>
        <w:gridCol w:w="4111"/>
        <w:gridCol w:w="2067"/>
        <w:gridCol w:w="2068"/>
        <w:gridCol w:w="2068"/>
        <w:gridCol w:w="993"/>
      </w:tblGrid>
      <w:tr w:rsidR="00E05D90" w:rsidRPr="00AF3A24" w14:paraId="49E7B9AC" w14:textId="77777777" w:rsidTr="00E05D90">
        <w:trPr>
          <w:trHeight w:val="386"/>
          <w:jc w:val="center"/>
        </w:trPr>
        <w:tc>
          <w:tcPr>
            <w:tcW w:w="4111" w:type="dxa"/>
            <w:vMerge w:val="restart"/>
            <w:shd w:val="clear" w:color="auto" w:fill="92CDDC" w:themeFill="accent5" w:themeFillTint="99"/>
            <w:vAlign w:val="center"/>
          </w:tcPr>
          <w:p w14:paraId="38F60112" w14:textId="77777777" w:rsidR="00E05D90" w:rsidRPr="00AF3A24" w:rsidRDefault="00E05D90" w:rsidP="00E05D90">
            <w:pPr>
              <w:spacing w:before="0" w:line="240" w:lineRule="auto"/>
              <w:jc w:val="left"/>
              <w:rPr>
                <w:rFonts w:asciiTheme="minorHAnsi" w:hAnsiTheme="minorHAnsi" w:cstheme="minorHAnsi"/>
                <w:b/>
                <w:sz w:val="18"/>
                <w:szCs w:val="18"/>
              </w:rPr>
            </w:pPr>
            <w:r w:rsidRPr="00E05D90">
              <w:rPr>
                <w:rFonts w:asciiTheme="minorHAnsi" w:hAnsiTheme="minorHAnsi" w:cstheme="minorHAnsi"/>
                <w:b/>
                <w:sz w:val="16"/>
                <w:szCs w:val="16"/>
              </w:rPr>
              <w:t>VARIABLE</w:t>
            </w:r>
          </w:p>
        </w:tc>
        <w:tc>
          <w:tcPr>
            <w:tcW w:w="6203" w:type="dxa"/>
            <w:gridSpan w:val="3"/>
            <w:tcBorders>
              <w:bottom w:val="single" w:sz="4" w:space="0" w:color="auto"/>
            </w:tcBorders>
            <w:shd w:val="clear" w:color="auto" w:fill="92CDDC" w:themeFill="accent5" w:themeFillTint="99"/>
            <w:vAlign w:val="center"/>
          </w:tcPr>
          <w:p w14:paraId="5093E375"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993" w:type="dxa"/>
            <w:vMerge w:val="restart"/>
            <w:shd w:val="clear" w:color="auto" w:fill="92CDDC" w:themeFill="accent5" w:themeFillTint="99"/>
            <w:vAlign w:val="center"/>
          </w:tcPr>
          <w:p w14:paraId="5489EA20"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4</w:t>
            </w:r>
          </w:p>
        </w:tc>
      </w:tr>
      <w:tr w:rsidR="00E05D90" w:rsidRPr="00AF3A24" w14:paraId="450E3824" w14:textId="77777777" w:rsidTr="00A310A6">
        <w:trPr>
          <w:trHeight w:val="386"/>
          <w:jc w:val="center"/>
        </w:trPr>
        <w:tc>
          <w:tcPr>
            <w:tcW w:w="4111" w:type="dxa"/>
            <w:vMerge/>
            <w:shd w:val="clear" w:color="auto" w:fill="92CDDC" w:themeFill="accent5" w:themeFillTint="99"/>
          </w:tcPr>
          <w:p w14:paraId="59CAD27A" w14:textId="77777777" w:rsidR="00E05D90" w:rsidRPr="00AF3A24" w:rsidRDefault="00E05D90"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54F967BD"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People with no gambling problems </w:t>
            </w:r>
            <w:r w:rsidRPr="00AF3A24">
              <w:rPr>
                <w:rFonts w:asciiTheme="minorHAnsi" w:hAnsiTheme="minorHAnsi" w:cstheme="minorHAnsi"/>
                <w:b/>
                <w:sz w:val="18"/>
                <w:szCs w:val="18"/>
                <w:vertAlign w:val="superscript"/>
              </w:rPr>
              <w:t>2</w:t>
            </w:r>
          </w:p>
        </w:tc>
        <w:tc>
          <w:tcPr>
            <w:tcW w:w="2068" w:type="dxa"/>
            <w:shd w:val="clear" w:color="auto" w:fill="92CDDC" w:themeFill="accent5" w:themeFillTint="99"/>
            <w:vAlign w:val="center"/>
          </w:tcPr>
          <w:p w14:paraId="7F0D9A31" w14:textId="77777777" w:rsidR="00E05D90" w:rsidRPr="00AF3A24" w:rsidRDefault="00E05D90"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Low-risk </w:t>
            </w:r>
          </w:p>
        </w:tc>
        <w:tc>
          <w:tcPr>
            <w:tcW w:w="2068" w:type="dxa"/>
            <w:shd w:val="clear" w:color="auto" w:fill="92CDDC" w:themeFill="accent5" w:themeFillTint="99"/>
            <w:vAlign w:val="center"/>
          </w:tcPr>
          <w:p w14:paraId="47E15684" w14:textId="77777777" w:rsidR="00E05D90" w:rsidRPr="00AF3A24" w:rsidRDefault="00E05D90"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Pr>
                <w:rFonts w:asciiTheme="minorHAnsi" w:hAnsiTheme="minorHAnsi" w:cstheme="minorHAnsi"/>
                <w:b/>
                <w:sz w:val="18"/>
                <w:szCs w:val="18"/>
              </w:rPr>
              <w:t>m</w:t>
            </w:r>
            <w:r w:rsidRPr="00AF3A24">
              <w:rPr>
                <w:rFonts w:asciiTheme="minorHAnsi" w:hAnsiTheme="minorHAnsi" w:cstheme="minorHAnsi"/>
                <w:b/>
                <w:sz w:val="18"/>
                <w:szCs w:val="18"/>
              </w:rPr>
              <w:t>oderate-risk</w:t>
            </w:r>
            <w:r>
              <w:rPr>
                <w:rFonts w:asciiTheme="minorHAnsi" w:hAnsiTheme="minorHAnsi" w:cstheme="minorHAnsi"/>
                <w:b/>
                <w:sz w:val="18"/>
                <w:szCs w:val="18"/>
              </w:rPr>
              <w:t xml:space="preserve"> and problem</w:t>
            </w:r>
            <w:r w:rsidRPr="00AF3A24">
              <w:rPr>
                <w:rFonts w:asciiTheme="minorHAnsi" w:hAnsiTheme="minorHAnsi" w:cstheme="minorHAnsi"/>
                <w:b/>
                <w:sz w:val="18"/>
                <w:szCs w:val="18"/>
              </w:rPr>
              <w:t xml:space="preserve"> </w:t>
            </w:r>
            <w:r w:rsidRPr="00AF3A24">
              <w:rPr>
                <w:rFonts w:asciiTheme="minorHAnsi" w:hAnsiTheme="minorHAnsi" w:cstheme="minorHAnsi"/>
                <w:b/>
                <w:sz w:val="18"/>
                <w:szCs w:val="18"/>
                <w:vertAlign w:val="superscript"/>
              </w:rPr>
              <w:t>3</w:t>
            </w:r>
          </w:p>
        </w:tc>
        <w:tc>
          <w:tcPr>
            <w:tcW w:w="993" w:type="dxa"/>
            <w:vMerge/>
            <w:shd w:val="clear" w:color="auto" w:fill="92CDDC" w:themeFill="accent5" w:themeFillTint="99"/>
            <w:vAlign w:val="center"/>
          </w:tcPr>
          <w:p w14:paraId="2AC0E497" w14:textId="77777777" w:rsidR="00E05D90" w:rsidRPr="00AF3A24" w:rsidRDefault="00E05D90" w:rsidP="00A310A6">
            <w:pPr>
              <w:spacing w:before="0" w:line="240" w:lineRule="auto"/>
              <w:jc w:val="center"/>
              <w:rPr>
                <w:rFonts w:asciiTheme="minorHAnsi" w:hAnsiTheme="minorHAnsi" w:cstheme="minorHAnsi"/>
                <w:b/>
                <w:sz w:val="18"/>
                <w:szCs w:val="18"/>
              </w:rPr>
            </w:pPr>
          </w:p>
        </w:tc>
      </w:tr>
      <w:tr w:rsidR="00E05D90" w:rsidRPr="00AF3A24" w14:paraId="33184139" w14:textId="77777777" w:rsidTr="00A310A6">
        <w:trPr>
          <w:trHeight w:val="386"/>
          <w:jc w:val="center"/>
        </w:trPr>
        <w:tc>
          <w:tcPr>
            <w:tcW w:w="4111" w:type="dxa"/>
            <w:vMerge/>
            <w:tcBorders>
              <w:bottom w:val="single" w:sz="4" w:space="0" w:color="auto"/>
            </w:tcBorders>
            <w:shd w:val="clear" w:color="auto" w:fill="92CDDC" w:themeFill="accent5" w:themeFillTint="99"/>
          </w:tcPr>
          <w:p w14:paraId="4D8C9B43" w14:textId="77777777" w:rsidR="00E05D90" w:rsidRPr="00AF3A24" w:rsidRDefault="00E05D90"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262D3F8B" w14:textId="77777777" w:rsidR="00E05D90" w:rsidRPr="00AF3A24" w:rsidRDefault="00E05D90" w:rsidP="00076DDA">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Odds ratio</w:t>
            </w:r>
          </w:p>
        </w:tc>
        <w:tc>
          <w:tcPr>
            <w:tcW w:w="2068" w:type="dxa"/>
            <w:tcBorders>
              <w:bottom w:val="single" w:sz="4" w:space="0" w:color="auto"/>
            </w:tcBorders>
            <w:shd w:val="clear" w:color="auto" w:fill="92CDDC" w:themeFill="accent5" w:themeFillTint="99"/>
            <w:vAlign w:val="center"/>
          </w:tcPr>
          <w:p w14:paraId="30EB880C"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56CEF1F3"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068" w:type="dxa"/>
            <w:tcBorders>
              <w:bottom w:val="single" w:sz="4" w:space="0" w:color="auto"/>
            </w:tcBorders>
            <w:shd w:val="clear" w:color="auto" w:fill="92CDDC" w:themeFill="accent5" w:themeFillTint="99"/>
            <w:vAlign w:val="center"/>
          </w:tcPr>
          <w:p w14:paraId="5C24DCF4"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0D3D6924" w14:textId="77777777" w:rsidR="00E05D90" w:rsidRPr="00AF3A24" w:rsidRDefault="00E05D90"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93" w:type="dxa"/>
            <w:vMerge/>
            <w:tcBorders>
              <w:bottom w:val="single" w:sz="4" w:space="0" w:color="auto"/>
            </w:tcBorders>
            <w:shd w:val="clear" w:color="auto" w:fill="92CDDC" w:themeFill="accent5" w:themeFillTint="99"/>
            <w:vAlign w:val="center"/>
          </w:tcPr>
          <w:p w14:paraId="07F73E28" w14:textId="77777777" w:rsidR="00E05D90" w:rsidRPr="00AF3A24" w:rsidRDefault="00E05D90" w:rsidP="00A310A6">
            <w:pPr>
              <w:spacing w:before="0" w:line="240" w:lineRule="auto"/>
              <w:jc w:val="center"/>
              <w:rPr>
                <w:rFonts w:asciiTheme="minorHAnsi" w:hAnsiTheme="minorHAnsi" w:cstheme="minorHAnsi"/>
                <w:b/>
                <w:sz w:val="18"/>
                <w:szCs w:val="18"/>
              </w:rPr>
            </w:pPr>
          </w:p>
        </w:tc>
      </w:tr>
      <w:tr w:rsidR="00833077" w:rsidRPr="00AF3A24" w14:paraId="592280B4" w14:textId="77777777" w:rsidTr="00A310A6">
        <w:trPr>
          <w:trHeight w:val="342"/>
          <w:jc w:val="center"/>
        </w:trPr>
        <w:tc>
          <w:tcPr>
            <w:tcW w:w="4111" w:type="dxa"/>
            <w:tcBorders>
              <w:top w:val="single" w:sz="4" w:space="0" w:color="auto"/>
            </w:tcBorders>
            <w:shd w:val="clear" w:color="auto" w:fill="DAEEF3" w:themeFill="accent5" w:themeFillTint="33"/>
            <w:vAlign w:val="center"/>
          </w:tcPr>
          <w:p w14:paraId="448B067E"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General health self-rated as fair/poor</w:t>
            </w:r>
          </w:p>
        </w:tc>
        <w:tc>
          <w:tcPr>
            <w:tcW w:w="2067" w:type="dxa"/>
            <w:tcBorders>
              <w:left w:val="nil"/>
              <w:bottom w:val="nil"/>
              <w:right w:val="single" w:sz="4" w:space="0" w:color="auto"/>
            </w:tcBorders>
            <w:shd w:val="clear" w:color="auto" w:fill="DAEEF3" w:themeFill="accent5" w:themeFillTint="33"/>
            <w:vAlign w:val="center"/>
          </w:tcPr>
          <w:p w14:paraId="2484E0FF"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18B86C95"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p>
          <w:p w14:paraId="762A50B7"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(0.9 - 1.9)</w:t>
            </w:r>
          </w:p>
        </w:tc>
        <w:tc>
          <w:tcPr>
            <w:tcW w:w="2068" w:type="dxa"/>
            <w:tcBorders>
              <w:left w:val="single" w:sz="4" w:space="0" w:color="auto"/>
              <w:right w:val="single" w:sz="4" w:space="0" w:color="auto"/>
            </w:tcBorders>
            <w:shd w:val="clear" w:color="auto" w:fill="DAEEF3" w:themeFill="accent5" w:themeFillTint="33"/>
            <w:vAlign w:val="center"/>
          </w:tcPr>
          <w:p w14:paraId="50676C59"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p>
          <w:p w14:paraId="2AB47384"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(1.6 - 4.0)</w:t>
            </w:r>
          </w:p>
        </w:tc>
        <w:tc>
          <w:tcPr>
            <w:tcW w:w="993" w:type="dxa"/>
            <w:tcBorders>
              <w:left w:val="single" w:sz="4" w:space="0" w:color="auto"/>
              <w:right w:val="single" w:sz="4" w:space="0" w:color="auto"/>
            </w:tcBorders>
            <w:shd w:val="clear" w:color="auto" w:fill="DAEEF3" w:themeFill="accent5" w:themeFillTint="33"/>
            <w:vAlign w:val="center"/>
          </w:tcPr>
          <w:p w14:paraId="67C058FB"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0.0003</w:t>
            </w:r>
          </w:p>
        </w:tc>
      </w:tr>
      <w:tr w:rsidR="00833077" w:rsidRPr="00AF3A24" w14:paraId="53197F7C" w14:textId="77777777" w:rsidTr="00A310A6">
        <w:trPr>
          <w:jc w:val="center"/>
        </w:trPr>
        <w:tc>
          <w:tcPr>
            <w:tcW w:w="4111" w:type="dxa"/>
            <w:tcBorders>
              <w:top w:val="single" w:sz="4" w:space="0" w:color="auto"/>
            </w:tcBorders>
            <w:shd w:val="clear" w:color="auto" w:fill="DAEEF3" w:themeFill="accent5" w:themeFillTint="33"/>
            <w:vAlign w:val="center"/>
          </w:tcPr>
          <w:p w14:paraId="1BB06C55"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Kessler 10-item scale (K10) – high/very high probability of anxiety or depressive disorder</w:t>
            </w:r>
          </w:p>
        </w:tc>
        <w:tc>
          <w:tcPr>
            <w:tcW w:w="2067" w:type="dxa"/>
            <w:tcBorders>
              <w:left w:val="nil"/>
              <w:bottom w:val="nil"/>
              <w:right w:val="single" w:sz="4" w:space="0" w:color="auto"/>
            </w:tcBorders>
            <w:shd w:val="clear" w:color="auto" w:fill="DAEEF3" w:themeFill="accent5" w:themeFillTint="33"/>
            <w:vAlign w:val="center"/>
          </w:tcPr>
          <w:p w14:paraId="5A38C4C8"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4EE20692"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p>
          <w:p w14:paraId="5022E7AE"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(1.4 - 3.2)</w:t>
            </w:r>
          </w:p>
        </w:tc>
        <w:tc>
          <w:tcPr>
            <w:tcW w:w="2068" w:type="dxa"/>
            <w:tcBorders>
              <w:left w:val="single" w:sz="4" w:space="0" w:color="auto"/>
              <w:right w:val="single" w:sz="4" w:space="0" w:color="auto"/>
            </w:tcBorders>
            <w:shd w:val="clear" w:color="auto" w:fill="DAEEF3" w:themeFill="accent5" w:themeFillTint="33"/>
            <w:vAlign w:val="center"/>
          </w:tcPr>
          <w:p w14:paraId="661ED37A"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5.7</w:t>
            </w:r>
          </w:p>
          <w:p w14:paraId="47A3E449"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(3.5 - 9.4)</w:t>
            </w:r>
          </w:p>
        </w:tc>
        <w:tc>
          <w:tcPr>
            <w:tcW w:w="993" w:type="dxa"/>
            <w:tcBorders>
              <w:left w:val="single" w:sz="4" w:space="0" w:color="auto"/>
              <w:right w:val="single" w:sz="4" w:space="0" w:color="auto"/>
            </w:tcBorders>
            <w:shd w:val="clear" w:color="auto" w:fill="DAEEF3" w:themeFill="accent5" w:themeFillTint="33"/>
            <w:vAlign w:val="center"/>
          </w:tcPr>
          <w:p w14:paraId="75798CBF"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833077" w:rsidRPr="00AF3A24" w14:paraId="3667182B" w14:textId="77777777" w:rsidTr="00A310A6">
        <w:trPr>
          <w:jc w:val="center"/>
        </w:trPr>
        <w:tc>
          <w:tcPr>
            <w:tcW w:w="4111" w:type="dxa"/>
            <w:tcBorders>
              <w:top w:val="single" w:sz="4" w:space="0" w:color="auto"/>
            </w:tcBorders>
            <w:shd w:val="clear" w:color="auto" w:fill="DAEEF3" w:themeFill="accent5" w:themeFillTint="33"/>
            <w:vAlign w:val="center"/>
          </w:tcPr>
          <w:p w14:paraId="143C9AE1"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Common mental disorder (depression/bi-polar/anxiety)</w:t>
            </w:r>
          </w:p>
        </w:tc>
        <w:tc>
          <w:tcPr>
            <w:tcW w:w="2067" w:type="dxa"/>
            <w:tcBorders>
              <w:left w:val="nil"/>
              <w:bottom w:val="nil"/>
              <w:right w:val="single" w:sz="4" w:space="0" w:color="auto"/>
            </w:tcBorders>
            <w:shd w:val="clear" w:color="auto" w:fill="DAEEF3" w:themeFill="accent5" w:themeFillTint="33"/>
            <w:vAlign w:val="center"/>
          </w:tcPr>
          <w:p w14:paraId="740E739D"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697651FB"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w:t>
            </w:r>
          </w:p>
          <w:p w14:paraId="7B340570"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(0.8 - 1.9)</w:t>
            </w:r>
          </w:p>
        </w:tc>
        <w:tc>
          <w:tcPr>
            <w:tcW w:w="2068" w:type="dxa"/>
            <w:tcBorders>
              <w:left w:val="single" w:sz="4" w:space="0" w:color="auto"/>
              <w:right w:val="single" w:sz="4" w:space="0" w:color="auto"/>
            </w:tcBorders>
            <w:shd w:val="clear" w:color="auto" w:fill="DAEEF3" w:themeFill="accent5" w:themeFillTint="33"/>
            <w:vAlign w:val="center"/>
          </w:tcPr>
          <w:p w14:paraId="15C1922D"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p>
          <w:p w14:paraId="3E117ED2"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(1.8 - 4.2)</w:t>
            </w:r>
          </w:p>
        </w:tc>
        <w:tc>
          <w:tcPr>
            <w:tcW w:w="993" w:type="dxa"/>
            <w:tcBorders>
              <w:left w:val="single" w:sz="4" w:space="0" w:color="auto"/>
              <w:right w:val="single" w:sz="4" w:space="0" w:color="auto"/>
            </w:tcBorders>
            <w:shd w:val="clear" w:color="auto" w:fill="DAEEF3" w:themeFill="accent5" w:themeFillTint="33"/>
            <w:vAlign w:val="center"/>
          </w:tcPr>
          <w:p w14:paraId="403B1A27"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833077" w:rsidRPr="00AF3A24" w14:paraId="64A645A0"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2C1706D5"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Depression</w:t>
            </w:r>
          </w:p>
        </w:tc>
        <w:tc>
          <w:tcPr>
            <w:tcW w:w="2067" w:type="dxa"/>
            <w:tcBorders>
              <w:left w:val="nil"/>
              <w:bottom w:val="single" w:sz="4" w:space="0" w:color="auto"/>
              <w:right w:val="single" w:sz="4" w:space="0" w:color="auto"/>
            </w:tcBorders>
            <w:shd w:val="clear" w:color="auto" w:fill="DAEEF3" w:themeFill="accent5" w:themeFillTint="33"/>
            <w:vAlign w:val="center"/>
          </w:tcPr>
          <w:p w14:paraId="0A6DF1B9"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vAlign w:val="center"/>
          </w:tcPr>
          <w:p w14:paraId="36DEFF9A"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w:t>
            </w:r>
          </w:p>
          <w:p w14:paraId="24009608"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(0.8 - 1.6)</w:t>
            </w:r>
          </w:p>
        </w:tc>
        <w:tc>
          <w:tcPr>
            <w:tcW w:w="2068" w:type="dxa"/>
            <w:tcBorders>
              <w:left w:val="single" w:sz="4" w:space="0" w:color="auto"/>
              <w:bottom w:val="single" w:sz="4" w:space="0" w:color="auto"/>
              <w:right w:val="single" w:sz="4" w:space="0" w:color="auto"/>
            </w:tcBorders>
            <w:shd w:val="clear" w:color="auto" w:fill="DAEEF3" w:themeFill="accent5" w:themeFillTint="33"/>
            <w:vAlign w:val="center"/>
          </w:tcPr>
          <w:p w14:paraId="458877A3"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p>
          <w:p w14:paraId="1F62940A"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(1.9 - 4.7)</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23D605B9"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833077" w:rsidRPr="00AF3A24" w14:paraId="37F43DED"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59C9E689"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Bi-polar disorder</w:t>
            </w:r>
          </w:p>
        </w:tc>
        <w:tc>
          <w:tcPr>
            <w:tcW w:w="2067" w:type="dxa"/>
            <w:tcBorders>
              <w:left w:val="nil"/>
              <w:bottom w:val="single" w:sz="4" w:space="0" w:color="auto"/>
              <w:right w:val="single" w:sz="4" w:space="0" w:color="auto"/>
            </w:tcBorders>
            <w:shd w:val="clear" w:color="auto" w:fill="DAEEF3" w:themeFill="accent5" w:themeFillTint="33"/>
            <w:vAlign w:val="center"/>
          </w:tcPr>
          <w:p w14:paraId="319E06B0"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vAlign w:val="center"/>
          </w:tcPr>
          <w:p w14:paraId="16735D84"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w:t>
            </w:r>
          </w:p>
          <w:p w14:paraId="62D740AE"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(0.2 - 4.2)</w:t>
            </w:r>
          </w:p>
        </w:tc>
        <w:tc>
          <w:tcPr>
            <w:tcW w:w="2068" w:type="dxa"/>
            <w:tcBorders>
              <w:left w:val="single" w:sz="4" w:space="0" w:color="auto"/>
              <w:bottom w:val="single" w:sz="4" w:space="0" w:color="auto"/>
              <w:right w:val="single" w:sz="4" w:space="0" w:color="auto"/>
            </w:tcBorders>
            <w:shd w:val="clear" w:color="auto" w:fill="DAEEF3" w:themeFill="accent5" w:themeFillTint="33"/>
            <w:vAlign w:val="center"/>
          </w:tcPr>
          <w:p w14:paraId="76D94819"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p>
          <w:p w14:paraId="08AFCEB6"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(0.7 - 4.2)</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5B99D7AF" w14:textId="77777777" w:rsidR="00833077" w:rsidRPr="00AF3A24" w:rsidRDefault="00833077"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0.53</w:t>
            </w:r>
          </w:p>
        </w:tc>
      </w:tr>
      <w:tr w:rsidR="00833077" w:rsidRPr="00AF3A24" w14:paraId="51BD353D" w14:textId="77777777" w:rsidTr="00A310A6">
        <w:trPr>
          <w:jc w:val="center"/>
        </w:trPr>
        <w:tc>
          <w:tcPr>
            <w:tcW w:w="4111" w:type="dxa"/>
            <w:tcBorders>
              <w:top w:val="single" w:sz="4" w:space="0" w:color="auto"/>
              <w:bottom w:val="single" w:sz="4" w:space="0" w:color="auto"/>
            </w:tcBorders>
            <w:shd w:val="clear" w:color="auto" w:fill="DAEEF3" w:themeFill="accent5" w:themeFillTint="33"/>
            <w:vAlign w:val="center"/>
          </w:tcPr>
          <w:p w14:paraId="2FF86F69" w14:textId="77777777" w:rsidR="00833077" w:rsidRPr="00AF3A24" w:rsidRDefault="00833077"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Anxiety disorder</w:t>
            </w:r>
          </w:p>
        </w:tc>
        <w:tc>
          <w:tcPr>
            <w:tcW w:w="2067" w:type="dxa"/>
            <w:tcBorders>
              <w:left w:val="nil"/>
              <w:bottom w:val="single" w:sz="4" w:space="0" w:color="auto"/>
              <w:right w:val="single" w:sz="4" w:space="0" w:color="auto"/>
            </w:tcBorders>
            <w:shd w:val="clear" w:color="auto" w:fill="DAEEF3" w:themeFill="accent5" w:themeFillTint="33"/>
            <w:vAlign w:val="center"/>
          </w:tcPr>
          <w:p w14:paraId="68D6DF77"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bottom w:val="single" w:sz="4" w:space="0" w:color="auto"/>
              <w:right w:val="single" w:sz="4" w:space="0" w:color="auto"/>
            </w:tcBorders>
            <w:shd w:val="clear" w:color="auto" w:fill="DAEEF3" w:themeFill="accent5" w:themeFillTint="33"/>
            <w:vAlign w:val="center"/>
          </w:tcPr>
          <w:p w14:paraId="1647CDA5"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w:t>
            </w:r>
          </w:p>
          <w:p w14:paraId="5BA8FE9E"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(0.9 - 3.0)</w:t>
            </w:r>
          </w:p>
        </w:tc>
        <w:tc>
          <w:tcPr>
            <w:tcW w:w="2068" w:type="dxa"/>
            <w:tcBorders>
              <w:left w:val="single" w:sz="4" w:space="0" w:color="auto"/>
              <w:bottom w:val="single" w:sz="4" w:space="0" w:color="auto"/>
              <w:right w:val="single" w:sz="4" w:space="0" w:color="auto"/>
            </w:tcBorders>
            <w:shd w:val="clear" w:color="auto" w:fill="DAEEF3" w:themeFill="accent5" w:themeFillTint="33"/>
            <w:vAlign w:val="center"/>
          </w:tcPr>
          <w:p w14:paraId="7D3CDEC4"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p>
          <w:p w14:paraId="233B1092" w14:textId="77777777" w:rsidR="00833077" w:rsidRPr="00AF3A24" w:rsidRDefault="00833077"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(0.9 - 3.5)</w:t>
            </w:r>
          </w:p>
        </w:tc>
        <w:tc>
          <w:tcPr>
            <w:tcW w:w="993" w:type="dxa"/>
            <w:tcBorders>
              <w:left w:val="single" w:sz="4" w:space="0" w:color="auto"/>
              <w:bottom w:val="single" w:sz="4" w:space="0" w:color="auto"/>
              <w:right w:val="single" w:sz="4" w:space="0" w:color="auto"/>
            </w:tcBorders>
            <w:shd w:val="clear" w:color="auto" w:fill="DAEEF3" w:themeFill="accent5" w:themeFillTint="33"/>
            <w:vAlign w:val="center"/>
          </w:tcPr>
          <w:p w14:paraId="2BF7852F" w14:textId="77777777" w:rsidR="00833077" w:rsidRPr="00AF3A24" w:rsidRDefault="00833077" w:rsidP="00A310A6">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0.11</w:t>
            </w:r>
          </w:p>
        </w:tc>
      </w:tr>
    </w:tbl>
    <w:p w14:paraId="62B044D7" w14:textId="77777777" w:rsidR="006657F0" w:rsidRPr="00AF3A24" w:rsidRDefault="006657F0" w:rsidP="006657F0">
      <w:pPr>
        <w:spacing w:before="0" w:line="240" w:lineRule="auto"/>
        <w:ind w:left="1134"/>
        <w:rPr>
          <w:rFonts w:asciiTheme="minorHAnsi" w:hAnsiTheme="minorHAnsi" w:cstheme="minorHAnsi"/>
          <w:sz w:val="16"/>
        </w:rPr>
      </w:pPr>
      <w:r w:rsidRPr="00AF3A24">
        <w:rPr>
          <w:rFonts w:asciiTheme="minorHAnsi" w:hAnsiTheme="minorHAnsi" w:cstheme="minorHAnsi"/>
          <w:sz w:val="16"/>
        </w:rPr>
        <w:t>Notes:</w:t>
      </w:r>
    </w:p>
    <w:p w14:paraId="1F4DEA96" w14:textId="77777777" w:rsidR="006657F0" w:rsidRPr="00AF3A24" w:rsidRDefault="006657F0" w:rsidP="006A0B0E">
      <w:pPr>
        <w:pStyle w:val="ListParagraph"/>
        <w:numPr>
          <w:ilvl w:val="0"/>
          <w:numId w:val="28"/>
        </w:numPr>
        <w:spacing w:line="240" w:lineRule="auto"/>
        <w:ind w:left="1560" w:right="1380"/>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0B2D4759" w14:textId="77777777" w:rsidR="006657F0" w:rsidRPr="00AF3A24" w:rsidRDefault="006657F0" w:rsidP="006A0B0E">
      <w:pPr>
        <w:pStyle w:val="ListParagraph"/>
        <w:numPr>
          <w:ilvl w:val="0"/>
          <w:numId w:val="28"/>
        </w:numPr>
        <w:spacing w:line="240" w:lineRule="auto"/>
        <w:ind w:left="1560" w:right="1380"/>
        <w:rPr>
          <w:rFonts w:asciiTheme="minorHAnsi" w:hAnsiTheme="minorHAnsi" w:cstheme="minorHAnsi"/>
          <w:sz w:val="16"/>
        </w:rPr>
      </w:pPr>
      <w:r w:rsidRPr="00AF3A24">
        <w:rPr>
          <w:rFonts w:asciiTheme="minorHAnsi" w:hAnsiTheme="minorHAnsi" w:cstheme="minorHAnsi"/>
          <w:sz w:val="16"/>
        </w:rPr>
        <w:t xml:space="preserve">‘People with no gambling problems’ have been defined as non-gamblers and recreational gamblers. </w:t>
      </w:r>
    </w:p>
    <w:p w14:paraId="6316E66A" w14:textId="77777777" w:rsidR="006657F0" w:rsidRPr="00AF3A24" w:rsidRDefault="006657F0" w:rsidP="006A0B0E">
      <w:pPr>
        <w:pStyle w:val="ListParagraph"/>
        <w:numPr>
          <w:ilvl w:val="0"/>
          <w:numId w:val="28"/>
        </w:numPr>
        <w:spacing w:line="240" w:lineRule="auto"/>
        <w:ind w:left="1560" w:right="1380"/>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00925C7C" w14:textId="77777777" w:rsidR="006657F0" w:rsidRPr="00AF3A24" w:rsidRDefault="006657F0" w:rsidP="006A0B0E">
      <w:pPr>
        <w:pStyle w:val="ListParagraph"/>
        <w:numPr>
          <w:ilvl w:val="0"/>
          <w:numId w:val="28"/>
        </w:numPr>
        <w:spacing w:line="240" w:lineRule="auto"/>
        <w:ind w:left="1560" w:right="1380"/>
        <w:rPr>
          <w:rFonts w:asciiTheme="minorHAnsi" w:hAnsiTheme="minorHAnsi" w:cstheme="minorHAnsi"/>
          <w:sz w:val="16"/>
        </w:rPr>
      </w:pPr>
      <w:r w:rsidRPr="00AF3A24">
        <w:rPr>
          <w:rFonts w:asciiTheme="minorHAnsi" w:hAnsiTheme="minorHAnsi" w:cstheme="minorHAnsi"/>
          <w:sz w:val="16"/>
        </w:rPr>
        <w:t>Logistic regression analyses have controlled for gender, age-group, prioritised ethnic group, neighbourhood deprivation and geography (urban/rural).</w:t>
      </w:r>
    </w:p>
    <w:p w14:paraId="09F2AAB6" w14:textId="77777777" w:rsidR="00274F16" w:rsidRDefault="00274F16" w:rsidP="00BA4C78">
      <w:pPr>
        <w:spacing w:before="0" w:after="200" w:line="276" w:lineRule="auto"/>
        <w:jc w:val="left"/>
        <w:rPr>
          <w:rFonts w:asciiTheme="minorHAnsi" w:hAnsiTheme="minorHAnsi" w:cstheme="minorHAnsi"/>
          <w:b/>
          <w:u w:val="single"/>
        </w:rPr>
      </w:pPr>
    </w:p>
    <w:p w14:paraId="3D8BBB4B" w14:textId="77777777" w:rsidR="006657F0" w:rsidRDefault="006657F0" w:rsidP="00BA4C78">
      <w:pPr>
        <w:spacing w:before="0" w:after="200" w:line="276" w:lineRule="auto"/>
        <w:jc w:val="left"/>
        <w:rPr>
          <w:rFonts w:asciiTheme="minorHAnsi" w:hAnsiTheme="minorHAnsi" w:cstheme="minorHAnsi"/>
          <w:b/>
          <w:u w:val="single"/>
        </w:rPr>
      </w:pPr>
    </w:p>
    <w:p w14:paraId="349D13E9" w14:textId="77777777" w:rsidR="006657F0" w:rsidRDefault="006657F0">
      <w:pPr>
        <w:spacing w:before="0" w:after="200" w:line="276" w:lineRule="auto"/>
        <w:jc w:val="left"/>
        <w:rPr>
          <w:rFonts w:asciiTheme="minorHAnsi" w:hAnsiTheme="minorHAnsi" w:cstheme="minorHAnsi"/>
          <w:b/>
          <w:bCs/>
          <w:iCs/>
          <w:color w:val="1F497D"/>
        </w:rPr>
      </w:pPr>
      <w:r>
        <w:rPr>
          <w:rFonts w:asciiTheme="minorHAnsi" w:hAnsiTheme="minorHAnsi"/>
        </w:rPr>
        <w:br w:type="page"/>
      </w:r>
    </w:p>
    <w:p w14:paraId="0911A3C5" w14:textId="77777777" w:rsidR="006657F0" w:rsidRPr="00FB0B7B" w:rsidRDefault="006657F0" w:rsidP="008F7A58">
      <w:pPr>
        <w:pStyle w:val="FionasAppendixtitles"/>
        <w:ind w:left="1134"/>
      </w:pPr>
      <w:bookmarkStart w:id="321" w:name="_Ref398039748"/>
      <w:bookmarkStart w:id="322" w:name="_Ref398041642"/>
      <w:bookmarkStart w:id="323" w:name="_Ref398044353"/>
      <w:bookmarkStart w:id="324" w:name="_Toc403833221"/>
      <w:r w:rsidRPr="00FB0B7B">
        <w:lastRenderedPageBreak/>
        <w:t>Use of health services and gambling</w:t>
      </w:r>
      <w:bookmarkEnd w:id="321"/>
      <w:bookmarkEnd w:id="322"/>
      <w:bookmarkEnd w:id="323"/>
      <w:bookmarkEnd w:id="324"/>
    </w:p>
    <w:p w14:paraId="04C4730B" w14:textId="07A1416B" w:rsidR="00EF515E" w:rsidRPr="00AF3A24" w:rsidRDefault="00EF515E" w:rsidP="00EF515E">
      <w:pPr>
        <w:pStyle w:val="Caption"/>
        <w:keepNext/>
        <w:spacing w:line="276" w:lineRule="auto"/>
        <w:ind w:left="993" w:hanging="993"/>
        <w:rPr>
          <w:rFonts w:asciiTheme="minorHAnsi" w:hAnsiTheme="minorHAnsi" w:cstheme="minorHAnsi"/>
          <w:i/>
          <w:vertAlign w:val="superscript"/>
        </w:rPr>
      </w:pPr>
      <w:bookmarkStart w:id="325" w:name="_Ref398039794"/>
      <w:bookmarkStart w:id="326" w:name="_Toc425426899"/>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32</w:t>
      </w:r>
      <w:r w:rsidRPr="00AF3A24">
        <w:rPr>
          <w:rFonts w:asciiTheme="minorHAnsi" w:hAnsiTheme="minorHAnsi"/>
          <w:i/>
        </w:rPr>
        <w:fldChar w:fldCharType="end"/>
      </w:r>
      <w:bookmarkEnd w:id="325"/>
      <w:r w:rsidRPr="00AF3A24">
        <w:rPr>
          <w:rFonts w:asciiTheme="minorHAnsi" w:hAnsiTheme="minorHAnsi"/>
          <w:i/>
        </w:rPr>
        <w:t>:</w:t>
      </w:r>
      <w:r w:rsidRPr="00AF3A24">
        <w:rPr>
          <w:rFonts w:asciiTheme="minorHAnsi" w:hAnsiTheme="minorHAnsi" w:cstheme="minorHAnsi"/>
          <w:i/>
        </w:rPr>
        <w:tab/>
        <w:t>Use of health services and gambling status (PGSI categorisation)</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(unadjusted prevalence) </w:t>
      </w:r>
      <w:r w:rsidRPr="00AF3A24">
        <w:rPr>
          <w:rFonts w:asciiTheme="minorHAnsi" w:hAnsiTheme="minorHAnsi" w:cstheme="minorHAnsi"/>
          <w:i/>
          <w:vertAlign w:val="superscript"/>
        </w:rPr>
        <w:t>1</w:t>
      </w:r>
      <w:bookmarkEnd w:id="326"/>
    </w:p>
    <w:tbl>
      <w:tblPr>
        <w:tblStyle w:val="TableGrid"/>
        <w:tblW w:w="12896" w:type="dxa"/>
        <w:jc w:val="center"/>
        <w:tblLayout w:type="fixed"/>
        <w:tblLook w:val="04A0" w:firstRow="1" w:lastRow="0" w:firstColumn="1" w:lastColumn="0" w:noHBand="0" w:noVBand="1"/>
      </w:tblPr>
      <w:tblGrid>
        <w:gridCol w:w="3062"/>
        <w:gridCol w:w="895"/>
        <w:gridCol w:w="1080"/>
        <w:gridCol w:w="839"/>
        <w:gridCol w:w="1080"/>
        <w:gridCol w:w="900"/>
        <w:gridCol w:w="1080"/>
        <w:gridCol w:w="900"/>
        <w:gridCol w:w="1080"/>
        <w:gridCol w:w="900"/>
        <w:gridCol w:w="1080"/>
      </w:tblGrid>
      <w:tr w:rsidR="00EF515E" w:rsidRPr="00AF3A24" w14:paraId="25CCBB50" w14:textId="77777777" w:rsidTr="00A310A6">
        <w:trPr>
          <w:trHeight w:val="386"/>
          <w:jc w:val="center"/>
        </w:trPr>
        <w:tc>
          <w:tcPr>
            <w:tcW w:w="3062" w:type="dxa"/>
            <w:vMerge w:val="restart"/>
            <w:shd w:val="clear" w:color="auto" w:fill="92CDDC" w:themeFill="accent5" w:themeFillTint="99"/>
            <w:vAlign w:val="center"/>
          </w:tcPr>
          <w:p w14:paraId="7F7E227E" w14:textId="77777777" w:rsidR="00EF515E" w:rsidRPr="00AF3A24" w:rsidRDefault="00EF515E"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VARIABLE</w:t>
            </w:r>
          </w:p>
        </w:tc>
        <w:tc>
          <w:tcPr>
            <w:tcW w:w="1975" w:type="dxa"/>
            <w:gridSpan w:val="2"/>
            <w:vMerge w:val="restart"/>
            <w:shd w:val="clear" w:color="auto" w:fill="92CDDC" w:themeFill="accent5" w:themeFillTint="99"/>
            <w:vAlign w:val="center"/>
          </w:tcPr>
          <w:p w14:paraId="24FE3024"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TOTAL ADULT POPULATION</w:t>
            </w:r>
          </w:p>
        </w:tc>
        <w:tc>
          <w:tcPr>
            <w:tcW w:w="7859" w:type="dxa"/>
            <w:gridSpan w:val="8"/>
            <w:tcBorders>
              <w:bottom w:val="single" w:sz="4" w:space="0" w:color="auto"/>
            </w:tcBorders>
            <w:shd w:val="clear" w:color="auto" w:fill="92CDDC" w:themeFill="accent5" w:themeFillTint="99"/>
            <w:vAlign w:val="center"/>
          </w:tcPr>
          <w:p w14:paraId="46898C00"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r>
      <w:tr w:rsidR="00EF515E" w:rsidRPr="00AF3A24" w14:paraId="651D10A1" w14:textId="77777777" w:rsidTr="00A310A6">
        <w:trPr>
          <w:trHeight w:val="435"/>
          <w:jc w:val="center"/>
        </w:trPr>
        <w:tc>
          <w:tcPr>
            <w:tcW w:w="3062" w:type="dxa"/>
            <w:vMerge/>
            <w:shd w:val="clear" w:color="auto" w:fill="92CDDC" w:themeFill="accent5" w:themeFillTint="99"/>
            <w:vAlign w:val="center"/>
          </w:tcPr>
          <w:p w14:paraId="3A3AA156" w14:textId="77777777" w:rsidR="00EF515E" w:rsidRPr="00AF3A24" w:rsidRDefault="00EF515E" w:rsidP="00A310A6">
            <w:pPr>
              <w:spacing w:before="0" w:line="240" w:lineRule="auto"/>
              <w:jc w:val="left"/>
              <w:rPr>
                <w:rFonts w:asciiTheme="minorHAnsi" w:hAnsiTheme="minorHAnsi" w:cstheme="minorHAnsi"/>
                <w:b/>
                <w:sz w:val="18"/>
                <w:szCs w:val="18"/>
              </w:rPr>
            </w:pPr>
          </w:p>
        </w:tc>
        <w:tc>
          <w:tcPr>
            <w:tcW w:w="1975" w:type="dxa"/>
            <w:gridSpan w:val="2"/>
            <w:vMerge/>
            <w:tcBorders>
              <w:bottom w:val="single" w:sz="4" w:space="0" w:color="auto"/>
            </w:tcBorders>
            <w:shd w:val="clear" w:color="auto" w:fill="92CDDC" w:themeFill="accent5" w:themeFillTint="99"/>
          </w:tcPr>
          <w:p w14:paraId="764C3FB3" w14:textId="77777777" w:rsidR="00EF515E" w:rsidRPr="00AF3A24" w:rsidRDefault="00EF515E" w:rsidP="00A310A6">
            <w:pPr>
              <w:spacing w:before="0" w:line="240" w:lineRule="auto"/>
              <w:jc w:val="center"/>
              <w:rPr>
                <w:rFonts w:asciiTheme="minorHAnsi" w:hAnsiTheme="minorHAnsi" w:cstheme="minorHAnsi"/>
                <w:b/>
                <w:sz w:val="18"/>
                <w:szCs w:val="18"/>
              </w:rPr>
            </w:pPr>
          </w:p>
        </w:tc>
        <w:tc>
          <w:tcPr>
            <w:tcW w:w="1919" w:type="dxa"/>
            <w:gridSpan w:val="2"/>
            <w:tcBorders>
              <w:bottom w:val="single" w:sz="4" w:space="0" w:color="auto"/>
            </w:tcBorders>
            <w:shd w:val="clear" w:color="auto" w:fill="92CDDC" w:themeFill="accent5" w:themeFillTint="99"/>
            <w:vAlign w:val="center"/>
          </w:tcPr>
          <w:p w14:paraId="66349F99"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Non-gambler</w:t>
            </w:r>
          </w:p>
        </w:tc>
        <w:tc>
          <w:tcPr>
            <w:tcW w:w="1980" w:type="dxa"/>
            <w:gridSpan w:val="2"/>
            <w:tcBorders>
              <w:bottom w:val="single" w:sz="4" w:space="0" w:color="auto"/>
            </w:tcBorders>
            <w:shd w:val="clear" w:color="auto" w:fill="92CDDC" w:themeFill="accent5" w:themeFillTint="99"/>
            <w:vAlign w:val="center"/>
          </w:tcPr>
          <w:p w14:paraId="0BDBAE3E" w14:textId="77777777" w:rsidR="00EF515E" w:rsidRPr="00AF3A24" w:rsidRDefault="00847789" w:rsidP="00A310A6">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Non-problem / r</w:t>
            </w:r>
            <w:r w:rsidR="00EF515E" w:rsidRPr="00AF3A24">
              <w:rPr>
                <w:rFonts w:asciiTheme="minorHAnsi" w:hAnsiTheme="minorHAnsi" w:cstheme="minorHAnsi"/>
                <w:b/>
                <w:sz w:val="18"/>
                <w:szCs w:val="18"/>
              </w:rPr>
              <w:t>ecreational</w:t>
            </w:r>
          </w:p>
        </w:tc>
        <w:tc>
          <w:tcPr>
            <w:tcW w:w="1980" w:type="dxa"/>
            <w:gridSpan w:val="2"/>
            <w:tcBorders>
              <w:bottom w:val="single" w:sz="4" w:space="0" w:color="auto"/>
            </w:tcBorders>
            <w:shd w:val="clear" w:color="auto" w:fill="92CDDC" w:themeFill="accent5" w:themeFillTint="99"/>
            <w:vAlign w:val="center"/>
          </w:tcPr>
          <w:p w14:paraId="05B82518"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Low-risk</w:t>
            </w:r>
          </w:p>
        </w:tc>
        <w:tc>
          <w:tcPr>
            <w:tcW w:w="1980" w:type="dxa"/>
            <w:gridSpan w:val="2"/>
            <w:tcBorders>
              <w:bottom w:val="single" w:sz="4" w:space="0" w:color="auto"/>
            </w:tcBorders>
            <w:shd w:val="clear" w:color="auto" w:fill="92CDDC" w:themeFill="accent5" w:themeFillTint="99"/>
            <w:vAlign w:val="center"/>
          </w:tcPr>
          <w:p w14:paraId="0473AF69" w14:textId="77777777" w:rsidR="00EF515E" w:rsidRPr="00AF3A24" w:rsidRDefault="00847789"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Pr>
                <w:rFonts w:asciiTheme="minorHAnsi" w:hAnsiTheme="minorHAnsi" w:cstheme="minorHAnsi"/>
                <w:b/>
                <w:sz w:val="18"/>
                <w:szCs w:val="18"/>
              </w:rPr>
              <w:t>m</w:t>
            </w:r>
            <w:r w:rsidRPr="00AF3A24">
              <w:rPr>
                <w:rFonts w:asciiTheme="minorHAnsi" w:hAnsiTheme="minorHAnsi" w:cstheme="minorHAnsi"/>
                <w:b/>
                <w:sz w:val="18"/>
                <w:szCs w:val="18"/>
              </w:rPr>
              <w:t>oderate-risk</w:t>
            </w:r>
            <w:r>
              <w:rPr>
                <w:rFonts w:asciiTheme="minorHAnsi" w:hAnsiTheme="minorHAnsi" w:cstheme="minorHAnsi"/>
                <w:b/>
                <w:sz w:val="18"/>
                <w:szCs w:val="18"/>
              </w:rPr>
              <w:t xml:space="preserve"> and problem</w:t>
            </w:r>
            <w:r w:rsidRPr="00AF3A24">
              <w:rPr>
                <w:rFonts w:asciiTheme="minorHAnsi" w:hAnsiTheme="minorHAnsi" w:cstheme="minorHAnsi"/>
                <w:b/>
                <w:sz w:val="18"/>
                <w:szCs w:val="18"/>
              </w:rPr>
              <w:t xml:space="preserve"> </w:t>
            </w:r>
            <w:r w:rsidR="00EF515E" w:rsidRPr="00AF3A24">
              <w:rPr>
                <w:rFonts w:asciiTheme="minorHAnsi" w:hAnsiTheme="minorHAnsi" w:cstheme="minorHAnsi"/>
                <w:b/>
                <w:sz w:val="18"/>
                <w:szCs w:val="18"/>
                <w:vertAlign w:val="superscript"/>
              </w:rPr>
              <w:t>2</w:t>
            </w:r>
          </w:p>
        </w:tc>
      </w:tr>
      <w:tr w:rsidR="00EF515E" w:rsidRPr="00AF3A24" w14:paraId="285F750C" w14:textId="77777777" w:rsidTr="00A310A6">
        <w:trPr>
          <w:trHeight w:val="386"/>
          <w:jc w:val="center"/>
        </w:trPr>
        <w:tc>
          <w:tcPr>
            <w:tcW w:w="3062" w:type="dxa"/>
            <w:vMerge/>
            <w:tcBorders>
              <w:bottom w:val="single" w:sz="4" w:space="0" w:color="auto"/>
            </w:tcBorders>
            <w:shd w:val="clear" w:color="auto" w:fill="92CDDC" w:themeFill="accent5" w:themeFillTint="99"/>
          </w:tcPr>
          <w:p w14:paraId="2713E740" w14:textId="77777777" w:rsidR="00EF515E" w:rsidRPr="00AF3A24" w:rsidRDefault="00EF515E" w:rsidP="00A310A6">
            <w:pPr>
              <w:spacing w:before="0" w:line="240" w:lineRule="auto"/>
              <w:jc w:val="left"/>
              <w:rPr>
                <w:rFonts w:asciiTheme="minorHAnsi" w:hAnsiTheme="minorHAnsi" w:cstheme="minorHAnsi"/>
                <w:b/>
                <w:sz w:val="18"/>
                <w:szCs w:val="18"/>
              </w:rPr>
            </w:pPr>
          </w:p>
        </w:tc>
        <w:tc>
          <w:tcPr>
            <w:tcW w:w="895" w:type="dxa"/>
            <w:tcBorders>
              <w:bottom w:val="single" w:sz="4" w:space="0" w:color="auto"/>
            </w:tcBorders>
            <w:shd w:val="clear" w:color="auto" w:fill="92CDDC" w:themeFill="accent5" w:themeFillTint="99"/>
            <w:vAlign w:val="center"/>
          </w:tcPr>
          <w:p w14:paraId="419B5845"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7F96169F"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3BEEBD82"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0E905DB"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839" w:type="dxa"/>
            <w:tcBorders>
              <w:bottom w:val="single" w:sz="4" w:space="0" w:color="auto"/>
            </w:tcBorders>
            <w:shd w:val="clear" w:color="auto" w:fill="92CDDC" w:themeFill="accent5" w:themeFillTint="99"/>
            <w:vAlign w:val="center"/>
          </w:tcPr>
          <w:p w14:paraId="16929667"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10A099DB"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7C3B0F04"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00BC0FF5"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49BCD516"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6C4797D7"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1198F929"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349B5CA8"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473E6CCD"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40E0D129"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0BC4DFD3"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1ACB5189"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00" w:type="dxa"/>
            <w:tcBorders>
              <w:bottom w:val="single" w:sz="4" w:space="0" w:color="auto"/>
            </w:tcBorders>
            <w:shd w:val="clear" w:color="auto" w:fill="92CDDC" w:themeFill="accent5" w:themeFillTint="99"/>
            <w:vAlign w:val="center"/>
          </w:tcPr>
          <w:p w14:paraId="0503AADF"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p w14:paraId="78BEE607"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080" w:type="dxa"/>
            <w:tcBorders>
              <w:bottom w:val="single" w:sz="4" w:space="0" w:color="auto"/>
            </w:tcBorders>
            <w:shd w:val="clear" w:color="auto" w:fill="92CDDC" w:themeFill="accent5" w:themeFillTint="99"/>
            <w:vAlign w:val="center"/>
          </w:tcPr>
          <w:p w14:paraId="4E8BA383"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E0CB3ED"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EF515E" w:rsidRPr="00AF3A24" w14:paraId="1272EBCF" w14:textId="77777777" w:rsidTr="00A310A6">
        <w:trPr>
          <w:trHeight w:hRule="exact" w:val="222"/>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711A210D" w14:textId="77777777" w:rsidR="00EF515E" w:rsidRPr="00AF3A24" w:rsidRDefault="00EF515E" w:rsidP="00A310A6">
            <w:pPr>
              <w:spacing w:before="0" w:line="240" w:lineRule="auto"/>
              <w:jc w:val="left"/>
              <w:rPr>
                <w:rFonts w:asciiTheme="minorHAnsi" w:hAnsiTheme="minorHAnsi"/>
                <w:bCs/>
                <w:color w:val="000000"/>
                <w:sz w:val="16"/>
                <w:szCs w:val="18"/>
              </w:rPr>
            </w:pPr>
            <w:r w:rsidRPr="00AF3A24">
              <w:rPr>
                <w:rFonts w:asciiTheme="minorHAnsi" w:hAnsiTheme="minorHAnsi" w:cstheme="minorHAnsi"/>
                <w:b/>
                <w:sz w:val="16"/>
                <w:szCs w:val="16"/>
              </w:rPr>
              <w:t>USE OF G</w:t>
            </w:r>
            <w:r w:rsidR="00772348">
              <w:rPr>
                <w:rFonts w:asciiTheme="minorHAnsi" w:hAnsiTheme="minorHAnsi" w:cstheme="minorHAnsi"/>
                <w:b/>
                <w:sz w:val="16"/>
                <w:szCs w:val="16"/>
              </w:rPr>
              <w:t xml:space="preserve">ENERAL </w:t>
            </w:r>
            <w:r w:rsidRPr="00AF3A24">
              <w:rPr>
                <w:rFonts w:asciiTheme="minorHAnsi" w:hAnsiTheme="minorHAnsi" w:cstheme="minorHAnsi"/>
                <w:b/>
                <w:sz w:val="16"/>
                <w:szCs w:val="16"/>
              </w:rPr>
              <w:t>P</w:t>
            </w:r>
            <w:r w:rsidR="00772348">
              <w:rPr>
                <w:rFonts w:asciiTheme="minorHAnsi" w:hAnsiTheme="minorHAnsi" w:cstheme="minorHAnsi"/>
                <w:b/>
                <w:sz w:val="16"/>
                <w:szCs w:val="16"/>
              </w:rPr>
              <w:t>RACTITIONER</w:t>
            </w:r>
            <w:r w:rsidRPr="00AF3A24">
              <w:rPr>
                <w:rFonts w:asciiTheme="minorHAnsi" w:hAnsiTheme="minorHAnsi" w:cstheme="minorHAnsi"/>
                <w:b/>
                <w:sz w:val="16"/>
                <w:szCs w:val="16"/>
              </w:rPr>
              <w:t>:</w:t>
            </w:r>
          </w:p>
        </w:tc>
      </w:tr>
      <w:tr w:rsidR="00EF515E" w:rsidRPr="00AF3A24" w14:paraId="0EDF6CEE" w14:textId="77777777" w:rsidTr="00A310A6">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5DCD0FE2"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seen a GP (in the previous 12 months)</w:t>
            </w:r>
          </w:p>
        </w:tc>
        <w:tc>
          <w:tcPr>
            <w:tcW w:w="895" w:type="dxa"/>
            <w:tcBorders>
              <w:top w:val="single" w:sz="4" w:space="0" w:color="auto"/>
              <w:bottom w:val="single" w:sz="4" w:space="0" w:color="auto"/>
              <w:right w:val="nil"/>
            </w:tcBorders>
            <w:shd w:val="clear" w:color="auto" w:fill="DAEEF3" w:themeFill="accent5" w:themeFillTint="33"/>
            <w:vAlign w:val="center"/>
          </w:tcPr>
          <w:p w14:paraId="1EE726F9"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10,063</w:t>
            </w:r>
          </w:p>
          <w:p w14:paraId="24CED814"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(12,574)</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E4444E5"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78.5</w:t>
            </w:r>
            <w:r w:rsidRPr="00AF3A24">
              <w:rPr>
                <w:rFonts w:asciiTheme="minorHAnsi" w:hAnsiTheme="minorHAnsi"/>
                <w:b/>
                <w:bCs/>
                <w:color w:val="000000"/>
                <w:sz w:val="16"/>
                <w:szCs w:val="18"/>
              </w:rPr>
              <w:br/>
              <w:t>(77.5 - 79.6)</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C13BF90"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4,674</w:t>
            </w:r>
          </w:p>
          <w:p w14:paraId="6CA8BDE4"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(10,062)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089D814"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75.6</w:t>
            </w:r>
            <w:r w:rsidRPr="00AF3A24">
              <w:rPr>
                <w:rFonts w:asciiTheme="minorHAnsi" w:hAnsiTheme="minorHAnsi"/>
                <w:bCs/>
                <w:color w:val="000000"/>
                <w:sz w:val="16"/>
                <w:szCs w:val="18"/>
              </w:rPr>
              <w:br/>
              <w:t>(74.1 - 77.2)</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633341AB"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5,023</w:t>
            </w:r>
          </w:p>
          <w:p w14:paraId="406B251F"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(10,062)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97BF498"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81.2</w:t>
            </w:r>
            <w:r w:rsidRPr="00AF3A24">
              <w:rPr>
                <w:rFonts w:asciiTheme="minorHAnsi" w:hAnsiTheme="minorHAnsi"/>
                <w:bCs/>
                <w:color w:val="000000"/>
                <w:sz w:val="16"/>
                <w:szCs w:val="18"/>
              </w:rPr>
              <w:br/>
              <w:t>(79.8 - 82.6)</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53635F5B"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218</w:t>
            </w:r>
          </w:p>
          <w:p w14:paraId="264E14BB"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(10,062)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C7E0847"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77.8</w:t>
            </w:r>
            <w:r w:rsidRPr="00AF3A24">
              <w:rPr>
                <w:rFonts w:asciiTheme="minorHAnsi" w:hAnsiTheme="minorHAnsi"/>
                <w:bCs/>
                <w:color w:val="000000"/>
                <w:sz w:val="16"/>
                <w:szCs w:val="18"/>
              </w:rPr>
              <w:br/>
              <w:t>(71.4 - 84.2)</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A104411"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147</w:t>
            </w:r>
          </w:p>
          <w:p w14:paraId="4D100376"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(10,062)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7A61A40C"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84.6</w:t>
            </w:r>
            <w:r w:rsidRPr="00AF3A24">
              <w:rPr>
                <w:rFonts w:asciiTheme="minorHAnsi" w:hAnsiTheme="minorHAnsi"/>
                <w:bCs/>
                <w:color w:val="000000"/>
                <w:sz w:val="16"/>
                <w:szCs w:val="18"/>
              </w:rPr>
              <w:br/>
              <w:t>(78.2 - 91.0)</w:t>
            </w:r>
          </w:p>
        </w:tc>
      </w:tr>
      <w:tr w:rsidR="00EF515E" w:rsidRPr="00AF3A24" w14:paraId="5C53EDE5"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2C6290A6" w14:textId="77777777" w:rsidR="00EF515E" w:rsidRPr="00AF3A24" w:rsidRDefault="00EF515E" w:rsidP="008E0446">
            <w:pPr>
              <w:spacing w:before="0" w:line="240" w:lineRule="auto"/>
              <w:jc w:val="left"/>
              <w:rPr>
                <w:rFonts w:asciiTheme="minorHAnsi" w:hAnsiTheme="minorHAnsi"/>
                <w:bCs/>
                <w:color w:val="000000"/>
                <w:sz w:val="16"/>
                <w:szCs w:val="18"/>
                <w:highlight w:val="cyan"/>
              </w:rPr>
            </w:pPr>
            <w:r w:rsidRPr="00AF3A24">
              <w:rPr>
                <w:rFonts w:asciiTheme="minorHAnsi" w:hAnsiTheme="minorHAnsi" w:cstheme="minorHAnsi"/>
                <w:b/>
                <w:sz w:val="16"/>
                <w:szCs w:val="16"/>
              </w:rPr>
              <w:t xml:space="preserve">UNMET NEEDS </w:t>
            </w:r>
            <w:r w:rsidR="00772348">
              <w:rPr>
                <w:rFonts w:asciiTheme="minorHAnsi" w:hAnsiTheme="minorHAnsi" w:cstheme="minorHAnsi"/>
                <w:b/>
                <w:sz w:val="16"/>
                <w:szCs w:val="16"/>
              </w:rPr>
              <w:t>–</w:t>
            </w:r>
            <w:r w:rsidRPr="00AF3A24">
              <w:rPr>
                <w:rFonts w:asciiTheme="minorHAnsi" w:hAnsiTheme="minorHAnsi" w:cstheme="minorHAnsi"/>
                <w:b/>
                <w:sz w:val="16"/>
                <w:szCs w:val="16"/>
              </w:rPr>
              <w:t xml:space="preserve"> G</w:t>
            </w:r>
            <w:r w:rsidR="00772348">
              <w:rPr>
                <w:rFonts w:asciiTheme="minorHAnsi" w:hAnsiTheme="minorHAnsi" w:cstheme="minorHAnsi"/>
                <w:b/>
                <w:sz w:val="16"/>
                <w:szCs w:val="16"/>
              </w:rPr>
              <w:t xml:space="preserve">ENERAL </w:t>
            </w:r>
            <w:r w:rsidRPr="00AF3A24">
              <w:rPr>
                <w:rFonts w:asciiTheme="minorHAnsi" w:hAnsiTheme="minorHAnsi" w:cstheme="minorHAnsi"/>
                <w:b/>
                <w:sz w:val="16"/>
                <w:szCs w:val="16"/>
              </w:rPr>
              <w:t>P</w:t>
            </w:r>
            <w:r w:rsidR="00772348">
              <w:rPr>
                <w:rFonts w:asciiTheme="minorHAnsi" w:hAnsiTheme="minorHAnsi" w:cstheme="minorHAnsi"/>
                <w:b/>
                <w:sz w:val="16"/>
                <w:szCs w:val="16"/>
              </w:rPr>
              <w:t>RACTITIONER</w:t>
            </w:r>
            <w:r w:rsidRPr="00AF3A24">
              <w:rPr>
                <w:rFonts w:asciiTheme="minorHAnsi" w:hAnsiTheme="minorHAnsi" w:cstheme="minorHAnsi"/>
                <w:b/>
                <w:sz w:val="16"/>
                <w:szCs w:val="16"/>
              </w:rPr>
              <w:t>:</w:t>
            </w:r>
          </w:p>
        </w:tc>
      </w:tr>
      <w:tr w:rsidR="00EF515E" w:rsidRPr="00AF3A24" w14:paraId="5FBE5272" w14:textId="77777777" w:rsidTr="00A310A6">
        <w:trPr>
          <w:trHeight w:val="263"/>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1ADA4FDF" w14:textId="77777777" w:rsidR="00EF515E" w:rsidRPr="00AF3A24" w:rsidRDefault="00EF515E" w:rsidP="008E044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had an unmet need for GP services (in the previous 12 months)</w:t>
            </w:r>
          </w:p>
        </w:tc>
        <w:tc>
          <w:tcPr>
            <w:tcW w:w="895" w:type="dxa"/>
            <w:tcBorders>
              <w:top w:val="single" w:sz="4" w:space="0" w:color="auto"/>
              <w:bottom w:val="single" w:sz="4" w:space="0" w:color="auto"/>
              <w:right w:val="nil"/>
            </w:tcBorders>
            <w:shd w:val="clear" w:color="auto" w:fill="DAEEF3" w:themeFill="accent5" w:themeFillTint="33"/>
            <w:vAlign w:val="center"/>
          </w:tcPr>
          <w:p w14:paraId="4436E425"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1,222</w:t>
            </w:r>
          </w:p>
          <w:p w14:paraId="08DB39E2"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(12,577)</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D484FCB"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8.6</w:t>
            </w:r>
            <w:r w:rsidRPr="00AF3A24">
              <w:rPr>
                <w:rFonts w:asciiTheme="minorHAnsi" w:hAnsiTheme="minorHAnsi"/>
                <w:b/>
                <w:bCs/>
                <w:color w:val="000000"/>
                <w:sz w:val="16"/>
                <w:szCs w:val="18"/>
              </w:rPr>
              <w:br/>
              <w:t>(7.9 - 9.3)</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3A29FD88"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565</w:t>
            </w:r>
          </w:p>
          <w:p w14:paraId="77F01BA0"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(1,222)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160C56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8.1</w:t>
            </w:r>
            <w:r w:rsidRPr="00AF3A24">
              <w:rPr>
                <w:rFonts w:asciiTheme="minorHAnsi" w:hAnsiTheme="minorHAnsi"/>
                <w:bCs/>
                <w:color w:val="000000"/>
                <w:sz w:val="16"/>
                <w:szCs w:val="18"/>
              </w:rPr>
              <w:br/>
              <w:t>(7.2 - 9.0)</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0882F3F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561</w:t>
            </w:r>
          </w:p>
          <w:p w14:paraId="22D70163"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(1,222)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D5CE997"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8.5</w:t>
            </w:r>
            <w:r w:rsidRPr="00AF3A24">
              <w:rPr>
                <w:rFonts w:asciiTheme="minorHAnsi" w:hAnsiTheme="minorHAnsi"/>
                <w:bCs/>
                <w:color w:val="000000"/>
                <w:sz w:val="16"/>
                <w:szCs w:val="18"/>
              </w:rPr>
              <w:br/>
              <w:t>(7.5 - 9.4)</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607A094A"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57</w:t>
            </w:r>
          </w:p>
          <w:p w14:paraId="44C34801"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(1,222)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2AE2C54"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17.1</w:t>
            </w:r>
            <w:r w:rsidRPr="00AF3A24">
              <w:rPr>
                <w:rFonts w:asciiTheme="minorHAnsi" w:hAnsiTheme="minorHAnsi"/>
                <w:bCs/>
                <w:color w:val="000000"/>
                <w:sz w:val="16"/>
                <w:szCs w:val="18"/>
              </w:rPr>
              <w:br/>
              <w:t>(11.8 - 22.3)</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EE73D73"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39</w:t>
            </w:r>
          </w:p>
          <w:p w14:paraId="482D41B0"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(1,222)</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B3DDFC5"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22.0</w:t>
            </w:r>
            <w:r w:rsidRPr="00AF3A24">
              <w:rPr>
                <w:rFonts w:asciiTheme="minorHAnsi" w:hAnsiTheme="minorHAnsi"/>
                <w:bCs/>
                <w:color w:val="000000"/>
                <w:sz w:val="16"/>
                <w:szCs w:val="18"/>
              </w:rPr>
              <w:br/>
              <w:t>(13.8 - 30.3)</w:t>
            </w:r>
          </w:p>
        </w:tc>
      </w:tr>
      <w:tr w:rsidR="00EF515E" w:rsidRPr="00AF3A24" w14:paraId="6A846799" w14:textId="77777777" w:rsidTr="00A310A6">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236DBD00" w14:textId="77777777" w:rsidR="00EF515E" w:rsidRPr="00AF3A24" w:rsidRDefault="00EF515E" w:rsidP="008E044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Has had an unmet need for GP services </w:t>
            </w:r>
            <w:r w:rsidRPr="00AF3A24">
              <w:rPr>
                <w:rFonts w:asciiTheme="minorHAnsi" w:hAnsiTheme="minorHAnsi" w:cstheme="minorHAnsi"/>
                <w:i/>
                <w:sz w:val="16"/>
                <w:szCs w:val="16"/>
                <w:u w:val="single"/>
              </w:rPr>
              <w:t>due to cost</w:t>
            </w:r>
            <w:r w:rsidRPr="00AF3A24">
              <w:rPr>
                <w:rFonts w:asciiTheme="minorHAnsi" w:hAnsiTheme="minorHAnsi" w:cstheme="minorHAnsi"/>
                <w:b/>
                <w:sz w:val="16"/>
                <w:szCs w:val="16"/>
              </w:rPr>
              <w:t xml:space="preserve"> </w:t>
            </w:r>
            <w:r w:rsidRPr="00AF3A24">
              <w:rPr>
                <w:rFonts w:asciiTheme="minorHAnsi" w:hAnsiTheme="minorHAnsi" w:cstheme="minorHAnsi"/>
                <w:sz w:val="16"/>
                <w:szCs w:val="16"/>
              </w:rPr>
              <w:t>(in the previous 12 months)</w:t>
            </w:r>
          </w:p>
        </w:tc>
        <w:tc>
          <w:tcPr>
            <w:tcW w:w="895" w:type="dxa"/>
            <w:tcBorders>
              <w:top w:val="single" w:sz="4" w:space="0" w:color="auto"/>
              <w:bottom w:val="single" w:sz="4" w:space="0" w:color="auto"/>
              <w:right w:val="nil"/>
            </w:tcBorders>
            <w:shd w:val="clear" w:color="auto" w:fill="DAEEF3" w:themeFill="accent5" w:themeFillTint="33"/>
            <w:vAlign w:val="center"/>
          </w:tcPr>
          <w:p w14:paraId="43F87DD2"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2,030</w:t>
            </w:r>
          </w:p>
          <w:p w14:paraId="2EFFAC72"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(12,589)</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1874C03"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13.8</w:t>
            </w:r>
            <w:r w:rsidRPr="00AF3A24">
              <w:rPr>
                <w:rFonts w:asciiTheme="minorHAnsi" w:hAnsiTheme="minorHAnsi"/>
                <w:b/>
                <w:bCs/>
                <w:color w:val="000000"/>
                <w:sz w:val="16"/>
                <w:szCs w:val="18"/>
              </w:rPr>
              <w:br/>
              <w:t>(12.9 - 14.7)</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E7BC436"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1030</w:t>
            </w:r>
          </w:p>
          <w:p w14:paraId="4D234381"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CE17751"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13.7</w:t>
            </w:r>
            <w:r w:rsidRPr="00AF3A24">
              <w:rPr>
                <w:rFonts w:asciiTheme="minorHAnsi" w:hAnsiTheme="minorHAnsi"/>
                <w:bCs/>
                <w:color w:val="000000"/>
                <w:sz w:val="16"/>
                <w:szCs w:val="18"/>
              </w:rPr>
              <w:br/>
              <w:t>(12.5 - 14.9)</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50AB34E4"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865</w:t>
            </w:r>
          </w:p>
          <w:p w14:paraId="53190032"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01295130"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13.0</w:t>
            </w:r>
            <w:r w:rsidRPr="00AF3A24">
              <w:rPr>
                <w:rFonts w:asciiTheme="minorHAnsi" w:hAnsiTheme="minorHAnsi"/>
                <w:bCs/>
                <w:color w:val="000000"/>
                <w:sz w:val="16"/>
                <w:szCs w:val="18"/>
              </w:rPr>
              <w:br/>
              <w:t>(11.8 - 14.1)</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291C5BC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82</w:t>
            </w:r>
          </w:p>
          <w:p w14:paraId="3FFABE9C"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16F44AC"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26.5</w:t>
            </w:r>
            <w:r w:rsidRPr="00AF3A24">
              <w:rPr>
                <w:rFonts w:asciiTheme="minorHAnsi" w:hAnsiTheme="minorHAnsi"/>
                <w:bCs/>
                <w:color w:val="000000"/>
                <w:sz w:val="16"/>
                <w:szCs w:val="18"/>
              </w:rPr>
              <w:br/>
              <w:t>(19.9 - 33.1)</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74AA3C1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53</w:t>
            </w:r>
          </w:p>
          <w:p w14:paraId="41D14F99"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(2,030)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5E76E6F"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27.0</w:t>
            </w:r>
            <w:r w:rsidRPr="00AF3A24">
              <w:rPr>
                <w:rFonts w:asciiTheme="minorHAnsi" w:hAnsiTheme="minorHAnsi"/>
                <w:bCs/>
                <w:color w:val="000000"/>
                <w:sz w:val="16"/>
                <w:szCs w:val="18"/>
              </w:rPr>
              <w:br/>
              <w:t>(18.1 - 35.9)</w:t>
            </w:r>
          </w:p>
        </w:tc>
      </w:tr>
      <w:tr w:rsidR="00EF515E" w:rsidRPr="00AF3A24" w14:paraId="02A8DF45" w14:textId="77777777" w:rsidTr="00A310A6">
        <w:trPr>
          <w:trHeight w:hRule="exact" w:val="227"/>
          <w:jc w:val="center"/>
        </w:trPr>
        <w:tc>
          <w:tcPr>
            <w:tcW w:w="12896" w:type="dxa"/>
            <w:gridSpan w:val="11"/>
            <w:tcBorders>
              <w:top w:val="single" w:sz="4" w:space="0" w:color="auto"/>
              <w:bottom w:val="single" w:sz="4" w:space="0" w:color="auto"/>
              <w:right w:val="single" w:sz="4" w:space="0" w:color="auto"/>
            </w:tcBorders>
            <w:shd w:val="clear" w:color="auto" w:fill="DAEEF3" w:themeFill="accent5" w:themeFillTint="33"/>
            <w:vAlign w:val="center"/>
          </w:tcPr>
          <w:p w14:paraId="74873929" w14:textId="77777777" w:rsidR="00EF515E" w:rsidRPr="00AF3A24" w:rsidRDefault="00EF515E" w:rsidP="00F76DEC">
            <w:pPr>
              <w:spacing w:before="0" w:line="240" w:lineRule="auto"/>
              <w:jc w:val="left"/>
              <w:rPr>
                <w:rFonts w:asciiTheme="minorHAnsi" w:hAnsiTheme="minorHAnsi"/>
                <w:bCs/>
                <w:color w:val="000000"/>
                <w:sz w:val="16"/>
                <w:szCs w:val="18"/>
              </w:rPr>
            </w:pPr>
            <w:r w:rsidRPr="00AF3A24">
              <w:rPr>
                <w:rFonts w:asciiTheme="minorHAnsi" w:hAnsiTheme="minorHAnsi" w:cstheme="minorHAnsi"/>
                <w:b/>
                <w:sz w:val="16"/>
                <w:szCs w:val="16"/>
              </w:rPr>
              <w:t xml:space="preserve">USE OF OTHER </w:t>
            </w:r>
            <w:r w:rsidR="00F76DEC">
              <w:rPr>
                <w:rFonts w:asciiTheme="minorHAnsi" w:hAnsiTheme="minorHAnsi" w:cstheme="minorHAnsi"/>
                <w:b/>
                <w:sz w:val="16"/>
                <w:szCs w:val="16"/>
              </w:rPr>
              <w:t>HEALTH PROFESSIONALS</w:t>
            </w:r>
            <w:r w:rsidRPr="00AF3A24">
              <w:rPr>
                <w:rFonts w:asciiTheme="minorHAnsi" w:hAnsiTheme="minorHAnsi" w:cstheme="minorHAnsi"/>
                <w:b/>
                <w:sz w:val="16"/>
                <w:szCs w:val="16"/>
              </w:rPr>
              <w:t>:</w:t>
            </w:r>
            <w:r w:rsidRPr="00AF3A24">
              <w:rPr>
                <w:rFonts w:asciiTheme="minorHAnsi" w:hAnsiTheme="minorHAnsi" w:cstheme="minorHAnsi"/>
                <w:sz w:val="16"/>
                <w:szCs w:val="16"/>
              </w:rPr>
              <w:t xml:space="preserve"> </w:t>
            </w:r>
          </w:p>
        </w:tc>
      </w:tr>
      <w:tr w:rsidR="00EF515E" w:rsidRPr="00AF3A24" w14:paraId="214B414D" w14:textId="77777777" w:rsidTr="00A310A6">
        <w:trPr>
          <w:jc w:val="center"/>
        </w:trPr>
        <w:tc>
          <w:tcPr>
            <w:tcW w:w="3062" w:type="dxa"/>
            <w:tcBorders>
              <w:top w:val="single" w:sz="4" w:space="0" w:color="auto"/>
              <w:bottom w:val="single" w:sz="4" w:space="0" w:color="auto"/>
              <w:right w:val="single" w:sz="4" w:space="0" w:color="auto"/>
            </w:tcBorders>
            <w:shd w:val="clear" w:color="auto" w:fill="DAEEF3" w:themeFill="accent5" w:themeFillTint="33"/>
            <w:vAlign w:val="center"/>
          </w:tcPr>
          <w:p w14:paraId="238A19D5"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seen a psychologist, counsellor or social worker (in the previous 12 months)</w:t>
            </w:r>
          </w:p>
        </w:tc>
        <w:tc>
          <w:tcPr>
            <w:tcW w:w="895" w:type="dxa"/>
            <w:tcBorders>
              <w:top w:val="single" w:sz="4" w:space="0" w:color="auto"/>
              <w:bottom w:val="single" w:sz="4" w:space="0" w:color="auto"/>
              <w:right w:val="nil"/>
            </w:tcBorders>
            <w:shd w:val="clear" w:color="auto" w:fill="DAEEF3" w:themeFill="accent5" w:themeFillTint="33"/>
            <w:vAlign w:val="center"/>
          </w:tcPr>
          <w:p w14:paraId="040DC9F7"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590</w:t>
            </w:r>
          </w:p>
          <w:p w14:paraId="2009BB16"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(12,596)</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305AF0DE" w14:textId="77777777" w:rsidR="00EF515E" w:rsidRPr="00AF3A24" w:rsidRDefault="00EF515E" w:rsidP="00A310A6">
            <w:pPr>
              <w:spacing w:before="0" w:line="240" w:lineRule="auto"/>
              <w:jc w:val="center"/>
              <w:rPr>
                <w:rFonts w:asciiTheme="minorHAnsi" w:hAnsiTheme="minorHAnsi"/>
                <w:b/>
                <w:bCs/>
                <w:color w:val="000000"/>
                <w:sz w:val="16"/>
                <w:szCs w:val="18"/>
              </w:rPr>
            </w:pPr>
            <w:r w:rsidRPr="00AF3A24">
              <w:rPr>
                <w:rFonts w:asciiTheme="minorHAnsi" w:hAnsiTheme="minorHAnsi"/>
                <w:b/>
                <w:bCs/>
                <w:color w:val="000000"/>
                <w:sz w:val="16"/>
                <w:szCs w:val="18"/>
              </w:rPr>
              <w:t>3.9</w:t>
            </w:r>
            <w:r w:rsidRPr="00AF3A24">
              <w:rPr>
                <w:rFonts w:asciiTheme="minorHAnsi" w:hAnsiTheme="minorHAnsi"/>
                <w:b/>
                <w:bCs/>
                <w:color w:val="000000"/>
                <w:sz w:val="16"/>
                <w:szCs w:val="18"/>
              </w:rPr>
              <w:br/>
              <w:t>(3.5 - 4.3)</w:t>
            </w:r>
          </w:p>
        </w:tc>
        <w:tc>
          <w:tcPr>
            <w:tcW w:w="839"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2BD73F21"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302</w:t>
            </w:r>
          </w:p>
          <w:p w14:paraId="7B9D9D97"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68B3AA6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4.2</w:t>
            </w:r>
            <w:r w:rsidRPr="00AF3A24">
              <w:rPr>
                <w:rFonts w:asciiTheme="minorHAnsi" w:hAnsiTheme="minorHAnsi"/>
                <w:bCs/>
                <w:color w:val="000000"/>
                <w:sz w:val="16"/>
                <w:szCs w:val="18"/>
              </w:rPr>
              <w:br/>
              <w:t>(3.6 - 4.8)</w:t>
            </w:r>
          </w:p>
        </w:tc>
        <w:tc>
          <w:tcPr>
            <w:tcW w:w="900" w:type="dxa"/>
            <w:tcBorders>
              <w:top w:val="single" w:sz="4" w:space="0" w:color="auto"/>
              <w:left w:val="single" w:sz="4" w:space="0" w:color="auto"/>
              <w:bottom w:val="single" w:sz="4" w:space="0" w:color="auto"/>
              <w:right w:val="nil"/>
            </w:tcBorders>
            <w:shd w:val="clear" w:color="auto" w:fill="DAEEF3" w:themeFill="accent5" w:themeFillTint="33"/>
            <w:vAlign w:val="center"/>
          </w:tcPr>
          <w:p w14:paraId="4F9E3279"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244</w:t>
            </w:r>
          </w:p>
          <w:p w14:paraId="0303371C"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D65D6E9"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3.4</w:t>
            </w:r>
            <w:r w:rsidRPr="00AF3A24">
              <w:rPr>
                <w:rFonts w:asciiTheme="minorHAnsi" w:hAnsiTheme="minorHAnsi"/>
                <w:bCs/>
                <w:color w:val="000000"/>
                <w:sz w:val="16"/>
                <w:szCs w:val="18"/>
              </w:rPr>
              <w:br/>
              <w:t>(2.8 - 4.0)</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36F262CB"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19</w:t>
            </w:r>
          </w:p>
          <w:p w14:paraId="0BC4CE6E"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18300CC8"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5.5</w:t>
            </w:r>
            <w:r w:rsidRPr="00AF3A24">
              <w:rPr>
                <w:rFonts w:asciiTheme="minorHAnsi" w:hAnsiTheme="minorHAnsi"/>
                <w:bCs/>
                <w:color w:val="000000"/>
                <w:sz w:val="16"/>
                <w:szCs w:val="18"/>
              </w:rPr>
              <w:br/>
              <w:t>(2.6 - 8.5)</w:t>
            </w:r>
          </w:p>
        </w:tc>
        <w:tc>
          <w:tcPr>
            <w:tcW w:w="900" w:type="dxa"/>
            <w:tcBorders>
              <w:top w:val="single" w:sz="4" w:space="0" w:color="auto"/>
              <w:left w:val="nil"/>
              <w:bottom w:val="single" w:sz="4" w:space="0" w:color="auto"/>
              <w:right w:val="nil"/>
            </w:tcBorders>
            <w:shd w:val="clear" w:color="auto" w:fill="DAEEF3" w:themeFill="accent5" w:themeFillTint="33"/>
            <w:vAlign w:val="center"/>
          </w:tcPr>
          <w:p w14:paraId="06671EB0"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25</w:t>
            </w:r>
          </w:p>
          <w:p w14:paraId="3D110B19"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(590)</w:t>
            </w:r>
          </w:p>
        </w:tc>
        <w:tc>
          <w:tcPr>
            <w:tcW w:w="1080"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51E38AA8" w14:textId="77777777" w:rsidR="00EF515E" w:rsidRPr="00AF3A24" w:rsidRDefault="00EF515E" w:rsidP="00A310A6">
            <w:pPr>
              <w:spacing w:before="0" w:line="240" w:lineRule="auto"/>
              <w:jc w:val="center"/>
              <w:rPr>
                <w:rFonts w:asciiTheme="minorHAnsi" w:hAnsiTheme="minorHAnsi"/>
                <w:bCs/>
                <w:color w:val="000000"/>
                <w:sz w:val="16"/>
                <w:szCs w:val="18"/>
              </w:rPr>
            </w:pPr>
            <w:r w:rsidRPr="00AF3A24">
              <w:rPr>
                <w:rFonts w:asciiTheme="minorHAnsi" w:hAnsiTheme="minorHAnsi"/>
                <w:bCs/>
                <w:color w:val="000000"/>
                <w:sz w:val="16"/>
                <w:szCs w:val="18"/>
              </w:rPr>
              <w:t>12.5</w:t>
            </w:r>
            <w:r w:rsidRPr="00AF3A24">
              <w:rPr>
                <w:rFonts w:asciiTheme="minorHAnsi" w:hAnsiTheme="minorHAnsi"/>
                <w:bCs/>
                <w:color w:val="000000"/>
                <w:sz w:val="16"/>
                <w:szCs w:val="18"/>
              </w:rPr>
              <w:br/>
              <w:t>(6.2 - 18.8)</w:t>
            </w:r>
          </w:p>
        </w:tc>
      </w:tr>
    </w:tbl>
    <w:p w14:paraId="5F14DA86" w14:textId="77777777" w:rsidR="00EF515E" w:rsidRPr="00AF3A24" w:rsidRDefault="00EF515E" w:rsidP="00EF515E">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3E101F52" w14:textId="77777777" w:rsidR="00EF515E" w:rsidRPr="00AF3A24" w:rsidRDefault="00EF515E" w:rsidP="00D75319">
      <w:pPr>
        <w:pStyle w:val="ListParagraph"/>
        <w:numPr>
          <w:ilvl w:val="0"/>
          <w:numId w:val="24"/>
        </w:numPr>
        <w:spacing w:line="240" w:lineRule="auto"/>
        <w:ind w:left="851"/>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0B8E6210" w14:textId="77777777" w:rsidR="00EF515E" w:rsidRPr="00EF515E" w:rsidRDefault="00EF515E" w:rsidP="00D75319">
      <w:pPr>
        <w:pStyle w:val="ListParagraph"/>
        <w:numPr>
          <w:ilvl w:val="0"/>
          <w:numId w:val="24"/>
        </w:numPr>
        <w:spacing w:line="240" w:lineRule="auto"/>
        <w:ind w:left="851"/>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r w:rsidRPr="00AF3A24">
        <w:rPr>
          <w:rFonts w:asciiTheme="minorHAnsi" w:hAnsiTheme="minorHAnsi"/>
        </w:rPr>
        <w:br w:type="page"/>
      </w:r>
    </w:p>
    <w:p w14:paraId="7054A80C" w14:textId="4341EF09" w:rsidR="00EF515E" w:rsidRPr="00AF3A24" w:rsidRDefault="00EF515E" w:rsidP="00EF515E">
      <w:pPr>
        <w:pStyle w:val="Caption"/>
        <w:keepNext/>
        <w:spacing w:line="276" w:lineRule="auto"/>
        <w:ind w:left="993" w:hanging="993"/>
        <w:rPr>
          <w:rFonts w:asciiTheme="minorHAnsi" w:hAnsiTheme="minorHAnsi" w:cstheme="minorHAnsi"/>
          <w:i/>
          <w:vertAlign w:val="superscript"/>
        </w:rPr>
      </w:pPr>
      <w:bookmarkStart w:id="327" w:name="_Ref398039786"/>
      <w:bookmarkStart w:id="328" w:name="_Toc425426900"/>
      <w:r w:rsidRPr="00AF3A24">
        <w:rPr>
          <w:rFonts w:asciiTheme="minorHAnsi" w:hAnsiTheme="minorHAnsi"/>
          <w:i/>
        </w:rPr>
        <w:lastRenderedPageBreak/>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33</w:t>
      </w:r>
      <w:r w:rsidRPr="00AF3A24">
        <w:rPr>
          <w:rFonts w:asciiTheme="minorHAnsi" w:hAnsiTheme="minorHAnsi"/>
          <w:i/>
        </w:rPr>
        <w:fldChar w:fldCharType="end"/>
      </w:r>
      <w:bookmarkEnd w:id="327"/>
      <w:r w:rsidRPr="00AF3A24">
        <w:rPr>
          <w:rFonts w:asciiTheme="minorHAnsi" w:hAnsiTheme="minorHAnsi"/>
          <w:i/>
        </w:rPr>
        <w:t>:</w:t>
      </w:r>
      <w:r w:rsidRPr="00AF3A24">
        <w:rPr>
          <w:rFonts w:asciiTheme="minorHAnsi" w:hAnsiTheme="minorHAnsi" w:cstheme="minorHAnsi"/>
          <w:i/>
        </w:rPr>
        <w:tab/>
        <w:t>Gambling status by use of health services</w:t>
      </w:r>
      <w:r w:rsidR="003736B9">
        <w:rPr>
          <w:rFonts w:asciiTheme="minorHAnsi" w:hAnsiTheme="minorHAnsi" w:cstheme="minorHAnsi"/>
          <w:i/>
        </w:rPr>
        <w:t>, total population aged 15 years and over</w:t>
      </w:r>
      <w:r w:rsidRPr="00AF3A24">
        <w:rPr>
          <w:rFonts w:asciiTheme="minorHAnsi" w:hAnsiTheme="minorHAnsi" w:cstheme="minorHAnsi"/>
          <w:i/>
        </w:rPr>
        <w:t xml:space="preserve"> – Odds ratios and p-values </w:t>
      </w:r>
      <w:r w:rsidRPr="00AF3A24">
        <w:rPr>
          <w:rFonts w:asciiTheme="minorHAnsi" w:hAnsiTheme="minorHAnsi" w:cstheme="minorHAnsi"/>
          <w:i/>
          <w:vertAlign w:val="superscript"/>
        </w:rPr>
        <w:t>1</w:t>
      </w:r>
      <w:bookmarkEnd w:id="328"/>
      <w:r w:rsidRPr="00AF3A24">
        <w:rPr>
          <w:rFonts w:asciiTheme="minorHAnsi" w:hAnsiTheme="minorHAnsi" w:cstheme="minorHAnsi"/>
          <w:i/>
          <w:vertAlign w:val="superscript"/>
        </w:rPr>
        <w:t xml:space="preserve"> </w:t>
      </w:r>
    </w:p>
    <w:tbl>
      <w:tblPr>
        <w:tblStyle w:val="TableGrid"/>
        <w:tblW w:w="13005" w:type="dxa"/>
        <w:jc w:val="center"/>
        <w:tblLayout w:type="fixed"/>
        <w:tblLook w:val="04A0" w:firstRow="1" w:lastRow="0" w:firstColumn="1" w:lastColumn="0" w:noHBand="0" w:noVBand="1"/>
      </w:tblPr>
      <w:tblGrid>
        <w:gridCol w:w="5809"/>
        <w:gridCol w:w="2067"/>
        <w:gridCol w:w="2068"/>
        <w:gridCol w:w="2068"/>
        <w:gridCol w:w="993"/>
      </w:tblGrid>
      <w:tr w:rsidR="00EF515E" w:rsidRPr="00AF3A24" w14:paraId="05A222A3" w14:textId="77777777" w:rsidTr="00A310A6">
        <w:trPr>
          <w:trHeight w:val="386"/>
          <w:jc w:val="center"/>
        </w:trPr>
        <w:tc>
          <w:tcPr>
            <w:tcW w:w="5809" w:type="dxa"/>
            <w:vMerge w:val="restart"/>
            <w:shd w:val="clear" w:color="auto" w:fill="92CDDC" w:themeFill="accent5" w:themeFillTint="99"/>
            <w:vAlign w:val="center"/>
          </w:tcPr>
          <w:p w14:paraId="7ABFC2F3" w14:textId="77777777" w:rsidR="00EF515E" w:rsidRPr="00AF3A24" w:rsidRDefault="00EF515E" w:rsidP="00A310A6">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VARIABLE</w:t>
            </w:r>
          </w:p>
        </w:tc>
        <w:tc>
          <w:tcPr>
            <w:tcW w:w="6203" w:type="dxa"/>
            <w:gridSpan w:val="3"/>
            <w:tcBorders>
              <w:bottom w:val="single" w:sz="4" w:space="0" w:color="auto"/>
            </w:tcBorders>
            <w:shd w:val="clear" w:color="auto" w:fill="92CDDC" w:themeFill="accent5" w:themeFillTint="99"/>
            <w:vAlign w:val="center"/>
          </w:tcPr>
          <w:p w14:paraId="29A6E861"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GAMBLING STATUS</w:t>
            </w:r>
          </w:p>
        </w:tc>
        <w:tc>
          <w:tcPr>
            <w:tcW w:w="993" w:type="dxa"/>
            <w:vMerge w:val="restart"/>
            <w:shd w:val="clear" w:color="auto" w:fill="92CDDC" w:themeFill="accent5" w:themeFillTint="99"/>
            <w:vAlign w:val="center"/>
          </w:tcPr>
          <w:p w14:paraId="032D8DB6"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p-value </w:t>
            </w:r>
            <w:r w:rsidRPr="00AF3A24">
              <w:rPr>
                <w:rFonts w:asciiTheme="minorHAnsi" w:hAnsiTheme="minorHAnsi" w:cstheme="minorHAnsi"/>
                <w:b/>
                <w:sz w:val="18"/>
                <w:szCs w:val="18"/>
                <w:vertAlign w:val="superscript"/>
              </w:rPr>
              <w:t>4</w:t>
            </w:r>
          </w:p>
        </w:tc>
      </w:tr>
      <w:tr w:rsidR="00EF515E" w:rsidRPr="00AF3A24" w14:paraId="7FD7F941" w14:textId="77777777" w:rsidTr="00A310A6">
        <w:trPr>
          <w:trHeight w:val="386"/>
          <w:jc w:val="center"/>
        </w:trPr>
        <w:tc>
          <w:tcPr>
            <w:tcW w:w="5809" w:type="dxa"/>
            <w:vMerge/>
            <w:shd w:val="clear" w:color="auto" w:fill="92CDDC" w:themeFill="accent5" w:themeFillTint="99"/>
          </w:tcPr>
          <w:p w14:paraId="38177E71" w14:textId="77777777" w:rsidR="00EF515E" w:rsidRPr="00AF3A24" w:rsidRDefault="00EF515E"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785A7A7F"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People with no gambling problems </w:t>
            </w:r>
            <w:r w:rsidRPr="00AF3A24">
              <w:rPr>
                <w:rFonts w:asciiTheme="minorHAnsi" w:hAnsiTheme="minorHAnsi" w:cstheme="minorHAnsi"/>
                <w:b/>
                <w:sz w:val="18"/>
                <w:szCs w:val="18"/>
                <w:vertAlign w:val="superscript"/>
              </w:rPr>
              <w:t>2</w:t>
            </w:r>
          </w:p>
        </w:tc>
        <w:tc>
          <w:tcPr>
            <w:tcW w:w="2068" w:type="dxa"/>
            <w:shd w:val="clear" w:color="auto" w:fill="92CDDC" w:themeFill="accent5" w:themeFillTint="99"/>
            <w:vAlign w:val="center"/>
          </w:tcPr>
          <w:p w14:paraId="421A59AA" w14:textId="77777777" w:rsidR="00EF515E" w:rsidRPr="00AF3A24" w:rsidRDefault="00EF515E"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Low-risk </w:t>
            </w:r>
          </w:p>
        </w:tc>
        <w:tc>
          <w:tcPr>
            <w:tcW w:w="2068" w:type="dxa"/>
            <w:shd w:val="clear" w:color="auto" w:fill="92CDDC" w:themeFill="accent5" w:themeFillTint="99"/>
            <w:vAlign w:val="center"/>
          </w:tcPr>
          <w:p w14:paraId="07EEAE98" w14:textId="77777777" w:rsidR="00EF515E" w:rsidRPr="00AF3A24" w:rsidRDefault="00847789" w:rsidP="00847789">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 xml:space="preserve">Combined </w:t>
            </w:r>
            <w:r>
              <w:rPr>
                <w:rFonts w:asciiTheme="minorHAnsi" w:hAnsiTheme="minorHAnsi" w:cstheme="minorHAnsi"/>
                <w:b/>
                <w:sz w:val="18"/>
                <w:szCs w:val="18"/>
              </w:rPr>
              <w:t>m</w:t>
            </w:r>
            <w:r w:rsidRPr="00AF3A24">
              <w:rPr>
                <w:rFonts w:asciiTheme="minorHAnsi" w:hAnsiTheme="minorHAnsi" w:cstheme="minorHAnsi"/>
                <w:b/>
                <w:sz w:val="18"/>
                <w:szCs w:val="18"/>
              </w:rPr>
              <w:t>oderate-risk</w:t>
            </w:r>
            <w:r>
              <w:rPr>
                <w:rFonts w:asciiTheme="minorHAnsi" w:hAnsiTheme="minorHAnsi" w:cstheme="minorHAnsi"/>
                <w:b/>
                <w:sz w:val="18"/>
                <w:szCs w:val="18"/>
              </w:rPr>
              <w:t xml:space="preserve"> and problem</w:t>
            </w:r>
            <w:r w:rsidR="00EF515E" w:rsidRPr="00AF3A24">
              <w:rPr>
                <w:rFonts w:asciiTheme="minorHAnsi" w:hAnsiTheme="minorHAnsi" w:cstheme="minorHAnsi"/>
                <w:b/>
                <w:sz w:val="18"/>
                <w:szCs w:val="18"/>
              </w:rPr>
              <w:t xml:space="preserve"> </w:t>
            </w:r>
            <w:r w:rsidR="00EF515E" w:rsidRPr="00AF3A24">
              <w:rPr>
                <w:rFonts w:asciiTheme="minorHAnsi" w:hAnsiTheme="minorHAnsi" w:cstheme="minorHAnsi"/>
                <w:b/>
                <w:sz w:val="18"/>
                <w:szCs w:val="18"/>
                <w:vertAlign w:val="superscript"/>
              </w:rPr>
              <w:t>3</w:t>
            </w:r>
          </w:p>
        </w:tc>
        <w:tc>
          <w:tcPr>
            <w:tcW w:w="993" w:type="dxa"/>
            <w:vMerge/>
            <w:shd w:val="clear" w:color="auto" w:fill="92CDDC" w:themeFill="accent5" w:themeFillTint="99"/>
            <w:vAlign w:val="center"/>
          </w:tcPr>
          <w:p w14:paraId="6AACBCE8" w14:textId="77777777" w:rsidR="00EF515E" w:rsidRPr="00AF3A24" w:rsidRDefault="00EF515E" w:rsidP="00A310A6">
            <w:pPr>
              <w:spacing w:before="0" w:line="240" w:lineRule="auto"/>
              <w:jc w:val="center"/>
              <w:rPr>
                <w:rFonts w:asciiTheme="minorHAnsi" w:hAnsiTheme="minorHAnsi" w:cstheme="minorHAnsi"/>
                <w:b/>
                <w:sz w:val="18"/>
                <w:szCs w:val="18"/>
              </w:rPr>
            </w:pPr>
          </w:p>
        </w:tc>
      </w:tr>
      <w:tr w:rsidR="00EF515E" w:rsidRPr="00AF3A24" w14:paraId="61737D14" w14:textId="77777777" w:rsidTr="00A310A6">
        <w:trPr>
          <w:trHeight w:val="386"/>
          <w:jc w:val="center"/>
        </w:trPr>
        <w:tc>
          <w:tcPr>
            <w:tcW w:w="5809" w:type="dxa"/>
            <w:vMerge/>
            <w:tcBorders>
              <w:bottom w:val="single" w:sz="4" w:space="0" w:color="auto"/>
            </w:tcBorders>
            <w:shd w:val="clear" w:color="auto" w:fill="92CDDC" w:themeFill="accent5" w:themeFillTint="99"/>
          </w:tcPr>
          <w:p w14:paraId="1B821ED0" w14:textId="77777777" w:rsidR="00EF515E" w:rsidRPr="00AF3A24" w:rsidRDefault="00EF515E" w:rsidP="00A310A6">
            <w:pPr>
              <w:spacing w:before="0" w:line="240" w:lineRule="auto"/>
              <w:jc w:val="left"/>
              <w:rPr>
                <w:rFonts w:asciiTheme="minorHAnsi" w:hAnsiTheme="minorHAnsi" w:cstheme="minorHAnsi"/>
                <w:b/>
                <w:sz w:val="18"/>
                <w:szCs w:val="18"/>
              </w:rPr>
            </w:pPr>
          </w:p>
        </w:tc>
        <w:tc>
          <w:tcPr>
            <w:tcW w:w="2067" w:type="dxa"/>
            <w:tcBorders>
              <w:bottom w:val="single" w:sz="4" w:space="0" w:color="auto"/>
            </w:tcBorders>
            <w:shd w:val="clear" w:color="auto" w:fill="92CDDC" w:themeFill="accent5" w:themeFillTint="99"/>
            <w:vAlign w:val="center"/>
          </w:tcPr>
          <w:p w14:paraId="69E4D020" w14:textId="77777777" w:rsidR="00EF515E" w:rsidRPr="00AF3A24" w:rsidRDefault="00076DDA" w:rsidP="00076DDA">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Odds ratio</w:t>
            </w:r>
          </w:p>
        </w:tc>
        <w:tc>
          <w:tcPr>
            <w:tcW w:w="2068" w:type="dxa"/>
            <w:tcBorders>
              <w:bottom w:val="single" w:sz="4" w:space="0" w:color="auto"/>
            </w:tcBorders>
            <w:shd w:val="clear" w:color="auto" w:fill="92CDDC" w:themeFill="accent5" w:themeFillTint="99"/>
            <w:vAlign w:val="center"/>
          </w:tcPr>
          <w:p w14:paraId="0A114F2B"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5516DB8B"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2068" w:type="dxa"/>
            <w:tcBorders>
              <w:bottom w:val="single" w:sz="4" w:space="0" w:color="auto"/>
            </w:tcBorders>
            <w:shd w:val="clear" w:color="auto" w:fill="92CDDC" w:themeFill="accent5" w:themeFillTint="99"/>
            <w:vAlign w:val="center"/>
          </w:tcPr>
          <w:p w14:paraId="68F142CD"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w:t>
            </w:r>
          </w:p>
          <w:p w14:paraId="0A9CB47A" w14:textId="77777777" w:rsidR="00EF515E" w:rsidRPr="00AF3A24" w:rsidRDefault="00EF515E" w:rsidP="00A310A6">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993" w:type="dxa"/>
            <w:vMerge/>
            <w:tcBorders>
              <w:bottom w:val="single" w:sz="4" w:space="0" w:color="auto"/>
            </w:tcBorders>
            <w:shd w:val="clear" w:color="auto" w:fill="92CDDC" w:themeFill="accent5" w:themeFillTint="99"/>
            <w:vAlign w:val="center"/>
          </w:tcPr>
          <w:p w14:paraId="38C4656B" w14:textId="77777777" w:rsidR="00EF515E" w:rsidRPr="00AF3A24" w:rsidRDefault="00EF515E" w:rsidP="00A310A6">
            <w:pPr>
              <w:spacing w:before="0" w:line="240" w:lineRule="auto"/>
              <w:jc w:val="center"/>
              <w:rPr>
                <w:rFonts w:asciiTheme="minorHAnsi" w:hAnsiTheme="minorHAnsi" w:cstheme="minorHAnsi"/>
                <w:b/>
                <w:sz w:val="18"/>
                <w:szCs w:val="18"/>
              </w:rPr>
            </w:pPr>
          </w:p>
        </w:tc>
      </w:tr>
      <w:tr w:rsidR="00EF515E" w:rsidRPr="00AF3A24" w14:paraId="5959F9CA" w14:textId="77777777" w:rsidTr="00A310A6">
        <w:trPr>
          <w:trHeight w:val="227"/>
          <w:jc w:val="center"/>
        </w:trPr>
        <w:tc>
          <w:tcPr>
            <w:tcW w:w="13005" w:type="dxa"/>
            <w:gridSpan w:val="5"/>
            <w:tcBorders>
              <w:top w:val="single" w:sz="4" w:space="0" w:color="auto"/>
              <w:right w:val="single" w:sz="4" w:space="0" w:color="auto"/>
            </w:tcBorders>
            <w:shd w:val="clear" w:color="auto" w:fill="DAEEF3" w:themeFill="accent5" w:themeFillTint="33"/>
            <w:vAlign w:val="center"/>
          </w:tcPr>
          <w:p w14:paraId="269265D9" w14:textId="77777777" w:rsidR="00EF515E" w:rsidRPr="00AF3A24" w:rsidRDefault="00EF515E" w:rsidP="00A310A6">
            <w:pPr>
              <w:spacing w:before="0" w:line="240" w:lineRule="auto"/>
              <w:jc w:val="left"/>
              <w:rPr>
                <w:rFonts w:asciiTheme="minorHAnsi" w:hAnsiTheme="minorHAnsi" w:cstheme="minorHAnsi"/>
                <w:b/>
                <w:sz w:val="16"/>
                <w:szCs w:val="16"/>
              </w:rPr>
            </w:pPr>
            <w:r w:rsidRPr="00AF3A24">
              <w:rPr>
                <w:rFonts w:asciiTheme="minorHAnsi" w:hAnsiTheme="minorHAnsi" w:cstheme="minorHAnsi"/>
                <w:b/>
                <w:sz w:val="16"/>
                <w:szCs w:val="16"/>
              </w:rPr>
              <w:t xml:space="preserve">USE OF </w:t>
            </w:r>
            <w:r w:rsidR="00772348" w:rsidRPr="00AF3A24">
              <w:rPr>
                <w:rFonts w:asciiTheme="minorHAnsi" w:hAnsiTheme="minorHAnsi" w:cstheme="minorHAnsi"/>
                <w:b/>
                <w:sz w:val="16"/>
                <w:szCs w:val="16"/>
              </w:rPr>
              <w:t>G</w:t>
            </w:r>
            <w:r w:rsidR="00772348">
              <w:rPr>
                <w:rFonts w:asciiTheme="minorHAnsi" w:hAnsiTheme="minorHAnsi" w:cstheme="minorHAnsi"/>
                <w:b/>
                <w:sz w:val="16"/>
                <w:szCs w:val="16"/>
              </w:rPr>
              <w:t xml:space="preserve">ENERAL </w:t>
            </w:r>
            <w:r w:rsidR="00772348" w:rsidRPr="00AF3A24">
              <w:rPr>
                <w:rFonts w:asciiTheme="minorHAnsi" w:hAnsiTheme="minorHAnsi" w:cstheme="minorHAnsi"/>
                <w:b/>
                <w:sz w:val="16"/>
                <w:szCs w:val="16"/>
              </w:rPr>
              <w:t>P</w:t>
            </w:r>
            <w:r w:rsidR="00772348">
              <w:rPr>
                <w:rFonts w:asciiTheme="minorHAnsi" w:hAnsiTheme="minorHAnsi" w:cstheme="minorHAnsi"/>
                <w:b/>
                <w:sz w:val="16"/>
                <w:szCs w:val="16"/>
              </w:rPr>
              <w:t>RACTITIONER</w:t>
            </w:r>
            <w:r w:rsidRPr="00AF3A24">
              <w:rPr>
                <w:rFonts w:asciiTheme="minorHAnsi" w:hAnsiTheme="minorHAnsi" w:cstheme="minorHAnsi"/>
                <w:b/>
                <w:sz w:val="16"/>
                <w:szCs w:val="16"/>
              </w:rPr>
              <w:t>:</w:t>
            </w:r>
          </w:p>
        </w:tc>
      </w:tr>
      <w:tr w:rsidR="00EF515E" w:rsidRPr="00AF3A24" w14:paraId="6223E589" w14:textId="77777777" w:rsidTr="00A310A6">
        <w:trPr>
          <w:jc w:val="center"/>
        </w:trPr>
        <w:tc>
          <w:tcPr>
            <w:tcW w:w="5809" w:type="dxa"/>
            <w:tcBorders>
              <w:top w:val="single" w:sz="4" w:space="0" w:color="auto"/>
            </w:tcBorders>
            <w:shd w:val="clear" w:color="auto" w:fill="DAEEF3" w:themeFill="accent5" w:themeFillTint="33"/>
            <w:vAlign w:val="center"/>
          </w:tcPr>
          <w:p w14:paraId="6BD0B0EB"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seen a GP (in the previous 12 months)</w:t>
            </w:r>
          </w:p>
        </w:tc>
        <w:tc>
          <w:tcPr>
            <w:tcW w:w="2067" w:type="dxa"/>
            <w:tcBorders>
              <w:left w:val="nil"/>
              <w:bottom w:val="nil"/>
              <w:right w:val="single" w:sz="4" w:space="0" w:color="auto"/>
            </w:tcBorders>
            <w:shd w:val="clear" w:color="auto" w:fill="DAEEF3" w:themeFill="accent5" w:themeFillTint="33"/>
            <w:vAlign w:val="center"/>
          </w:tcPr>
          <w:p w14:paraId="40200ED9"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28E66ED4"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w:t>
            </w:r>
          </w:p>
          <w:p w14:paraId="2B36863F"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(0.9 - 1.8)</w:t>
            </w:r>
          </w:p>
        </w:tc>
        <w:tc>
          <w:tcPr>
            <w:tcW w:w="2068" w:type="dxa"/>
            <w:tcBorders>
              <w:left w:val="single" w:sz="4" w:space="0" w:color="auto"/>
              <w:right w:val="single" w:sz="4" w:space="0" w:color="auto"/>
            </w:tcBorders>
            <w:shd w:val="clear" w:color="auto" w:fill="DAEEF3" w:themeFill="accent5" w:themeFillTint="33"/>
            <w:vAlign w:val="center"/>
          </w:tcPr>
          <w:p w14:paraId="65C8E072"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2.0</w:t>
            </w:r>
          </w:p>
          <w:p w14:paraId="66577324"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(1.2 - 3.3)</w:t>
            </w:r>
          </w:p>
        </w:tc>
        <w:tc>
          <w:tcPr>
            <w:tcW w:w="993" w:type="dxa"/>
            <w:tcBorders>
              <w:left w:val="single" w:sz="4" w:space="0" w:color="auto"/>
              <w:right w:val="single" w:sz="4" w:space="0" w:color="auto"/>
            </w:tcBorders>
            <w:shd w:val="clear" w:color="auto" w:fill="DAEEF3" w:themeFill="accent5" w:themeFillTint="33"/>
            <w:vAlign w:val="center"/>
          </w:tcPr>
          <w:p w14:paraId="43E92457"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0.0161</w:t>
            </w:r>
          </w:p>
        </w:tc>
      </w:tr>
      <w:tr w:rsidR="00EF515E" w:rsidRPr="00AF3A24" w14:paraId="56122383" w14:textId="77777777" w:rsidTr="00A310A6">
        <w:trPr>
          <w:trHeight w:val="227"/>
          <w:jc w:val="center"/>
        </w:trPr>
        <w:tc>
          <w:tcPr>
            <w:tcW w:w="13005" w:type="dxa"/>
            <w:gridSpan w:val="5"/>
            <w:tcBorders>
              <w:top w:val="single" w:sz="4" w:space="0" w:color="auto"/>
              <w:right w:val="single" w:sz="4" w:space="0" w:color="auto"/>
            </w:tcBorders>
            <w:shd w:val="clear" w:color="auto" w:fill="DAEEF3" w:themeFill="accent5" w:themeFillTint="33"/>
            <w:vAlign w:val="center"/>
          </w:tcPr>
          <w:p w14:paraId="1629A0FF" w14:textId="77777777" w:rsidR="00EF515E" w:rsidRPr="00AF3A24" w:rsidRDefault="00EF515E"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 xml:space="preserve">UNMET NEEDS - </w:t>
            </w:r>
            <w:r w:rsidR="00772348" w:rsidRPr="00AF3A24">
              <w:rPr>
                <w:rFonts w:asciiTheme="minorHAnsi" w:hAnsiTheme="minorHAnsi" w:cstheme="minorHAnsi"/>
                <w:b/>
                <w:sz w:val="16"/>
                <w:szCs w:val="16"/>
              </w:rPr>
              <w:t>G</w:t>
            </w:r>
            <w:r w:rsidR="00772348">
              <w:rPr>
                <w:rFonts w:asciiTheme="minorHAnsi" w:hAnsiTheme="minorHAnsi" w:cstheme="minorHAnsi"/>
                <w:b/>
                <w:sz w:val="16"/>
                <w:szCs w:val="16"/>
              </w:rPr>
              <w:t xml:space="preserve">ENERAL </w:t>
            </w:r>
            <w:r w:rsidR="00772348" w:rsidRPr="00AF3A24">
              <w:rPr>
                <w:rFonts w:asciiTheme="minorHAnsi" w:hAnsiTheme="minorHAnsi" w:cstheme="minorHAnsi"/>
                <w:b/>
                <w:sz w:val="16"/>
                <w:szCs w:val="16"/>
              </w:rPr>
              <w:t>P</w:t>
            </w:r>
            <w:r w:rsidR="00772348">
              <w:rPr>
                <w:rFonts w:asciiTheme="minorHAnsi" w:hAnsiTheme="minorHAnsi" w:cstheme="minorHAnsi"/>
                <w:b/>
                <w:sz w:val="16"/>
                <w:szCs w:val="16"/>
              </w:rPr>
              <w:t>RACTITIONER</w:t>
            </w:r>
            <w:r w:rsidRPr="00AF3A24">
              <w:rPr>
                <w:rFonts w:asciiTheme="minorHAnsi" w:hAnsiTheme="minorHAnsi" w:cstheme="minorHAnsi"/>
                <w:b/>
                <w:sz w:val="16"/>
                <w:szCs w:val="16"/>
              </w:rPr>
              <w:t>:</w:t>
            </w:r>
          </w:p>
        </w:tc>
      </w:tr>
      <w:tr w:rsidR="00EF515E" w:rsidRPr="00AF3A24" w14:paraId="004B5005" w14:textId="77777777" w:rsidTr="00A310A6">
        <w:trPr>
          <w:jc w:val="center"/>
        </w:trPr>
        <w:tc>
          <w:tcPr>
            <w:tcW w:w="5809" w:type="dxa"/>
            <w:tcBorders>
              <w:top w:val="single" w:sz="4" w:space="0" w:color="auto"/>
            </w:tcBorders>
            <w:shd w:val="clear" w:color="auto" w:fill="DAEEF3" w:themeFill="accent5" w:themeFillTint="33"/>
            <w:vAlign w:val="center"/>
          </w:tcPr>
          <w:p w14:paraId="10E9405E"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had an unmet need for GP services (in the previous 12 months)</w:t>
            </w:r>
          </w:p>
        </w:tc>
        <w:tc>
          <w:tcPr>
            <w:tcW w:w="2067" w:type="dxa"/>
            <w:tcBorders>
              <w:left w:val="nil"/>
              <w:bottom w:val="nil"/>
              <w:right w:val="single" w:sz="4" w:space="0" w:color="auto"/>
            </w:tcBorders>
            <w:shd w:val="clear" w:color="auto" w:fill="DAEEF3" w:themeFill="accent5" w:themeFillTint="33"/>
            <w:vAlign w:val="center"/>
          </w:tcPr>
          <w:p w14:paraId="5F571F94"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2C634AE8"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p>
          <w:p w14:paraId="783D6D76"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(1.4 - 3.1)</w:t>
            </w:r>
          </w:p>
        </w:tc>
        <w:tc>
          <w:tcPr>
            <w:tcW w:w="2068" w:type="dxa"/>
            <w:tcBorders>
              <w:left w:val="single" w:sz="4" w:space="0" w:color="auto"/>
              <w:right w:val="single" w:sz="4" w:space="0" w:color="auto"/>
            </w:tcBorders>
            <w:shd w:val="clear" w:color="auto" w:fill="DAEEF3" w:themeFill="accent5" w:themeFillTint="33"/>
            <w:vAlign w:val="center"/>
          </w:tcPr>
          <w:p w14:paraId="679D3722"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p>
          <w:p w14:paraId="15590984"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(1.6 - 4.3)</w:t>
            </w:r>
          </w:p>
        </w:tc>
        <w:tc>
          <w:tcPr>
            <w:tcW w:w="993" w:type="dxa"/>
            <w:tcBorders>
              <w:left w:val="single" w:sz="4" w:space="0" w:color="auto"/>
              <w:right w:val="single" w:sz="4" w:space="0" w:color="auto"/>
            </w:tcBorders>
            <w:shd w:val="clear" w:color="auto" w:fill="DAEEF3" w:themeFill="accent5" w:themeFillTint="33"/>
            <w:vAlign w:val="center"/>
          </w:tcPr>
          <w:p w14:paraId="13CED197"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EF515E" w:rsidRPr="00AF3A24" w14:paraId="152A0180" w14:textId="77777777" w:rsidTr="00A310A6">
        <w:trPr>
          <w:jc w:val="center"/>
        </w:trPr>
        <w:tc>
          <w:tcPr>
            <w:tcW w:w="5809" w:type="dxa"/>
            <w:tcBorders>
              <w:top w:val="single" w:sz="4" w:space="0" w:color="auto"/>
            </w:tcBorders>
            <w:shd w:val="clear" w:color="auto" w:fill="DAEEF3" w:themeFill="accent5" w:themeFillTint="33"/>
            <w:vAlign w:val="center"/>
          </w:tcPr>
          <w:p w14:paraId="64499233"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 xml:space="preserve">Has had an unmet need for GP services </w:t>
            </w:r>
            <w:r w:rsidRPr="00AF3A24">
              <w:rPr>
                <w:rFonts w:asciiTheme="minorHAnsi" w:hAnsiTheme="minorHAnsi" w:cstheme="minorHAnsi"/>
                <w:i/>
                <w:sz w:val="16"/>
                <w:szCs w:val="16"/>
                <w:u w:val="single"/>
              </w:rPr>
              <w:t>due to cost</w:t>
            </w:r>
            <w:r w:rsidRPr="00AF3A24">
              <w:rPr>
                <w:rFonts w:asciiTheme="minorHAnsi" w:hAnsiTheme="minorHAnsi" w:cstheme="minorHAnsi"/>
                <w:b/>
                <w:sz w:val="16"/>
                <w:szCs w:val="16"/>
              </w:rPr>
              <w:t xml:space="preserve"> </w:t>
            </w:r>
            <w:r w:rsidRPr="00AF3A24">
              <w:rPr>
                <w:rFonts w:asciiTheme="minorHAnsi" w:hAnsiTheme="minorHAnsi" w:cstheme="minorHAnsi"/>
                <w:sz w:val="16"/>
                <w:szCs w:val="16"/>
              </w:rPr>
              <w:t>(in the previous 12 months)</w:t>
            </w:r>
          </w:p>
        </w:tc>
        <w:tc>
          <w:tcPr>
            <w:tcW w:w="2067" w:type="dxa"/>
            <w:tcBorders>
              <w:left w:val="nil"/>
              <w:bottom w:val="nil"/>
              <w:right w:val="single" w:sz="4" w:space="0" w:color="auto"/>
            </w:tcBorders>
            <w:shd w:val="clear" w:color="auto" w:fill="DAEEF3" w:themeFill="accent5" w:themeFillTint="33"/>
            <w:vAlign w:val="center"/>
          </w:tcPr>
          <w:p w14:paraId="757AAC2E"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7E2C6063"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p>
          <w:p w14:paraId="077AA397"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(1.5 - 3.1)</w:t>
            </w:r>
          </w:p>
        </w:tc>
        <w:tc>
          <w:tcPr>
            <w:tcW w:w="2068" w:type="dxa"/>
            <w:tcBorders>
              <w:left w:val="single" w:sz="4" w:space="0" w:color="auto"/>
              <w:right w:val="single" w:sz="4" w:space="0" w:color="auto"/>
            </w:tcBorders>
            <w:shd w:val="clear" w:color="auto" w:fill="DAEEF3" w:themeFill="accent5" w:themeFillTint="33"/>
            <w:vAlign w:val="center"/>
          </w:tcPr>
          <w:p w14:paraId="06E28172"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w:t>
            </w:r>
          </w:p>
          <w:p w14:paraId="3A8C9E9F"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(1.2 - 3.0)</w:t>
            </w:r>
          </w:p>
        </w:tc>
        <w:tc>
          <w:tcPr>
            <w:tcW w:w="993" w:type="dxa"/>
            <w:tcBorders>
              <w:left w:val="single" w:sz="4" w:space="0" w:color="auto"/>
              <w:right w:val="single" w:sz="4" w:space="0" w:color="auto"/>
            </w:tcBorders>
            <w:shd w:val="clear" w:color="auto" w:fill="DAEEF3" w:themeFill="accent5" w:themeFillTint="33"/>
            <w:vAlign w:val="center"/>
          </w:tcPr>
          <w:p w14:paraId="3FAE1A0B"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&lt;0.0001</w:t>
            </w:r>
          </w:p>
        </w:tc>
      </w:tr>
      <w:tr w:rsidR="00EF515E" w:rsidRPr="00AF3A24" w14:paraId="0F74DF0D" w14:textId="77777777" w:rsidTr="00A310A6">
        <w:trPr>
          <w:trHeight w:val="227"/>
          <w:jc w:val="center"/>
        </w:trPr>
        <w:tc>
          <w:tcPr>
            <w:tcW w:w="13005" w:type="dxa"/>
            <w:gridSpan w:val="5"/>
            <w:tcBorders>
              <w:top w:val="single" w:sz="4" w:space="0" w:color="auto"/>
              <w:right w:val="single" w:sz="4" w:space="0" w:color="auto"/>
            </w:tcBorders>
            <w:shd w:val="clear" w:color="auto" w:fill="DAEEF3" w:themeFill="accent5" w:themeFillTint="33"/>
            <w:vAlign w:val="center"/>
          </w:tcPr>
          <w:p w14:paraId="07883564" w14:textId="77777777" w:rsidR="00EF515E" w:rsidRPr="00AF3A24" w:rsidRDefault="00EF515E" w:rsidP="00A310A6">
            <w:pPr>
              <w:spacing w:before="0" w:line="240" w:lineRule="auto"/>
              <w:jc w:val="left"/>
              <w:rPr>
                <w:rFonts w:asciiTheme="minorHAnsi" w:hAnsiTheme="minorHAnsi"/>
                <w:bCs/>
                <w:color w:val="000000"/>
                <w:sz w:val="16"/>
                <w:szCs w:val="16"/>
              </w:rPr>
            </w:pPr>
            <w:r w:rsidRPr="00AF3A24">
              <w:rPr>
                <w:rFonts w:asciiTheme="minorHAnsi" w:hAnsiTheme="minorHAnsi" w:cstheme="minorHAnsi"/>
                <w:b/>
                <w:sz w:val="16"/>
                <w:szCs w:val="16"/>
              </w:rPr>
              <w:t>USE OF OTHER SERVICES:</w:t>
            </w:r>
            <w:r w:rsidRPr="00AF3A24">
              <w:rPr>
                <w:rFonts w:asciiTheme="minorHAnsi" w:hAnsiTheme="minorHAnsi" w:cstheme="minorHAnsi"/>
                <w:sz w:val="16"/>
                <w:szCs w:val="16"/>
              </w:rPr>
              <w:t xml:space="preserve"> </w:t>
            </w:r>
          </w:p>
        </w:tc>
      </w:tr>
      <w:tr w:rsidR="00EF515E" w:rsidRPr="00AF3A24" w14:paraId="5BA7BD48" w14:textId="77777777" w:rsidTr="00A310A6">
        <w:trPr>
          <w:jc w:val="center"/>
        </w:trPr>
        <w:tc>
          <w:tcPr>
            <w:tcW w:w="5809" w:type="dxa"/>
            <w:tcBorders>
              <w:top w:val="single" w:sz="4" w:space="0" w:color="auto"/>
            </w:tcBorders>
            <w:shd w:val="clear" w:color="auto" w:fill="DAEEF3" w:themeFill="accent5" w:themeFillTint="33"/>
            <w:vAlign w:val="center"/>
          </w:tcPr>
          <w:p w14:paraId="119D9F29" w14:textId="77777777" w:rsidR="00EF515E" w:rsidRPr="00AF3A24" w:rsidRDefault="00EF515E" w:rsidP="00A310A6">
            <w:pPr>
              <w:pStyle w:val="ListParagraph"/>
              <w:numPr>
                <w:ilvl w:val="0"/>
                <w:numId w:val="9"/>
              </w:numPr>
              <w:spacing w:line="240" w:lineRule="auto"/>
              <w:ind w:left="175" w:hanging="142"/>
              <w:jc w:val="left"/>
              <w:rPr>
                <w:rFonts w:asciiTheme="minorHAnsi" w:hAnsiTheme="minorHAnsi" w:cstheme="minorHAnsi"/>
                <w:sz w:val="16"/>
                <w:szCs w:val="16"/>
              </w:rPr>
            </w:pPr>
            <w:r w:rsidRPr="00AF3A24">
              <w:rPr>
                <w:rFonts w:asciiTheme="minorHAnsi" w:hAnsiTheme="minorHAnsi" w:cstheme="minorHAnsi"/>
                <w:sz w:val="16"/>
                <w:szCs w:val="16"/>
              </w:rPr>
              <w:t>Has seen a psychologist, counsellor or social worker (in the previous 12 months)</w:t>
            </w:r>
          </w:p>
        </w:tc>
        <w:tc>
          <w:tcPr>
            <w:tcW w:w="2067" w:type="dxa"/>
            <w:tcBorders>
              <w:left w:val="nil"/>
              <w:bottom w:val="single" w:sz="4" w:space="0" w:color="auto"/>
              <w:right w:val="single" w:sz="4" w:space="0" w:color="auto"/>
            </w:tcBorders>
            <w:shd w:val="clear" w:color="auto" w:fill="DAEEF3" w:themeFill="accent5" w:themeFillTint="33"/>
            <w:vAlign w:val="center"/>
          </w:tcPr>
          <w:p w14:paraId="66EFAC87"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w:t>
            </w:r>
          </w:p>
        </w:tc>
        <w:tc>
          <w:tcPr>
            <w:tcW w:w="2068" w:type="dxa"/>
            <w:tcBorders>
              <w:left w:val="nil"/>
              <w:right w:val="single" w:sz="4" w:space="0" w:color="auto"/>
            </w:tcBorders>
            <w:shd w:val="clear" w:color="auto" w:fill="DAEEF3" w:themeFill="accent5" w:themeFillTint="33"/>
            <w:vAlign w:val="center"/>
          </w:tcPr>
          <w:p w14:paraId="13BA9F92"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1.4</w:t>
            </w:r>
          </w:p>
          <w:p w14:paraId="7988666C"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(0.8 - 2.6)</w:t>
            </w:r>
          </w:p>
        </w:tc>
        <w:tc>
          <w:tcPr>
            <w:tcW w:w="2068" w:type="dxa"/>
            <w:tcBorders>
              <w:left w:val="single" w:sz="4" w:space="0" w:color="auto"/>
              <w:right w:val="single" w:sz="4" w:space="0" w:color="auto"/>
            </w:tcBorders>
            <w:shd w:val="clear" w:color="auto" w:fill="DAEEF3" w:themeFill="accent5" w:themeFillTint="33"/>
            <w:vAlign w:val="center"/>
          </w:tcPr>
          <w:p w14:paraId="00CE3AE5"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3.4</w:t>
            </w:r>
          </w:p>
          <w:p w14:paraId="02B607D6"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(1.9 - 6.2)</w:t>
            </w:r>
          </w:p>
        </w:tc>
        <w:tc>
          <w:tcPr>
            <w:tcW w:w="993" w:type="dxa"/>
            <w:tcBorders>
              <w:left w:val="single" w:sz="4" w:space="0" w:color="auto"/>
              <w:right w:val="single" w:sz="4" w:space="0" w:color="auto"/>
            </w:tcBorders>
            <w:shd w:val="clear" w:color="auto" w:fill="DAEEF3" w:themeFill="accent5" w:themeFillTint="33"/>
            <w:vAlign w:val="center"/>
          </w:tcPr>
          <w:p w14:paraId="1C574967" w14:textId="77777777" w:rsidR="00EF515E" w:rsidRPr="00AF3A24" w:rsidRDefault="00EF515E" w:rsidP="00A310A6">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0.0002</w:t>
            </w:r>
          </w:p>
        </w:tc>
      </w:tr>
    </w:tbl>
    <w:p w14:paraId="4D1561F0" w14:textId="77777777" w:rsidR="00EF515E" w:rsidRPr="00AF3A24" w:rsidRDefault="00EF515E" w:rsidP="00EF515E">
      <w:pPr>
        <w:spacing w:before="0" w:line="240" w:lineRule="auto"/>
        <w:ind w:left="426"/>
        <w:rPr>
          <w:rFonts w:asciiTheme="minorHAnsi" w:hAnsiTheme="minorHAnsi" w:cstheme="minorHAnsi"/>
          <w:sz w:val="16"/>
        </w:rPr>
      </w:pPr>
      <w:r w:rsidRPr="00AF3A24">
        <w:rPr>
          <w:rFonts w:asciiTheme="minorHAnsi" w:hAnsiTheme="minorHAnsi" w:cstheme="minorHAnsi"/>
          <w:sz w:val="16"/>
        </w:rPr>
        <w:t>Notes:</w:t>
      </w:r>
    </w:p>
    <w:p w14:paraId="485B1033" w14:textId="77777777" w:rsidR="00EF515E" w:rsidRPr="00AF3A24" w:rsidRDefault="00EF515E" w:rsidP="006A0B0E">
      <w:pPr>
        <w:pStyle w:val="ListParagraph"/>
        <w:numPr>
          <w:ilvl w:val="0"/>
          <w:numId w:val="29"/>
        </w:numPr>
        <w:spacing w:line="240" w:lineRule="auto"/>
        <w:ind w:left="709" w:hanging="283"/>
        <w:rPr>
          <w:rFonts w:asciiTheme="minorHAnsi" w:hAnsiTheme="minorHAnsi" w:cstheme="minorHAnsi"/>
          <w:sz w:val="16"/>
        </w:rPr>
      </w:pPr>
      <w:r w:rsidRPr="00AF3A24">
        <w:rPr>
          <w:rFonts w:asciiTheme="minorHAnsi" w:hAnsiTheme="minorHAnsi" w:cstheme="minorHAnsi"/>
          <w:sz w:val="16"/>
        </w:rPr>
        <w:t>Source: 2011/12 New Zealand Health Survey. Logistic regression analyses have controlled for gender, age-group, prioritised ethnic group, NZDep</w:t>
      </w:r>
      <w:r w:rsidR="00B633B8">
        <w:rPr>
          <w:rFonts w:asciiTheme="minorHAnsi" w:hAnsiTheme="minorHAnsi" w:cstheme="minorHAnsi"/>
          <w:sz w:val="16"/>
        </w:rPr>
        <w:t>2006</w:t>
      </w:r>
      <w:r w:rsidRPr="00AF3A24">
        <w:rPr>
          <w:rFonts w:asciiTheme="minorHAnsi" w:hAnsiTheme="minorHAnsi" w:cstheme="minorHAnsi"/>
          <w:sz w:val="16"/>
        </w:rPr>
        <w:t xml:space="preserve"> quintiles and urban/rural status. </w:t>
      </w:r>
    </w:p>
    <w:p w14:paraId="68895076" w14:textId="77777777" w:rsidR="00EF515E" w:rsidRPr="00AF3A24" w:rsidRDefault="00EF515E" w:rsidP="006A0B0E">
      <w:pPr>
        <w:pStyle w:val="ListParagraph"/>
        <w:numPr>
          <w:ilvl w:val="0"/>
          <w:numId w:val="29"/>
        </w:numPr>
        <w:spacing w:line="240" w:lineRule="auto"/>
        <w:ind w:left="709" w:hanging="283"/>
        <w:rPr>
          <w:rFonts w:asciiTheme="minorHAnsi" w:hAnsiTheme="minorHAnsi" w:cstheme="minorHAnsi"/>
          <w:sz w:val="16"/>
        </w:rPr>
      </w:pPr>
      <w:r w:rsidRPr="00AF3A24">
        <w:rPr>
          <w:rFonts w:asciiTheme="minorHAnsi" w:hAnsiTheme="minorHAnsi" w:cstheme="minorHAnsi"/>
          <w:sz w:val="16"/>
        </w:rPr>
        <w:t xml:space="preserve">‘People with no gambling problems’ have been defined as non-gamblers and recreational gamblers. </w:t>
      </w:r>
    </w:p>
    <w:p w14:paraId="76E0BA32" w14:textId="77777777" w:rsidR="00EF515E" w:rsidRPr="00AF3A24" w:rsidRDefault="00EF515E" w:rsidP="006A0B0E">
      <w:pPr>
        <w:pStyle w:val="ListParagraph"/>
        <w:numPr>
          <w:ilvl w:val="0"/>
          <w:numId w:val="29"/>
        </w:numPr>
        <w:spacing w:line="240" w:lineRule="auto"/>
        <w:ind w:left="709" w:hanging="283"/>
        <w:rPr>
          <w:rFonts w:asciiTheme="minorHAnsi" w:hAnsiTheme="minorHAnsi" w:cstheme="minorHAnsi"/>
          <w:sz w:val="16"/>
        </w:rPr>
      </w:pPr>
      <w:r w:rsidRPr="00AF3A24">
        <w:rPr>
          <w:rFonts w:asciiTheme="minorHAnsi" w:hAnsiTheme="minorHAnsi" w:cstheme="minorHAnsi"/>
          <w:sz w:val="16"/>
        </w:rPr>
        <w:t>Due to small cell sizes / denominators (n&lt;30), the ‘problem’ and ‘moderate-risk’ categories have been combined to enable their inclusion in these analyses.</w:t>
      </w:r>
    </w:p>
    <w:p w14:paraId="26540F9E" w14:textId="77777777" w:rsidR="00EF515E" w:rsidRPr="00AF3A24" w:rsidRDefault="00EF515E" w:rsidP="006A0B0E">
      <w:pPr>
        <w:pStyle w:val="ListParagraph"/>
        <w:numPr>
          <w:ilvl w:val="0"/>
          <w:numId w:val="29"/>
        </w:numPr>
        <w:spacing w:line="240" w:lineRule="auto"/>
        <w:ind w:left="709" w:hanging="283"/>
        <w:rPr>
          <w:rFonts w:asciiTheme="minorHAnsi" w:hAnsiTheme="minorHAnsi" w:cstheme="minorHAnsi"/>
          <w:sz w:val="16"/>
        </w:rPr>
      </w:pPr>
      <w:r w:rsidRPr="00AF3A24">
        <w:rPr>
          <w:rFonts w:asciiTheme="minorHAnsi" w:hAnsiTheme="minorHAnsi" w:cstheme="minorHAnsi"/>
          <w:sz w:val="16"/>
        </w:rPr>
        <w:t>Logistic regression analyses have controlled for gender, age-group, prioritised ethnic group, neighbourhood deprivation and geography (urban/rural).</w:t>
      </w:r>
    </w:p>
    <w:p w14:paraId="01E7F931" w14:textId="77777777" w:rsidR="00EF515E" w:rsidRPr="00EF515E" w:rsidRDefault="00EF515E" w:rsidP="00EF515E">
      <w:pPr>
        <w:spacing w:line="240" w:lineRule="auto"/>
        <w:rPr>
          <w:rFonts w:asciiTheme="minorHAnsi" w:hAnsiTheme="minorHAnsi" w:cstheme="minorHAnsi"/>
          <w:sz w:val="16"/>
        </w:rPr>
      </w:pPr>
    </w:p>
    <w:p w14:paraId="3B4F89A5" w14:textId="77777777" w:rsidR="00EF515E" w:rsidRPr="00EF515E" w:rsidRDefault="00EF515E" w:rsidP="00EF515E"/>
    <w:p w14:paraId="7560454C" w14:textId="77777777" w:rsidR="003A541A" w:rsidRDefault="003A541A">
      <w:pPr>
        <w:spacing w:before="0" w:after="200" w:line="276" w:lineRule="auto"/>
        <w:jc w:val="left"/>
        <w:rPr>
          <w:rFonts w:asciiTheme="minorHAnsi" w:hAnsiTheme="minorHAnsi"/>
        </w:rPr>
        <w:sectPr w:rsidR="003A541A" w:rsidSect="00F41793">
          <w:pgSz w:w="15840" w:h="12240" w:orient="landscape"/>
          <w:pgMar w:top="993" w:right="1381" w:bottom="993" w:left="1440" w:header="720" w:footer="339" w:gutter="0"/>
          <w:cols w:space="720"/>
          <w:docGrid w:linePitch="360"/>
        </w:sectPr>
      </w:pPr>
    </w:p>
    <w:p w14:paraId="094F7AF6" w14:textId="77777777" w:rsidR="00C97BDF" w:rsidRDefault="00C97BDF">
      <w:pPr>
        <w:spacing w:before="0" w:after="200" w:line="276" w:lineRule="auto"/>
        <w:jc w:val="left"/>
        <w:rPr>
          <w:rFonts w:asciiTheme="minorHAnsi" w:hAnsiTheme="minorHAnsi" w:cstheme="minorHAnsi"/>
          <w:b/>
          <w:bCs/>
          <w:iCs/>
          <w:color w:val="1F497D"/>
        </w:rPr>
      </w:pPr>
    </w:p>
    <w:p w14:paraId="492CD6B4" w14:textId="77777777" w:rsidR="00C97BDF" w:rsidRDefault="00497278" w:rsidP="008F7A58">
      <w:pPr>
        <w:pStyle w:val="FionasAppendixtitles"/>
        <w:ind w:left="1134"/>
      </w:pPr>
      <w:bookmarkStart w:id="329" w:name="_Ref398124815"/>
      <w:bookmarkStart w:id="330" w:name="_Toc403833222"/>
      <w:r>
        <w:t xml:space="preserve">Experiencing problems due to someone else’s </w:t>
      </w:r>
      <w:r w:rsidR="00C97BDF" w:rsidRPr="00FB0B7B">
        <w:t>gambling</w:t>
      </w:r>
      <w:r>
        <w:t xml:space="preserve"> </w:t>
      </w:r>
      <w:r w:rsidR="00C97BDF" w:rsidRPr="00FB0B7B">
        <w:t xml:space="preserve"> – activity that was involved</w:t>
      </w:r>
      <w:bookmarkEnd w:id="329"/>
      <w:bookmarkEnd w:id="330"/>
    </w:p>
    <w:p w14:paraId="58359F17" w14:textId="77777777" w:rsidR="003A541A" w:rsidRPr="00AF3A24" w:rsidRDefault="003A541A" w:rsidP="003A541A">
      <w:pPr>
        <w:pStyle w:val="Caption"/>
        <w:keepNext/>
        <w:spacing w:line="276" w:lineRule="auto"/>
        <w:ind w:left="993" w:hanging="993"/>
        <w:rPr>
          <w:rFonts w:asciiTheme="minorHAnsi" w:hAnsiTheme="minorHAnsi" w:cstheme="minorHAnsi"/>
          <w:i/>
        </w:rPr>
      </w:pPr>
      <w:bookmarkStart w:id="331" w:name="_Ref399939961"/>
      <w:bookmarkStart w:id="332" w:name="_Ref400094823"/>
      <w:bookmarkStart w:id="333" w:name="_Toc425426901"/>
      <w:bookmarkStart w:id="334" w:name="_Ref398124803"/>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34</w:t>
      </w:r>
      <w:r w:rsidRPr="00AF3A24">
        <w:rPr>
          <w:rFonts w:asciiTheme="minorHAnsi" w:hAnsiTheme="minorHAnsi"/>
          <w:i/>
        </w:rPr>
        <w:fldChar w:fldCharType="end"/>
      </w:r>
      <w:bookmarkEnd w:id="331"/>
      <w:r w:rsidRPr="00AF3A24">
        <w:rPr>
          <w:rFonts w:asciiTheme="minorHAnsi" w:hAnsiTheme="minorHAnsi"/>
          <w:i/>
        </w:rPr>
        <w:t>:</w:t>
      </w:r>
      <w:r w:rsidRPr="00AF3A24">
        <w:rPr>
          <w:rFonts w:asciiTheme="minorHAnsi" w:hAnsiTheme="minorHAnsi" w:cstheme="minorHAnsi"/>
          <w:i/>
        </w:rPr>
        <w:tab/>
        <w:t xml:space="preserve">People affected by </w:t>
      </w:r>
      <w:r>
        <w:rPr>
          <w:rFonts w:asciiTheme="minorHAnsi" w:hAnsiTheme="minorHAnsi" w:cstheme="minorHAnsi"/>
          <w:i/>
        </w:rPr>
        <w:t>someone else’s</w:t>
      </w:r>
      <w:r w:rsidRPr="00AF3A24">
        <w:rPr>
          <w:rFonts w:asciiTheme="minorHAnsi" w:hAnsiTheme="minorHAnsi" w:cstheme="minorHAnsi"/>
          <w:i/>
        </w:rPr>
        <w:t xml:space="preserve"> gambling by demographics, total population aged 15 years and over (unadjusted prevalence; N=12,576) </w:t>
      </w:r>
      <w:r w:rsidRPr="00AF3A24">
        <w:rPr>
          <w:rFonts w:asciiTheme="minorHAnsi" w:hAnsiTheme="minorHAnsi" w:cstheme="minorHAnsi"/>
          <w:i/>
          <w:vertAlign w:val="superscript"/>
        </w:rPr>
        <w:t>1</w:t>
      </w:r>
      <w:bookmarkEnd w:id="332"/>
      <w:bookmarkEnd w:id="333"/>
    </w:p>
    <w:tbl>
      <w:tblPr>
        <w:tblStyle w:val="TableGrid"/>
        <w:tblW w:w="8326" w:type="dxa"/>
        <w:jc w:val="center"/>
        <w:tblLook w:val="04A0" w:firstRow="1" w:lastRow="0" w:firstColumn="1" w:lastColumn="0" w:noHBand="0" w:noVBand="1"/>
      </w:tblPr>
      <w:tblGrid>
        <w:gridCol w:w="1645"/>
        <w:gridCol w:w="1720"/>
        <w:gridCol w:w="1086"/>
        <w:gridCol w:w="1607"/>
        <w:gridCol w:w="1134"/>
        <w:gridCol w:w="1134"/>
      </w:tblGrid>
      <w:tr w:rsidR="003A541A" w:rsidRPr="00AF3A24" w14:paraId="609B1651" w14:textId="77777777" w:rsidTr="00DE062D">
        <w:trPr>
          <w:trHeight w:val="386"/>
          <w:jc w:val="center"/>
        </w:trPr>
        <w:tc>
          <w:tcPr>
            <w:tcW w:w="3365" w:type="dxa"/>
            <w:gridSpan w:val="2"/>
            <w:vMerge w:val="restart"/>
            <w:shd w:val="clear" w:color="auto" w:fill="92CDDC" w:themeFill="accent5" w:themeFillTint="99"/>
          </w:tcPr>
          <w:p w14:paraId="1C251E2F" w14:textId="77777777" w:rsidR="003A541A" w:rsidRPr="00AF3A24" w:rsidRDefault="003A541A" w:rsidP="00DE062D">
            <w:pPr>
              <w:spacing w:before="0" w:line="240" w:lineRule="auto"/>
              <w:jc w:val="left"/>
              <w:rPr>
                <w:rFonts w:asciiTheme="minorHAnsi" w:hAnsiTheme="minorHAnsi" w:cstheme="minorHAnsi"/>
                <w:b/>
                <w:sz w:val="18"/>
                <w:szCs w:val="18"/>
              </w:rPr>
            </w:pPr>
          </w:p>
        </w:tc>
        <w:tc>
          <w:tcPr>
            <w:tcW w:w="2693" w:type="dxa"/>
            <w:gridSpan w:val="2"/>
            <w:tcBorders>
              <w:bottom w:val="single" w:sz="4" w:space="0" w:color="auto"/>
            </w:tcBorders>
            <w:shd w:val="clear" w:color="auto" w:fill="92CDDC" w:themeFill="accent5" w:themeFillTint="99"/>
            <w:vAlign w:val="center"/>
          </w:tcPr>
          <w:p w14:paraId="5703A8F8" w14:textId="77777777" w:rsidR="003A541A" w:rsidRPr="00AF3A24" w:rsidRDefault="003A541A" w:rsidP="00DE062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AFFECTED BY OTHER’S GAMBLING</w:t>
            </w:r>
          </w:p>
        </w:tc>
        <w:tc>
          <w:tcPr>
            <w:tcW w:w="1134" w:type="dxa"/>
            <w:vMerge w:val="restart"/>
            <w:shd w:val="clear" w:color="auto" w:fill="92CDDC" w:themeFill="accent5" w:themeFillTint="99"/>
            <w:vAlign w:val="center"/>
          </w:tcPr>
          <w:p w14:paraId="42761F44" w14:textId="77777777" w:rsidR="003A541A" w:rsidRDefault="003A541A" w:rsidP="00DE062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Odds ratio (95% CI)</w:t>
            </w:r>
          </w:p>
        </w:tc>
        <w:tc>
          <w:tcPr>
            <w:tcW w:w="1134" w:type="dxa"/>
            <w:vMerge w:val="restart"/>
            <w:shd w:val="clear" w:color="auto" w:fill="92CDDC" w:themeFill="accent5" w:themeFillTint="99"/>
            <w:vAlign w:val="center"/>
          </w:tcPr>
          <w:p w14:paraId="489A4021" w14:textId="77777777" w:rsidR="003A541A" w:rsidRPr="00AF3A24" w:rsidRDefault="003A541A" w:rsidP="00DE062D">
            <w:pPr>
              <w:spacing w:before="0" w:line="240" w:lineRule="auto"/>
              <w:jc w:val="center"/>
              <w:rPr>
                <w:rFonts w:asciiTheme="minorHAnsi" w:hAnsiTheme="minorHAnsi" w:cstheme="minorHAnsi"/>
                <w:b/>
                <w:sz w:val="18"/>
                <w:szCs w:val="18"/>
              </w:rPr>
            </w:pPr>
            <w:r>
              <w:rPr>
                <w:rFonts w:asciiTheme="minorHAnsi" w:hAnsiTheme="minorHAnsi" w:cstheme="minorHAnsi"/>
                <w:b/>
                <w:sz w:val="18"/>
                <w:szCs w:val="18"/>
              </w:rPr>
              <w:t>p-value</w:t>
            </w:r>
          </w:p>
        </w:tc>
      </w:tr>
      <w:tr w:rsidR="003A541A" w:rsidRPr="00AF3A24" w14:paraId="09E12309" w14:textId="77777777" w:rsidTr="00DE062D">
        <w:trPr>
          <w:trHeight w:val="386"/>
          <w:jc w:val="center"/>
        </w:trPr>
        <w:tc>
          <w:tcPr>
            <w:tcW w:w="3365" w:type="dxa"/>
            <w:gridSpan w:val="2"/>
            <w:vMerge/>
            <w:tcBorders>
              <w:bottom w:val="single" w:sz="4" w:space="0" w:color="auto"/>
            </w:tcBorders>
            <w:shd w:val="clear" w:color="auto" w:fill="92CDDC" w:themeFill="accent5" w:themeFillTint="99"/>
          </w:tcPr>
          <w:p w14:paraId="38B40395" w14:textId="77777777" w:rsidR="003A541A" w:rsidRPr="00AF3A24" w:rsidRDefault="003A541A" w:rsidP="00DE062D">
            <w:pPr>
              <w:spacing w:before="0" w:line="240" w:lineRule="auto"/>
              <w:jc w:val="left"/>
              <w:rPr>
                <w:rFonts w:asciiTheme="minorHAnsi" w:hAnsiTheme="minorHAnsi" w:cstheme="minorHAnsi"/>
                <w:b/>
                <w:sz w:val="18"/>
                <w:szCs w:val="18"/>
              </w:rPr>
            </w:pPr>
          </w:p>
        </w:tc>
        <w:tc>
          <w:tcPr>
            <w:tcW w:w="1086" w:type="dxa"/>
            <w:tcBorders>
              <w:bottom w:val="single" w:sz="4" w:space="0" w:color="auto"/>
            </w:tcBorders>
            <w:shd w:val="clear" w:color="auto" w:fill="92CDDC" w:themeFill="accent5" w:themeFillTint="99"/>
            <w:vAlign w:val="center"/>
          </w:tcPr>
          <w:p w14:paraId="6CFA4304" w14:textId="77777777" w:rsidR="003A541A" w:rsidRPr="00AF3A24" w:rsidRDefault="003A541A" w:rsidP="00DE062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607" w:type="dxa"/>
            <w:tcBorders>
              <w:bottom w:val="single" w:sz="4" w:space="0" w:color="auto"/>
            </w:tcBorders>
            <w:shd w:val="clear" w:color="auto" w:fill="92CDDC" w:themeFill="accent5" w:themeFillTint="99"/>
            <w:vAlign w:val="center"/>
          </w:tcPr>
          <w:p w14:paraId="57E9F320" w14:textId="77777777" w:rsidR="003A541A" w:rsidRPr="00AF3A24" w:rsidRDefault="003A541A" w:rsidP="00DE062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45210A6F" w14:textId="77777777" w:rsidR="003A541A" w:rsidRPr="00AF3A24" w:rsidRDefault="003A541A" w:rsidP="00DE062D">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c>
          <w:tcPr>
            <w:tcW w:w="1134" w:type="dxa"/>
            <w:vMerge/>
            <w:tcBorders>
              <w:bottom w:val="single" w:sz="4" w:space="0" w:color="auto"/>
            </w:tcBorders>
            <w:shd w:val="clear" w:color="auto" w:fill="92CDDC" w:themeFill="accent5" w:themeFillTint="99"/>
          </w:tcPr>
          <w:p w14:paraId="1F9A2F2D" w14:textId="77777777" w:rsidR="003A541A" w:rsidRPr="00AF3A24" w:rsidRDefault="003A541A" w:rsidP="00DE062D">
            <w:pPr>
              <w:spacing w:before="0" w:line="240" w:lineRule="auto"/>
              <w:jc w:val="center"/>
              <w:rPr>
                <w:rFonts w:asciiTheme="minorHAnsi" w:hAnsiTheme="minorHAnsi" w:cstheme="minorHAnsi"/>
                <w:b/>
                <w:sz w:val="18"/>
                <w:szCs w:val="18"/>
              </w:rPr>
            </w:pPr>
          </w:p>
        </w:tc>
        <w:tc>
          <w:tcPr>
            <w:tcW w:w="1134" w:type="dxa"/>
            <w:vMerge/>
            <w:tcBorders>
              <w:bottom w:val="single" w:sz="4" w:space="0" w:color="auto"/>
            </w:tcBorders>
            <w:shd w:val="clear" w:color="auto" w:fill="92CDDC" w:themeFill="accent5" w:themeFillTint="99"/>
          </w:tcPr>
          <w:p w14:paraId="79108592" w14:textId="77777777" w:rsidR="003A541A" w:rsidRPr="00AF3A24" w:rsidRDefault="003A541A" w:rsidP="00DE062D">
            <w:pPr>
              <w:spacing w:before="0" w:line="240" w:lineRule="auto"/>
              <w:jc w:val="center"/>
              <w:rPr>
                <w:rFonts w:asciiTheme="minorHAnsi" w:hAnsiTheme="minorHAnsi" w:cstheme="minorHAnsi"/>
                <w:b/>
                <w:sz w:val="18"/>
                <w:szCs w:val="18"/>
              </w:rPr>
            </w:pPr>
          </w:p>
        </w:tc>
      </w:tr>
      <w:tr w:rsidR="003A541A" w:rsidRPr="00AF3A24" w14:paraId="0464F0F3" w14:textId="77777777" w:rsidTr="00DE062D">
        <w:trPr>
          <w:jc w:val="center"/>
        </w:trPr>
        <w:tc>
          <w:tcPr>
            <w:tcW w:w="3365" w:type="dxa"/>
            <w:gridSpan w:val="2"/>
            <w:tcBorders>
              <w:top w:val="nil"/>
              <w:bottom w:val="nil"/>
            </w:tcBorders>
            <w:shd w:val="clear" w:color="auto" w:fill="DAEEF3" w:themeFill="accent5" w:themeFillTint="33"/>
            <w:vAlign w:val="center"/>
          </w:tcPr>
          <w:p w14:paraId="1D09C073" w14:textId="77777777" w:rsidR="003A541A" w:rsidRPr="00AF3A24" w:rsidRDefault="003A541A" w:rsidP="00DE062D">
            <w:pPr>
              <w:spacing w:before="0" w:line="240" w:lineRule="auto"/>
              <w:ind w:left="78"/>
              <w:jc w:val="left"/>
              <w:rPr>
                <w:rFonts w:asciiTheme="minorHAnsi" w:hAnsiTheme="minorHAnsi" w:cstheme="minorHAnsi"/>
                <w:b/>
                <w:sz w:val="16"/>
                <w:szCs w:val="16"/>
              </w:rPr>
            </w:pPr>
            <w:r w:rsidRPr="00AF3A24">
              <w:rPr>
                <w:rFonts w:asciiTheme="minorHAnsi" w:hAnsiTheme="minorHAnsi" w:cstheme="minorHAnsi"/>
                <w:b/>
                <w:sz w:val="16"/>
                <w:szCs w:val="16"/>
              </w:rPr>
              <w:t>Total</w:t>
            </w:r>
          </w:p>
        </w:tc>
        <w:tc>
          <w:tcPr>
            <w:tcW w:w="1086" w:type="dxa"/>
            <w:tcBorders>
              <w:top w:val="single" w:sz="4" w:space="0" w:color="auto"/>
              <w:bottom w:val="nil"/>
              <w:right w:val="single" w:sz="4" w:space="0" w:color="auto"/>
            </w:tcBorders>
            <w:shd w:val="clear" w:color="auto" w:fill="DAEEF3" w:themeFill="accent5" w:themeFillTint="33"/>
            <w:vAlign w:val="center"/>
          </w:tcPr>
          <w:p w14:paraId="1A28CDC0"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2A6A0DA7"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w:t>
            </w:r>
            <w:r w:rsidRPr="00AF3A24">
              <w:rPr>
                <w:rFonts w:asciiTheme="minorHAnsi" w:hAnsiTheme="minorHAnsi"/>
                <w:bCs/>
                <w:color w:val="000000"/>
                <w:sz w:val="16"/>
                <w:szCs w:val="16"/>
              </w:rPr>
              <w:br/>
              <w:t>(2.2 - 2.9)</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419A7D69" w14:textId="77777777" w:rsidR="003A541A"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5EC9F265"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r>
      <w:tr w:rsidR="003A541A" w:rsidRPr="00AF3A24" w14:paraId="036AC6A9" w14:textId="77777777" w:rsidTr="00DE062D">
        <w:trPr>
          <w:jc w:val="center"/>
        </w:trPr>
        <w:tc>
          <w:tcPr>
            <w:tcW w:w="1645" w:type="dxa"/>
            <w:vMerge w:val="restart"/>
            <w:tcBorders>
              <w:top w:val="single" w:sz="4" w:space="0" w:color="auto"/>
            </w:tcBorders>
            <w:shd w:val="clear" w:color="auto" w:fill="DAEEF3" w:themeFill="accent5" w:themeFillTint="33"/>
            <w:vAlign w:val="center"/>
          </w:tcPr>
          <w:p w14:paraId="2F7C4F1A"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Gender</w:t>
            </w:r>
          </w:p>
        </w:tc>
        <w:tc>
          <w:tcPr>
            <w:tcW w:w="1720" w:type="dxa"/>
            <w:tcBorders>
              <w:top w:val="single" w:sz="4" w:space="0" w:color="auto"/>
              <w:bottom w:val="nil"/>
            </w:tcBorders>
            <w:shd w:val="clear" w:color="auto" w:fill="DAEEF3" w:themeFill="accent5" w:themeFillTint="33"/>
            <w:vAlign w:val="center"/>
          </w:tcPr>
          <w:p w14:paraId="4EF37475"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Male</w:t>
            </w:r>
          </w:p>
        </w:tc>
        <w:tc>
          <w:tcPr>
            <w:tcW w:w="1086" w:type="dxa"/>
            <w:tcBorders>
              <w:bottom w:val="nil"/>
              <w:right w:val="single" w:sz="4" w:space="0" w:color="auto"/>
            </w:tcBorders>
            <w:shd w:val="clear" w:color="auto" w:fill="DAEEF3" w:themeFill="accent5" w:themeFillTint="33"/>
            <w:vAlign w:val="center"/>
          </w:tcPr>
          <w:p w14:paraId="6CC78870"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136</w:t>
            </w:r>
          </w:p>
        </w:tc>
        <w:tc>
          <w:tcPr>
            <w:tcW w:w="1607" w:type="dxa"/>
            <w:tcBorders>
              <w:left w:val="single" w:sz="4" w:space="0" w:color="auto"/>
              <w:bottom w:val="nil"/>
              <w:right w:val="single" w:sz="4" w:space="0" w:color="auto"/>
            </w:tcBorders>
            <w:shd w:val="clear" w:color="auto" w:fill="DAEEF3" w:themeFill="accent5" w:themeFillTint="33"/>
            <w:vAlign w:val="center"/>
          </w:tcPr>
          <w:p w14:paraId="3DCA2C05"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2.1</w:t>
            </w:r>
            <w:r w:rsidRPr="00AF3A24">
              <w:rPr>
                <w:rFonts w:asciiTheme="minorHAnsi" w:hAnsiTheme="minorHAnsi"/>
                <w:bCs/>
                <w:color w:val="000000"/>
                <w:sz w:val="16"/>
                <w:szCs w:val="16"/>
              </w:rPr>
              <w:br/>
              <w:t>(1.7 - 2.6)</w:t>
            </w:r>
          </w:p>
        </w:tc>
        <w:tc>
          <w:tcPr>
            <w:tcW w:w="1134" w:type="dxa"/>
            <w:tcBorders>
              <w:left w:val="single" w:sz="4" w:space="0" w:color="auto"/>
              <w:bottom w:val="nil"/>
              <w:right w:val="single" w:sz="4" w:space="0" w:color="auto"/>
            </w:tcBorders>
            <w:shd w:val="clear" w:color="auto" w:fill="B6DDE8" w:themeFill="accent5" w:themeFillTint="66"/>
            <w:vAlign w:val="center"/>
          </w:tcPr>
          <w:p w14:paraId="1007950F" w14:textId="77777777" w:rsidR="003A541A" w:rsidRPr="001D687A" w:rsidRDefault="003A541A" w:rsidP="00DE062D">
            <w:pPr>
              <w:spacing w:before="0" w:line="240" w:lineRule="auto"/>
              <w:jc w:val="center"/>
              <w:rPr>
                <w:rFonts w:asciiTheme="minorHAnsi" w:hAnsiTheme="minorHAnsi"/>
                <w:bCs/>
                <w:color w:val="000000"/>
                <w:sz w:val="16"/>
                <w:szCs w:val="16"/>
              </w:rPr>
            </w:pPr>
            <w:r w:rsidRPr="001D687A">
              <w:rPr>
                <w:rFonts w:asciiTheme="minorHAnsi" w:hAnsiTheme="minorHAnsi"/>
                <w:bCs/>
                <w:color w:val="000000"/>
                <w:sz w:val="16"/>
                <w:szCs w:val="16"/>
              </w:rPr>
              <w:t>0.7</w:t>
            </w:r>
            <w:r w:rsidRPr="001D687A">
              <w:rPr>
                <w:rFonts w:asciiTheme="minorHAnsi" w:hAnsiTheme="minorHAnsi"/>
                <w:bCs/>
                <w:color w:val="000000"/>
                <w:sz w:val="16"/>
                <w:szCs w:val="16"/>
              </w:rPr>
              <w:br/>
              <w:t>(0.5 - 1.0)</w:t>
            </w:r>
          </w:p>
        </w:tc>
        <w:tc>
          <w:tcPr>
            <w:tcW w:w="1134" w:type="dxa"/>
            <w:vMerge w:val="restart"/>
            <w:tcBorders>
              <w:left w:val="single" w:sz="4" w:space="0" w:color="auto"/>
              <w:right w:val="single" w:sz="4" w:space="0" w:color="auto"/>
            </w:tcBorders>
            <w:shd w:val="clear" w:color="auto" w:fill="B6DDE8" w:themeFill="accent5" w:themeFillTint="66"/>
            <w:vAlign w:val="center"/>
          </w:tcPr>
          <w:p w14:paraId="0DEE20BE" w14:textId="77777777" w:rsidR="003A541A" w:rsidRPr="00C46A97" w:rsidRDefault="003A541A" w:rsidP="00044B5E">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0.0</w:t>
            </w:r>
            <w:r w:rsidR="00044B5E">
              <w:rPr>
                <w:rFonts w:asciiTheme="minorHAnsi" w:hAnsiTheme="minorHAnsi"/>
                <w:bCs/>
                <w:color w:val="000000"/>
                <w:sz w:val="16"/>
                <w:szCs w:val="16"/>
              </w:rPr>
              <w:t>294</w:t>
            </w:r>
          </w:p>
        </w:tc>
      </w:tr>
      <w:tr w:rsidR="003A541A" w:rsidRPr="00AF3A24" w14:paraId="7807C3E7" w14:textId="77777777" w:rsidTr="00DE062D">
        <w:trPr>
          <w:jc w:val="center"/>
        </w:trPr>
        <w:tc>
          <w:tcPr>
            <w:tcW w:w="1645" w:type="dxa"/>
            <w:vMerge/>
            <w:tcBorders>
              <w:bottom w:val="nil"/>
            </w:tcBorders>
            <w:shd w:val="clear" w:color="auto" w:fill="DAEEF3" w:themeFill="accent5" w:themeFillTint="33"/>
            <w:vAlign w:val="center"/>
          </w:tcPr>
          <w:p w14:paraId="3253E643"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single" w:sz="4" w:space="0" w:color="auto"/>
            </w:tcBorders>
            <w:shd w:val="clear" w:color="auto" w:fill="DAEEF3" w:themeFill="accent5" w:themeFillTint="33"/>
            <w:vAlign w:val="center"/>
          </w:tcPr>
          <w:p w14:paraId="57B559E7"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Female</w:t>
            </w:r>
          </w:p>
        </w:tc>
        <w:tc>
          <w:tcPr>
            <w:tcW w:w="1086" w:type="dxa"/>
            <w:tcBorders>
              <w:top w:val="nil"/>
              <w:bottom w:val="single" w:sz="4" w:space="0" w:color="auto"/>
              <w:right w:val="single" w:sz="4" w:space="0" w:color="auto"/>
            </w:tcBorders>
            <w:shd w:val="clear" w:color="auto" w:fill="DAEEF3" w:themeFill="accent5" w:themeFillTint="33"/>
            <w:vAlign w:val="center"/>
          </w:tcPr>
          <w:p w14:paraId="6346CA48"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255</w:t>
            </w:r>
          </w:p>
        </w:tc>
        <w:tc>
          <w:tcPr>
            <w:tcW w:w="1607"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2DCB246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2.9</w:t>
            </w:r>
            <w:r w:rsidRPr="00AF3A24">
              <w:rPr>
                <w:rFonts w:asciiTheme="minorHAnsi" w:hAnsiTheme="minorHAnsi"/>
                <w:bCs/>
                <w:color w:val="000000"/>
                <w:sz w:val="16"/>
                <w:szCs w:val="16"/>
              </w:rPr>
              <w:br/>
              <w:t>(2.4 - 3.4)</w:t>
            </w:r>
          </w:p>
        </w:tc>
        <w:tc>
          <w:tcPr>
            <w:tcW w:w="1134" w:type="dxa"/>
            <w:tcBorders>
              <w:top w:val="nil"/>
              <w:left w:val="single" w:sz="4" w:space="0" w:color="auto"/>
              <w:bottom w:val="single" w:sz="4" w:space="0" w:color="auto"/>
              <w:right w:val="single" w:sz="4" w:space="0" w:color="auto"/>
            </w:tcBorders>
            <w:shd w:val="clear" w:color="auto" w:fill="B6DDE8" w:themeFill="accent5" w:themeFillTint="66"/>
            <w:vAlign w:val="center"/>
          </w:tcPr>
          <w:p w14:paraId="6540E4CD"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1134" w:type="dxa"/>
            <w:vMerge/>
            <w:tcBorders>
              <w:left w:val="single" w:sz="4" w:space="0" w:color="auto"/>
              <w:bottom w:val="single" w:sz="4" w:space="0" w:color="auto"/>
              <w:right w:val="single" w:sz="4" w:space="0" w:color="auto"/>
            </w:tcBorders>
            <w:shd w:val="clear" w:color="auto" w:fill="B6DDE8" w:themeFill="accent5" w:themeFillTint="66"/>
            <w:vAlign w:val="center"/>
          </w:tcPr>
          <w:p w14:paraId="059674B4"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27D738D4" w14:textId="77777777" w:rsidTr="00DE062D">
        <w:trPr>
          <w:trHeight w:val="252"/>
          <w:jc w:val="center"/>
        </w:trPr>
        <w:tc>
          <w:tcPr>
            <w:tcW w:w="1645" w:type="dxa"/>
            <w:vMerge w:val="restart"/>
            <w:tcBorders>
              <w:top w:val="single" w:sz="4" w:space="0" w:color="auto"/>
            </w:tcBorders>
            <w:shd w:val="clear" w:color="auto" w:fill="DAEEF3" w:themeFill="accent5" w:themeFillTint="33"/>
            <w:vAlign w:val="center"/>
          </w:tcPr>
          <w:p w14:paraId="5CF35CB1"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Age-group</w:t>
            </w:r>
          </w:p>
        </w:tc>
        <w:tc>
          <w:tcPr>
            <w:tcW w:w="1720" w:type="dxa"/>
            <w:tcBorders>
              <w:top w:val="single" w:sz="4" w:space="0" w:color="auto"/>
              <w:bottom w:val="nil"/>
            </w:tcBorders>
            <w:shd w:val="clear" w:color="auto" w:fill="DAEEF3" w:themeFill="accent5" w:themeFillTint="33"/>
            <w:vAlign w:val="center"/>
          </w:tcPr>
          <w:p w14:paraId="7F37E22A"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15 - 24</w:t>
            </w:r>
          </w:p>
        </w:tc>
        <w:tc>
          <w:tcPr>
            <w:tcW w:w="1086" w:type="dxa"/>
            <w:tcBorders>
              <w:bottom w:val="nil"/>
              <w:right w:val="single" w:sz="4" w:space="0" w:color="auto"/>
            </w:tcBorders>
            <w:shd w:val="clear" w:color="auto" w:fill="DAEEF3" w:themeFill="accent5" w:themeFillTint="33"/>
            <w:vAlign w:val="center"/>
          </w:tcPr>
          <w:p w14:paraId="1DEC6CB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50</w:t>
            </w:r>
          </w:p>
        </w:tc>
        <w:tc>
          <w:tcPr>
            <w:tcW w:w="1607" w:type="dxa"/>
            <w:tcBorders>
              <w:left w:val="single" w:sz="4" w:space="0" w:color="auto"/>
              <w:bottom w:val="nil"/>
              <w:right w:val="single" w:sz="4" w:space="0" w:color="auto"/>
            </w:tcBorders>
            <w:shd w:val="clear" w:color="auto" w:fill="DAEEF3" w:themeFill="accent5" w:themeFillTint="33"/>
            <w:vAlign w:val="center"/>
          </w:tcPr>
          <w:p w14:paraId="121404FF"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2.7</w:t>
            </w:r>
            <w:r w:rsidRPr="00AF3A24">
              <w:rPr>
                <w:rFonts w:asciiTheme="minorHAnsi" w:hAnsiTheme="minorHAnsi"/>
                <w:bCs/>
                <w:color w:val="000000"/>
                <w:sz w:val="16"/>
                <w:szCs w:val="16"/>
              </w:rPr>
              <w:br/>
              <w:t>(1.8 - 3.7)</w:t>
            </w:r>
          </w:p>
        </w:tc>
        <w:tc>
          <w:tcPr>
            <w:tcW w:w="1134" w:type="dxa"/>
            <w:tcBorders>
              <w:left w:val="single" w:sz="4" w:space="0" w:color="auto"/>
              <w:bottom w:val="nil"/>
              <w:right w:val="single" w:sz="4" w:space="0" w:color="auto"/>
            </w:tcBorders>
            <w:shd w:val="clear" w:color="auto" w:fill="B6DDE8" w:themeFill="accent5" w:themeFillTint="66"/>
            <w:vAlign w:val="center"/>
          </w:tcPr>
          <w:p w14:paraId="251073EB"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2.1</w:t>
            </w:r>
            <w:r w:rsidRPr="008F55A3">
              <w:rPr>
                <w:rFonts w:asciiTheme="minorHAnsi" w:hAnsiTheme="minorHAnsi"/>
                <w:bCs/>
                <w:color w:val="000000"/>
                <w:sz w:val="16"/>
                <w:szCs w:val="16"/>
              </w:rPr>
              <w:br/>
              <w:t>(1.2 - 3.8)</w:t>
            </w:r>
          </w:p>
        </w:tc>
        <w:tc>
          <w:tcPr>
            <w:tcW w:w="1134" w:type="dxa"/>
            <w:vMerge w:val="restart"/>
            <w:tcBorders>
              <w:left w:val="single" w:sz="4" w:space="0" w:color="auto"/>
              <w:right w:val="single" w:sz="4" w:space="0" w:color="auto"/>
            </w:tcBorders>
            <w:shd w:val="clear" w:color="auto" w:fill="B6DDE8" w:themeFill="accent5" w:themeFillTint="66"/>
            <w:vAlign w:val="center"/>
          </w:tcPr>
          <w:p w14:paraId="033BCA94" w14:textId="77777777" w:rsidR="003A541A" w:rsidRPr="00AF3A24" w:rsidRDefault="003A541A" w:rsidP="00DE062D">
            <w:pPr>
              <w:spacing w:before="0" w:line="240" w:lineRule="auto"/>
              <w:jc w:val="center"/>
              <w:rPr>
                <w:rFonts w:asciiTheme="minorHAnsi" w:hAnsiTheme="minorHAnsi"/>
                <w:bCs/>
                <w:color w:val="000000"/>
                <w:sz w:val="16"/>
                <w:szCs w:val="16"/>
              </w:rPr>
            </w:pPr>
            <w:r w:rsidRPr="00C46A97">
              <w:rPr>
                <w:rFonts w:asciiTheme="minorHAnsi" w:hAnsiTheme="minorHAnsi"/>
                <w:bCs/>
                <w:color w:val="000000"/>
                <w:sz w:val="16"/>
                <w:szCs w:val="16"/>
              </w:rPr>
              <w:t>&lt;</w:t>
            </w:r>
            <w:r>
              <w:rPr>
                <w:rFonts w:asciiTheme="minorHAnsi" w:hAnsiTheme="minorHAnsi"/>
                <w:bCs/>
                <w:color w:val="000000"/>
                <w:sz w:val="16"/>
                <w:szCs w:val="16"/>
              </w:rPr>
              <w:t>0</w:t>
            </w:r>
            <w:r w:rsidRPr="00C46A97">
              <w:rPr>
                <w:rFonts w:asciiTheme="minorHAnsi" w:hAnsiTheme="minorHAnsi"/>
                <w:bCs/>
                <w:color w:val="000000"/>
                <w:sz w:val="16"/>
                <w:szCs w:val="16"/>
              </w:rPr>
              <w:t>.0001</w:t>
            </w:r>
          </w:p>
        </w:tc>
      </w:tr>
      <w:tr w:rsidR="003A541A" w:rsidRPr="00AF3A24" w14:paraId="2A782B89" w14:textId="77777777" w:rsidTr="00DE062D">
        <w:trPr>
          <w:jc w:val="center"/>
        </w:trPr>
        <w:tc>
          <w:tcPr>
            <w:tcW w:w="1645" w:type="dxa"/>
            <w:vMerge/>
            <w:shd w:val="clear" w:color="auto" w:fill="DAEEF3" w:themeFill="accent5" w:themeFillTint="33"/>
            <w:vAlign w:val="center"/>
          </w:tcPr>
          <w:p w14:paraId="06ABE52E"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0B83B6C2"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25 - 34</w:t>
            </w:r>
          </w:p>
        </w:tc>
        <w:tc>
          <w:tcPr>
            <w:tcW w:w="1086" w:type="dxa"/>
            <w:tcBorders>
              <w:top w:val="nil"/>
              <w:bottom w:val="nil"/>
              <w:right w:val="single" w:sz="4" w:space="0" w:color="auto"/>
            </w:tcBorders>
            <w:shd w:val="clear" w:color="auto" w:fill="DAEEF3" w:themeFill="accent5" w:themeFillTint="33"/>
            <w:vAlign w:val="center"/>
          </w:tcPr>
          <w:p w14:paraId="5706E7EC"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95</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3EFC3275"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3.9</w:t>
            </w:r>
            <w:r w:rsidRPr="00AF3A24">
              <w:rPr>
                <w:rFonts w:asciiTheme="minorHAnsi" w:hAnsiTheme="minorHAnsi"/>
                <w:bCs/>
                <w:color w:val="000000"/>
                <w:sz w:val="16"/>
                <w:szCs w:val="16"/>
              </w:rPr>
              <w:br/>
              <w:t>(2.9 - 5.0)</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6C2897A8"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3.2</w:t>
            </w:r>
            <w:r w:rsidRPr="008F55A3">
              <w:rPr>
                <w:rFonts w:asciiTheme="minorHAnsi" w:hAnsiTheme="minorHAnsi"/>
                <w:bCs/>
                <w:color w:val="000000"/>
                <w:sz w:val="16"/>
                <w:szCs w:val="16"/>
              </w:rPr>
              <w:br/>
              <w:t>(2.0 - 5.3)</w:t>
            </w:r>
          </w:p>
        </w:tc>
        <w:tc>
          <w:tcPr>
            <w:tcW w:w="1134" w:type="dxa"/>
            <w:vMerge/>
            <w:tcBorders>
              <w:left w:val="single" w:sz="4" w:space="0" w:color="auto"/>
              <w:right w:val="single" w:sz="4" w:space="0" w:color="auto"/>
            </w:tcBorders>
            <w:shd w:val="clear" w:color="auto" w:fill="B6DDE8" w:themeFill="accent5" w:themeFillTint="66"/>
            <w:vAlign w:val="center"/>
          </w:tcPr>
          <w:p w14:paraId="6C4EEA1C"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5FD12482" w14:textId="77777777" w:rsidTr="00DE062D">
        <w:trPr>
          <w:jc w:val="center"/>
        </w:trPr>
        <w:tc>
          <w:tcPr>
            <w:tcW w:w="1645" w:type="dxa"/>
            <w:vMerge/>
            <w:shd w:val="clear" w:color="auto" w:fill="DAEEF3" w:themeFill="accent5" w:themeFillTint="33"/>
            <w:vAlign w:val="center"/>
          </w:tcPr>
          <w:p w14:paraId="5F2AE7E1"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0C0E9D06"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35 - 44</w:t>
            </w:r>
          </w:p>
        </w:tc>
        <w:tc>
          <w:tcPr>
            <w:tcW w:w="1086" w:type="dxa"/>
            <w:tcBorders>
              <w:top w:val="nil"/>
              <w:bottom w:val="nil"/>
              <w:right w:val="single" w:sz="4" w:space="0" w:color="auto"/>
            </w:tcBorders>
            <w:shd w:val="clear" w:color="auto" w:fill="DAEEF3" w:themeFill="accent5" w:themeFillTint="33"/>
            <w:vAlign w:val="center"/>
          </w:tcPr>
          <w:p w14:paraId="27AAB371"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101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5AB2BBBC"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(2.3 - 3.8)</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15D8F24B"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2.7</w:t>
            </w:r>
            <w:r w:rsidRPr="008F55A3">
              <w:rPr>
                <w:rFonts w:asciiTheme="minorHAnsi" w:hAnsiTheme="minorHAnsi"/>
                <w:bCs/>
                <w:color w:val="000000"/>
                <w:sz w:val="16"/>
                <w:szCs w:val="16"/>
              </w:rPr>
              <w:br/>
              <w:t>(1.7 - 4.3)</w:t>
            </w:r>
          </w:p>
        </w:tc>
        <w:tc>
          <w:tcPr>
            <w:tcW w:w="1134" w:type="dxa"/>
            <w:vMerge/>
            <w:tcBorders>
              <w:left w:val="single" w:sz="4" w:space="0" w:color="auto"/>
              <w:right w:val="single" w:sz="4" w:space="0" w:color="auto"/>
            </w:tcBorders>
            <w:shd w:val="clear" w:color="auto" w:fill="B6DDE8" w:themeFill="accent5" w:themeFillTint="66"/>
            <w:vAlign w:val="center"/>
          </w:tcPr>
          <w:p w14:paraId="3ED3D64D"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0C5C4C13" w14:textId="77777777" w:rsidTr="00DE062D">
        <w:trPr>
          <w:jc w:val="center"/>
        </w:trPr>
        <w:tc>
          <w:tcPr>
            <w:tcW w:w="1645" w:type="dxa"/>
            <w:vMerge/>
            <w:shd w:val="clear" w:color="auto" w:fill="DAEEF3" w:themeFill="accent5" w:themeFillTint="33"/>
            <w:vAlign w:val="center"/>
          </w:tcPr>
          <w:p w14:paraId="75727593"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43158D40"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45 - 54</w:t>
            </w:r>
          </w:p>
        </w:tc>
        <w:tc>
          <w:tcPr>
            <w:tcW w:w="1086" w:type="dxa"/>
            <w:tcBorders>
              <w:top w:val="nil"/>
              <w:bottom w:val="nil"/>
              <w:right w:val="single" w:sz="4" w:space="0" w:color="auto"/>
            </w:tcBorders>
            <w:shd w:val="clear" w:color="auto" w:fill="DAEEF3" w:themeFill="accent5" w:themeFillTint="33"/>
            <w:vAlign w:val="center"/>
          </w:tcPr>
          <w:p w14:paraId="2CD8AC0A"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69</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0F4CC2A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(1.7 - 3.5)</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0ED4D518"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2.4</w:t>
            </w:r>
            <w:r w:rsidRPr="008F55A3">
              <w:rPr>
                <w:rFonts w:asciiTheme="minorHAnsi" w:hAnsiTheme="minorHAnsi"/>
                <w:bCs/>
                <w:color w:val="000000"/>
                <w:sz w:val="16"/>
                <w:szCs w:val="16"/>
              </w:rPr>
              <w:br/>
              <w:t>(1.4 - 4.0)</w:t>
            </w:r>
          </w:p>
        </w:tc>
        <w:tc>
          <w:tcPr>
            <w:tcW w:w="1134" w:type="dxa"/>
            <w:vMerge/>
            <w:tcBorders>
              <w:left w:val="single" w:sz="4" w:space="0" w:color="auto"/>
              <w:right w:val="single" w:sz="4" w:space="0" w:color="auto"/>
            </w:tcBorders>
            <w:shd w:val="clear" w:color="auto" w:fill="B6DDE8" w:themeFill="accent5" w:themeFillTint="66"/>
            <w:vAlign w:val="center"/>
          </w:tcPr>
          <w:p w14:paraId="15FFAB53"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61486FEC" w14:textId="77777777" w:rsidTr="00DE062D">
        <w:trPr>
          <w:jc w:val="center"/>
        </w:trPr>
        <w:tc>
          <w:tcPr>
            <w:tcW w:w="1645" w:type="dxa"/>
            <w:vMerge/>
            <w:shd w:val="clear" w:color="auto" w:fill="DAEEF3" w:themeFill="accent5" w:themeFillTint="33"/>
            <w:vAlign w:val="center"/>
          </w:tcPr>
          <w:p w14:paraId="4BDF1BDD"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493CD882"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55 - 64</w:t>
            </w:r>
          </w:p>
        </w:tc>
        <w:tc>
          <w:tcPr>
            <w:tcW w:w="1086" w:type="dxa"/>
            <w:tcBorders>
              <w:top w:val="nil"/>
              <w:bottom w:val="nil"/>
              <w:right w:val="single" w:sz="4" w:space="0" w:color="auto"/>
            </w:tcBorders>
            <w:shd w:val="clear" w:color="auto" w:fill="DAEEF3" w:themeFill="accent5" w:themeFillTint="33"/>
            <w:vAlign w:val="center"/>
          </w:tcPr>
          <w:p w14:paraId="3E4ACA4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563F7BA2"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w:t>
            </w:r>
            <w:r w:rsidRPr="00AF3A24">
              <w:rPr>
                <w:rFonts w:asciiTheme="minorHAnsi" w:hAnsiTheme="minorHAnsi"/>
                <w:bCs/>
                <w:color w:val="000000"/>
                <w:sz w:val="16"/>
                <w:szCs w:val="16"/>
              </w:rPr>
              <w:br/>
              <w:t>(1.1 - 2.3)</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5C76CE44"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1.6</w:t>
            </w:r>
            <w:r w:rsidRPr="008F55A3">
              <w:rPr>
                <w:rFonts w:asciiTheme="minorHAnsi" w:hAnsiTheme="minorHAnsi"/>
                <w:bCs/>
                <w:color w:val="000000"/>
                <w:sz w:val="16"/>
                <w:szCs w:val="16"/>
              </w:rPr>
              <w:br/>
              <w:t>(0.9 - 2.8)</w:t>
            </w:r>
          </w:p>
        </w:tc>
        <w:tc>
          <w:tcPr>
            <w:tcW w:w="1134" w:type="dxa"/>
            <w:vMerge/>
            <w:tcBorders>
              <w:left w:val="single" w:sz="4" w:space="0" w:color="auto"/>
              <w:right w:val="single" w:sz="4" w:space="0" w:color="auto"/>
            </w:tcBorders>
            <w:shd w:val="clear" w:color="auto" w:fill="B6DDE8" w:themeFill="accent5" w:themeFillTint="66"/>
            <w:vAlign w:val="center"/>
          </w:tcPr>
          <w:p w14:paraId="54D3ED6E"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2D0A7CDA" w14:textId="77777777" w:rsidTr="00DE062D">
        <w:trPr>
          <w:jc w:val="center"/>
        </w:trPr>
        <w:tc>
          <w:tcPr>
            <w:tcW w:w="1645" w:type="dxa"/>
            <w:vMerge/>
            <w:tcBorders>
              <w:bottom w:val="nil"/>
            </w:tcBorders>
            <w:shd w:val="clear" w:color="auto" w:fill="DAEEF3" w:themeFill="accent5" w:themeFillTint="33"/>
            <w:vAlign w:val="center"/>
          </w:tcPr>
          <w:p w14:paraId="32FA9E35"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53941931"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65+</w:t>
            </w:r>
          </w:p>
        </w:tc>
        <w:tc>
          <w:tcPr>
            <w:tcW w:w="1086" w:type="dxa"/>
            <w:tcBorders>
              <w:top w:val="nil"/>
              <w:bottom w:val="nil"/>
              <w:right w:val="single" w:sz="4" w:space="0" w:color="auto"/>
            </w:tcBorders>
            <w:shd w:val="clear" w:color="auto" w:fill="DAEEF3" w:themeFill="accent5" w:themeFillTint="33"/>
            <w:vAlign w:val="center"/>
          </w:tcPr>
          <w:p w14:paraId="739740A5"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0C97DD99"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w:t>
            </w:r>
            <w:r w:rsidRPr="00AF3A24">
              <w:rPr>
                <w:rFonts w:asciiTheme="minorHAnsi" w:hAnsiTheme="minorHAnsi"/>
                <w:bCs/>
                <w:color w:val="000000"/>
                <w:sz w:val="16"/>
                <w:szCs w:val="16"/>
              </w:rPr>
              <w:br/>
              <w:t>(0.7 - 1.5)</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391D0089"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1134" w:type="dxa"/>
            <w:vMerge/>
            <w:tcBorders>
              <w:left w:val="single" w:sz="4" w:space="0" w:color="auto"/>
              <w:bottom w:val="nil"/>
              <w:right w:val="single" w:sz="4" w:space="0" w:color="auto"/>
            </w:tcBorders>
            <w:shd w:val="clear" w:color="auto" w:fill="B6DDE8" w:themeFill="accent5" w:themeFillTint="66"/>
            <w:vAlign w:val="center"/>
          </w:tcPr>
          <w:p w14:paraId="28AA6C53"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5DBFD5FB" w14:textId="77777777" w:rsidTr="00DE062D">
        <w:trPr>
          <w:jc w:val="center"/>
        </w:trPr>
        <w:tc>
          <w:tcPr>
            <w:tcW w:w="1645" w:type="dxa"/>
            <w:vMerge w:val="restart"/>
            <w:tcBorders>
              <w:top w:val="single" w:sz="4" w:space="0" w:color="auto"/>
            </w:tcBorders>
            <w:shd w:val="clear" w:color="auto" w:fill="DAEEF3" w:themeFill="accent5" w:themeFillTint="33"/>
            <w:vAlign w:val="center"/>
          </w:tcPr>
          <w:p w14:paraId="066482BA"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By Ethnicity </w:t>
            </w:r>
            <w:r>
              <w:rPr>
                <w:rFonts w:asciiTheme="minorHAnsi" w:hAnsiTheme="minorHAnsi" w:cstheme="minorHAnsi"/>
                <w:sz w:val="16"/>
                <w:szCs w:val="16"/>
                <w:vertAlign w:val="superscript"/>
              </w:rPr>
              <w:t>2</w:t>
            </w:r>
          </w:p>
        </w:tc>
        <w:tc>
          <w:tcPr>
            <w:tcW w:w="1720" w:type="dxa"/>
            <w:tcBorders>
              <w:top w:val="single" w:sz="4" w:space="0" w:color="auto"/>
              <w:bottom w:val="nil"/>
            </w:tcBorders>
            <w:shd w:val="clear" w:color="auto" w:fill="DAEEF3" w:themeFill="accent5" w:themeFillTint="33"/>
            <w:vAlign w:val="center"/>
          </w:tcPr>
          <w:p w14:paraId="58F7D0A4"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 xml:space="preserve">Māori </w:t>
            </w:r>
          </w:p>
        </w:tc>
        <w:tc>
          <w:tcPr>
            <w:tcW w:w="1086" w:type="dxa"/>
            <w:tcBorders>
              <w:bottom w:val="nil"/>
              <w:right w:val="single" w:sz="4" w:space="0" w:color="auto"/>
            </w:tcBorders>
            <w:shd w:val="clear" w:color="auto" w:fill="DAEEF3" w:themeFill="accent5" w:themeFillTint="33"/>
            <w:vAlign w:val="center"/>
          </w:tcPr>
          <w:p w14:paraId="360C10D3"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174</w:t>
            </w:r>
          </w:p>
        </w:tc>
        <w:tc>
          <w:tcPr>
            <w:tcW w:w="1607" w:type="dxa"/>
            <w:tcBorders>
              <w:left w:val="single" w:sz="4" w:space="0" w:color="auto"/>
              <w:bottom w:val="nil"/>
              <w:right w:val="single" w:sz="4" w:space="0" w:color="auto"/>
            </w:tcBorders>
            <w:shd w:val="clear" w:color="auto" w:fill="DAEEF3" w:themeFill="accent5" w:themeFillTint="33"/>
            <w:vAlign w:val="center"/>
          </w:tcPr>
          <w:p w14:paraId="07EE420D"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6.0</w:t>
            </w:r>
          </w:p>
          <w:p w14:paraId="5A68A691"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(4.9 – 7.2)</w:t>
            </w:r>
          </w:p>
        </w:tc>
        <w:tc>
          <w:tcPr>
            <w:tcW w:w="1134" w:type="dxa"/>
            <w:tcBorders>
              <w:left w:val="single" w:sz="4" w:space="0" w:color="auto"/>
              <w:bottom w:val="nil"/>
              <w:right w:val="single" w:sz="4" w:space="0" w:color="auto"/>
            </w:tcBorders>
            <w:shd w:val="clear" w:color="auto" w:fill="B6DDE8" w:themeFill="accent5" w:themeFillTint="66"/>
            <w:vAlign w:val="center"/>
          </w:tcPr>
          <w:p w14:paraId="7BCAEB34"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2.8</w:t>
            </w:r>
            <w:r w:rsidRPr="008F55A3">
              <w:rPr>
                <w:rFonts w:asciiTheme="minorHAnsi" w:hAnsiTheme="minorHAnsi"/>
                <w:bCs/>
                <w:color w:val="000000"/>
                <w:sz w:val="16"/>
                <w:szCs w:val="16"/>
              </w:rPr>
              <w:br/>
              <w:t>(2.1 - 3.8)</w:t>
            </w:r>
          </w:p>
        </w:tc>
        <w:tc>
          <w:tcPr>
            <w:tcW w:w="1134" w:type="dxa"/>
            <w:vMerge w:val="restart"/>
            <w:tcBorders>
              <w:left w:val="single" w:sz="4" w:space="0" w:color="auto"/>
              <w:right w:val="single" w:sz="4" w:space="0" w:color="auto"/>
            </w:tcBorders>
            <w:shd w:val="clear" w:color="auto" w:fill="B6DDE8" w:themeFill="accent5" w:themeFillTint="66"/>
            <w:vAlign w:val="center"/>
          </w:tcPr>
          <w:p w14:paraId="32AE24A0" w14:textId="77777777" w:rsidR="003A541A" w:rsidRPr="00AF3A24" w:rsidRDefault="003A541A" w:rsidP="00DE062D">
            <w:pPr>
              <w:spacing w:before="0" w:line="240" w:lineRule="auto"/>
              <w:jc w:val="center"/>
              <w:rPr>
                <w:rFonts w:asciiTheme="minorHAnsi" w:hAnsiTheme="minorHAnsi"/>
                <w:bCs/>
                <w:color w:val="000000"/>
                <w:sz w:val="16"/>
                <w:szCs w:val="16"/>
              </w:rPr>
            </w:pPr>
            <w:r w:rsidRPr="00C46A97">
              <w:rPr>
                <w:rFonts w:asciiTheme="minorHAnsi" w:hAnsiTheme="minorHAnsi"/>
                <w:bCs/>
                <w:color w:val="000000"/>
                <w:sz w:val="16"/>
                <w:szCs w:val="16"/>
              </w:rPr>
              <w:t>&lt;</w:t>
            </w:r>
            <w:r>
              <w:rPr>
                <w:rFonts w:asciiTheme="minorHAnsi" w:hAnsiTheme="minorHAnsi"/>
                <w:bCs/>
                <w:color w:val="000000"/>
                <w:sz w:val="16"/>
                <w:szCs w:val="16"/>
              </w:rPr>
              <w:t>0</w:t>
            </w:r>
            <w:r w:rsidRPr="00C46A97">
              <w:rPr>
                <w:rFonts w:asciiTheme="minorHAnsi" w:hAnsiTheme="minorHAnsi"/>
                <w:bCs/>
                <w:color w:val="000000"/>
                <w:sz w:val="16"/>
                <w:szCs w:val="16"/>
              </w:rPr>
              <w:t>.0001</w:t>
            </w:r>
          </w:p>
        </w:tc>
      </w:tr>
      <w:tr w:rsidR="003A541A" w:rsidRPr="00AF3A24" w14:paraId="063B9F4A" w14:textId="77777777" w:rsidTr="00DE062D">
        <w:trPr>
          <w:jc w:val="center"/>
        </w:trPr>
        <w:tc>
          <w:tcPr>
            <w:tcW w:w="1645" w:type="dxa"/>
            <w:vMerge/>
            <w:shd w:val="clear" w:color="auto" w:fill="DAEEF3" w:themeFill="accent5" w:themeFillTint="33"/>
            <w:vAlign w:val="center"/>
          </w:tcPr>
          <w:p w14:paraId="2380DF71"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2208C30D"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Pacific</w:t>
            </w:r>
          </w:p>
        </w:tc>
        <w:tc>
          <w:tcPr>
            <w:tcW w:w="1086" w:type="dxa"/>
            <w:tcBorders>
              <w:top w:val="nil"/>
              <w:bottom w:val="nil"/>
              <w:right w:val="single" w:sz="4" w:space="0" w:color="auto"/>
            </w:tcBorders>
            <w:shd w:val="clear" w:color="auto" w:fill="DAEEF3" w:themeFill="accent5" w:themeFillTint="33"/>
            <w:vAlign w:val="center"/>
          </w:tcPr>
          <w:p w14:paraId="452F8AC3"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53</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4BEB27CA"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4.6</w:t>
            </w:r>
          </w:p>
          <w:p w14:paraId="17625F21"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(3.1 – 6.1)</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33E83A4C" w14:textId="77777777" w:rsidR="003A541A" w:rsidRPr="008F55A3" w:rsidRDefault="003A541A"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2.0</w:t>
            </w:r>
            <w:r w:rsidRPr="008F55A3">
              <w:rPr>
                <w:rFonts w:asciiTheme="minorHAnsi" w:hAnsiTheme="minorHAnsi"/>
                <w:bCs/>
                <w:color w:val="000000"/>
                <w:sz w:val="16"/>
                <w:szCs w:val="16"/>
              </w:rPr>
              <w:br/>
              <w:t>(1.3 - 3.1)</w:t>
            </w:r>
          </w:p>
        </w:tc>
        <w:tc>
          <w:tcPr>
            <w:tcW w:w="1134" w:type="dxa"/>
            <w:vMerge/>
            <w:tcBorders>
              <w:left w:val="single" w:sz="4" w:space="0" w:color="auto"/>
              <w:right w:val="single" w:sz="4" w:space="0" w:color="auto"/>
            </w:tcBorders>
            <w:shd w:val="clear" w:color="auto" w:fill="B6DDE8" w:themeFill="accent5" w:themeFillTint="66"/>
            <w:vAlign w:val="center"/>
          </w:tcPr>
          <w:p w14:paraId="6F11501F"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EE15EF" w:rsidRPr="00AF3A24" w14:paraId="454A9815" w14:textId="77777777" w:rsidTr="00DE062D">
        <w:trPr>
          <w:jc w:val="center"/>
        </w:trPr>
        <w:tc>
          <w:tcPr>
            <w:tcW w:w="1645" w:type="dxa"/>
            <w:vMerge/>
            <w:shd w:val="clear" w:color="auto" w:fill="DAEEF3" w:themeFill="accent5" w:themeFillTint="33"/>
            <w:vAlign w:val="center"/>
          </w:tcPr>
          <w:p w14:paraId="385A8E42" w14:textId="77777777" w:rsidR="00EE15EF" w:rsidRPr="00AF3A24" w:rsidRDefault="00EE15EF"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0510528C" w14:textId="77777777" w:rsidR="00EE15EF" w:rsidRPr="00AF3A24" w:rsidRDefault="00EE15EF"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Asian</w:t>
            </w:r>
          </w:p>
        </w:tc>
        <w:tc>
          <w:tcPr>
            <w:tcW w:w="1086" w:type="dxa"/>
            <w:tcBorders>
              <w:top w:val="nil"/>
              <w:bottom w:val="nil"/>
              <w:right w:val="single" w:sz="4" w:space="0" w:color="auto"/>
            </w:tcBorders>
            <w:shd w:val="clear" w:color="auto" w:fill="DAEEF3" w:themeFill="accent5" w:themeFillTint="33"/>
            <w:vAlign w:val="center"/>
          </w:tcPr>
          <w:p w14:paraId="5E3B6CCB"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28C9A0D5"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5A2BD33C" w14:textId="77777777" w:rsidR="00EE15EF" w:rsidRPr="008F55A3" w:rsidRDefault="00EE15EF" w:rsidP="00DE062D">
            <w:pPr>
              <w:spacing w:before="0" w:line="240" w:lineRule="auto"/>
              <w:jc w:val="center"/>
              <w:rPr>
                <w:rFonts w:asciiTheme="minorHAnsi" w:hAnsiTheme="minorHAnsi"/>
                <w:bCs/>
                <w:color w:val="000000"/>
                <w:sz w:val="16"/>
                <w:szCs w:val="16"/>
              </w:rPr>
            </w:pPr>
            <w:r w:rsidRPr="008F55A3">
              <w:rPr>
                <w:rFonts w:asciiTheme="minorHAnsi" w:hAnsiTheme="minorHAnsi"/>
                <w:bCs/>
                <w:color w:val="000000"/>
                <w:sz w:val="16"/>
                <w:szCs w:val="16"/>
              </w:rPr>
              <w:t>0.8</w:t>
            </w:r>
            <w:r w:rsidRPr="008F55A3">
              <w:rPr>
                <w:rFonts w:asciiTheme="minorHAnsi" w:hAnsiTheme="minorHAnsi"/>
                <w:bCs/>
                <w:color w:val="000000"/>
                <w:sz w:val="16"/>
                <w:szCs w:val="16"/>
              </w:rPr>
              <w:br/>
              <w:t>(0.4 - 1.6)</w:t>
            </w:r>
          </w:p>
        </w:tc>
        <w:tc>
          <w:tcPr>
            <w:tcW w:w="1134" w:type="dxa"/>
            <w:vMerge/>
            <w:tcBorders>
              <w:left w:val="single" w:sz="4" w:space="0" w:color="auto"/>
              <w:right w:val="single" w:sz="4" w:space="0" w:color="auto"/>
            </w:tcBorders>
            <w:shd w:val="clear" w:color="auto" w:fill="B6DDE8" w:themeFill="accent5" w:themeFillTint="66"/>
            <w:vAlign w:val="center"/>
          </w:tcPr>
          <w:p w14:paraId="5E53860D" w14:textId="77777777" w:rsidR="00EE15EF" w:rsidRPr="00C46A97" w:rsidRDefault="00EE15EF" w:rsidP="00DE062D">
            <w:pPr>
              <w:spacing w:before="0" w:line="240" w:lineRule="auto"/>
              <w:jc w:val="center"/>
              <w:rPr>
                <w:rFonts w:asciiTheme="minorHAnsi" w:hAnsiTheme="minorHAnsi"/>
                <w:bCs/>
                <w:color w:val="000000"/>
                <w:sz w:val="16"/>
                <w:szCs w:val="16"/>
              </w:rPr>
            </w:pPr>
          </w:p>
        </w:tc>
      </w:tr>
      <w:tr w:rsidR="003A541A" w:rsidRPr="00AF3A24" w14:paraId="645510CB" w14:textId="77777777" w:rsidTr="00DE062D">
        <w:trPr>
          <w:jc w:val="center"/>
        </w:trPr>
        <w:tc>
          <w:tcPr>
            <w:tcW w:w="1645" w:type="dxa"/>
            <w:vMerge/>
            <w:tcBorders>
              <w:bottom w:val="nil"/>
            </w:tcBorders>
            <w:shd w:val="clear" w:color="auto" w:fill="DAEEF3" w:themeFill="accent5" w:themeFillTint="33"/>
            <w:vAlign w:val="center"/>
          </w:tcPr>
          <w:p w14:paraId="59B94507"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339A10DC"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European/Other</w:t>
            </w:r>
          </w:p>
        </w:tc>
        <w:tc>
          <w:tcPr>
            <w:tcW w:w="1086" w:type="dxa"/>
            <w:tcBorders>
              <w:top w:val="nil"/>
              <w:bottom w:val="nil"/>
              <w:right w:val="single" w:sz="4" w:space="0" w:color="auto"/>
            </w:tcBorders>
            <w:shd w:val="clear" w:color="auto" w:fill="DAEEF3" w:themeFill="accent5" w:themeFillTint="33"/>
            <w:vAlign w:val="center"/>
          </w:tcPr>
          <w:p w14:paraId="3885904E"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242</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76FDC5A4"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2.3</w:t>
            </w:r>
          </w:p>
          <w:p w14:paraId="00942575"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(1.9 – 2.7)</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4E6DBD2A"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1</w:t>
            </w:r>
          </w:p>
        </w:tc>
        <w:tc>
          <w:tcPr>
            <w:tcW w:w="1134" w:type="dxa"/>
            <w:vMerge/>
            <w:tcBorders>
              <w:left w:val="single" w:sz="4" w:space="0" w:color="auto"/>
              <w:bottom w:val="nil"/>
              <w:right w:val="single" w:sz="4" w:space="0" w:color="auto"/>
            </w:tcBorders>
            <w:shd w:val="clear" w:color="auto" w:fill="B6DDE8" w:themeFill="accent5" w:themeFillTint="66"/>
            <w:vAlign w:val="center"/>
          </w:tcPr>
          <w:p w14:paraId="62FECEEC"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4789036F" w14:textId="77777777" w:rsidTr="00DE062D">
        <w:trPr>
          <w:jc w:val="center"/>
        </w:trPr>
        <w:tc>
          <w:tcPr>
            <w:tcW w:w="1645" w:type="dxa"/>
            <w:vMerge w:val="restart"/>
            <w:tcBorders>
              <w:top w:val="single" w:sz="4" w:space="0" w:color="auto"/>
            </w:tcBorders>
            <w:shd w:val="clear" w:color="auto" w:fill="DAEEF3" w:themeFill="accent5" w:themeFillTint="33"/>
            <w:vAlign w:val="center"/>
          </w:tcPr>
          <w:p w14:paraId="2E722C84"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Neighbourhood Deprivation (NZDep2006)</w:t>
            </w:r>
          </w:p>
        </w:tc>
        <w:tc>
          <w:tcPr>
            <w:tcW w:w="1720" w:type="dxa"/>
            <w:tcBorders>
              <w:top w:val="single" w:sz="4" w:space="0" w:color="auto"/>
              <w:bottom w:val="nil"/>
            </w:tcBorders>
            <w:shd w:val="clear" w:color="auto" w:fill="DAEEF3" w:themeFill="accent5" w:themeFillTint="33"/>
            <w:vAlign w:val="center"/>
          </w:tcPr>
          <w:p w14:paraId="6D228596"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1 (least deprived)</w:t>
            </w:r>
          </w:p>
        </w:tc>
        <w:tc>
          <w:tcPr>
            <w:tcW w:w="1086" w:type="dxa"/>
            <w:tcBorders>
              <w:bottom w:val="nil"/>
              <w:right w:val="single" w:sz="4" w:space="0" w:color="auto"/>
            </w:tcBorders>
            <w:shd w:val="clear" w:color="auto" w:fill="DAEEF3" w:themeFill="accent5" w:themeFillTint="33"/>
            <w:vAlign w:val="center"/>
          </w:tcPr>
          <w:p w14:paraId="606BD030"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35</w:t>
            </w:r>
          </w:p>
        </w:tc>
        <w:tc>
          <w:tcPr>
            <w:tcW w:w="1607" w:type="dxa"/>
            <w:tcBorders>
              <w:left w:val="single" w:sz="4" w:space="0" w:color="auto"/>
              <w:bottom w:val="nil"/>
              <w:right w:val="single" w:sz="4" w:space="0" w:color="auto"/>
            </w:tcBorders>
            <w:shd w:val="clear" w:color="auto" w:fill="DAEEF3" w:themeFill="accent5" w:themeFillTint="33"/>
            <w:vAlign w:val="center"/>
          </w:tcPr>
          <w:p w14:paraId="231EB5A7"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(1.1 - 2.5)</w:t>
            </w:r>
          </w:p>
        </w:tc>
        <w:tc>
          <w:tcPr>
            <w:tcW w:w="1134" w:type="dxa"/>
            <w:tcBorders>
              <w:left w:val="single" w:sz="4" w:space="0" w:color="auto"/>
              <w:bottom w:val="nil"/>
              <w:right w:val="single" w:sz="4" w:space="0" w:color="auto"/>
            </w:tcBorders>
            <w:shd w:val="clear" w:color="auto" w:fill="B6DDE8" w:themeFill="accent5" w:themeFillTint="66"/>
            <w:vAlign w:val="center"/>
          </w:tcPr>
          <w:p w14:paraId="6C2B96F1" w14:textId="77777777" w:rsidR="003A541A"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val="restart"/>
            <w:tcBorders>
              <w:left w:val="single" w:sz="4" w:space="0" w:color="auto"/>
              <w:right w:val="single" w:sz="4" w:space="0" w:color="auto"/>
            </w:tcBorders>
            <w:shd w:val="clear" w:color="auto" w:fill="B6DDE8" w:themeFill="accent5" w:themeFillTint="66"/>
            <w:vAlign w:val="center"/>
          </w:tcPr>
          <w:p w14:paraId="5F4A7C22"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0.51</w:t>
            </w:r>
          </w:p>
        </w:tc>
      </w:tr>
      <w:tr w:rsidR="003A541A" w:rsidRPr="00AF3A24" w14:paraId="5997FA10" w14:textId="77777777" w:rsidTr="00DE062D">
        <w:trPr>
          <w:jc w:val="center"/>
        </w:trPr>
        <w:tc>
          <w:tcPr>
            <w:tcW w:w="1645" w:type="dxa"/>
            <w:vMerge/>
            <w:shd w:val="clear" w:color="auto" w:fill="DAEEF3" w:themeFill="accent5" w:themeFillTint="33"/>
            <w:vAlign w:val="center"/>
          </w:tcPr>
          <w:p w14:paraId="6E55A66B"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66DE42B1"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2</w:t>
            </w:r>
          </w:p>
        </w:tc>
        <w:tc>
          <w:tcPr>
            <w:tcW w:w="1086" w:type="dxa"/>
            <w:tcBorders>
              <w:top w:val="nil"/>
              <w:bottom w:val="nil"/>
              <w:right w:val="single" w:sz="4" w:space="0" w:color="auto"/>
            </w:tcBorders>
            <w:shd w:val="clear" w:color="auto" w:fill="DAEEF3" w:themeFill="accent5" w:themeFillTint="33"/>
            <w:vAlign w:val="center"/>
          </w:tcPr>
          <w:p w14:paraId="77B168D3"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42</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6C0F4F66"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1.8</w:t>
            </w:r>
            <w:r w:rsidRPr="00AF3A24">
              <w:rPr>
                <w:rFonts w:asciiTheme="minorHAnsi" w:hAnsiTheme="minorHAnsi"/>
                <w:bCs/>
                <w:color w:val="000000"/>
                <w:sz w:val="16"/>
                <w:szCs w:val="16"/>
              </w:rPr>
              <w:br/>
              <w:t>(1.1 - 2.5)</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2265F9DD" w14:textId="77777777" w:rsidR="003A541A" w:rsidRPr="008F55A3"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tcBorders>
              <w:left w:val="single" w:sz="4" w:space="0" w:color="auto"/>
              <w:right w:val="single" w:sz="4" w:space="0" w:color="auto"/>
            </w:tcBorders>
            <w:shd w:val="clear" w:color="auto" w:fill="B6DDE8" w:themeFill="accent5" w:themeFillTint="66"/>
            <w:vAlign w:val="center"/>
          </w:tcPr>
          <w:p w14:paraId="3D2F45DD"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5EEDE76E" w14:textId="77777777" w:rsidTr="00DE062D">
        <w:trPr>
          <w:jc w:val="center"/>
        </w:trPr>
        <w:tc>
          <w:tcPr>
            <w:tcW w:w="1645" w:type="dxa"/>
            <w:vMerge/>
            <w:shd w:val="clear" w:color="auto" w:fill="DAEEF3" w:themeFill="accent5" w:themeFillTint="33"/>
            <w:vAlign w:val="center"/>
          </w:tcPr>
          <w:p w14:paraId="36611C4B"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468732FA"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3</w:t>
            </w:r>
          </w:p>
        </w:tc>
        <w:tc>
          <w:tcPr>
            <w:tcW w:w="1086" w:type="dxa"/>
            <w:tcBorders>
              <w:top w:val="nil"/>
              <w:bottom w:val="nil"/>
              <w:right w:val="single" w:sz="4" w:space="0" w:color="auto"/>
            </w:tcBorders>
            <w:shd w:val="clear" w:color="auto" w:fill="DAEEF3" w:themeFill="accent5" w:themeFillTint="33"/>
            <w:vAlign w:val="center"/>
          </w:tcPr>
          <w:p w14:paraId="4BBB7078"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67</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70D688A7"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2.4</w:t>
            </w:r>
            <w:r w:rsidRPr="00AF3A24">
              <w:rPr>
                <w:rFonts w:asciiTheme="minorHAnsi" w:hAnsiTheme="minorHAnsi"/>
                <w:bCs/>
                <w:color w:val="000000"/>
                <w:sz w:val="16"/>
                <w:szCs w:val="16"/>
              </w:rPr>
              <w:br/>
              <w:t>(1.6 - 3.2)</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71455F6F" w14:textId="77777777" w:rsidR="003A541A" w:rsidRPr="008F55A3"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tcBorders>
              <w:left w:val="single" w:sz="4" w:space="0" w:color="auto"/>
              <w:right w:val="single" w:sz="4" w:space="0" w:color="auto"/>
            </w:tcBorders>
            <w:shd w:val="clear" w:color="auto" w:fill="B6DDE8" w:themeFill="accent5" w:themeFillTint="66"/>
            <w:vAlign w:val="center"/>
          </w:tcPr>
          <w:p w14:paraId="0D6B0D67"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3F83523D" w14:textId="77777777" w:rsidTr="00DE062D">
        <w:trPr>
          <w:jc w:val="center"/>
        </w:trPr>
        <w:tc>
          <w:tcPr>
            <w:tcW w:w="1645" w:type="dxa"/>
            <w:vMerge/>
            <w:shd w:val="clear" w:color="auto" w:fill="DAEEF3" w:themeFill="accent5" w:themeFillTint="33"/>
            <w:vAlign w:val="center"/>
          </w:tcPr>
          <w:p w14:paraId="67D45DF2"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nil"/>
            </w:tcBorders>
            <w:shd w:val="clear" w:color="auto" w:fill="DAEEF3" w:themeFill="accent5" w:themeFillTint="33"/>
            <w:vAlign w:val="center"/>
          </w:tcPr>
          <w:p w14:paraId="5924F7D6"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4</w:t>
            </w:r>
          </w:p>
        </w:tc>
        <w:tc>
          <w:tcPr>
            <w:tcW w:w="1086" w:type="dxa"/>
            <w:tcBorders>
              <w:top w:val="nil"/>
              <w:bottom w:val="nil"/>
              <w:right w:val="single" w:sz="4" w:space="0" w:color="auto"/>
            </w:tcBorders>
            <w:shd w:val="clear" w:color="auto" w:fill="DAEEF3" w:themeFill="accent5" w:themeFillTint="33"/>
            <w:vAlign w:val="center"/>
          </w:tcPr>
          <w:p w14:paraId="7A44AE4C"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91</w:t>
            </w:r>
          </w:p>
        </w:tc>
        <w:tc>
          <w:tcPr>
            <w:tcW w:w="1607" w:type="dxa"/>
            <w:tcBorders>
              <w:top w:val="nil"/>
              <w:left w:val="single" w:sz="4" w:space="0" w:color="auto"/>
              <w:bottom w:val="nil"/>
              <w:right w:val="single" w:sz="4" w:space="0" w:color="auto"/>
            </w:tcBorders>
            <w:shd w:val="clear" w:color="auto" w:fill="DAEEF3" w:themeFill="accent5" w:themeFillTint="33"/>
            <w:vAlign w:val="center"/>
          </w:tcPr>
          <w:p w14:paraId="37DF867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r w:rsidRPr="00AF3A24">
              <w:rPr>
                <w:rFonts w:asciiTheme="minorHAnsi" w:hAnsiTheme="minorHAnsi"/>
                <w:bCs/>
                <w:color w:val="000000"/>
                <w:sz w:val="16"/>
                <w:szCs w:val="16"/>
              </w:rPr>
              <w:br/>
              <w:t>(2.2 - 3.8)</w:t>
            </w:r>
          </w:p>
        </w:tc>
        <w:tc>
          <w:tcPr>
            <w:tcW w:w="1134" w:type="dxa"/>
            <w:tcBorders>
              <w:top w:val="nil"/>
              <w:left w:val="single" w:sz="4" w:space="0" w:color="auto"/>
              <w:bottom w:val="nil"/>
              <w:right w:val="single" w:sz="4" w:space="0" w:color="auto"/>
            </w:tcBorders>
            <w:shd w:val="clear" w:color="auto" w:fill="B6DDE8" w:themeFill="accent5" w:themeFillTint="66"/>
            <w:vAlign w:val="center"/>
          </w:tcPr>
          <w:p w14:paraId="1536F3AE" w14:textId="77777777" w:rsidR="003A541A" w:rsidRPr="008F55A3"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tcBorders>
              <w:left w:val="single" w:sz="4" w:space="0" w:color="auto"/>
              <w:right w:val="single" w:sz="4" w:space="0" w:color="auto"/>
            </w:tcBorders>
            <w:shd w:val="clear" w:color="auto" w:fill="B6DDE8" w:themeFill="accent5" w:themeFillTint="66"/>
            <w:vAlign w:val="center"/>
          </w:tcPr>
          <w:p w14:paraId="782F0943"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3A541A" w:rsidRPr="00AF3A24" w14:paraId="270AB895" w14:textId="77777777" w:rsidTr="00DE062D">
        <w:trPr>
          <w:jc w:val="center"/>
        </w:trPr>
        <w:tc>
          <w:tcPr>
            <w:tcW w:w="1645" w:type="dxa"/>
            <w:vMerge/>
            <w:tcBorders>
              <w:bottom w:val="single" w:sz="4" w:space="0" w:color="auto"/>
            </w:tcBorders>
            <w:shd w:val="clear" w:color="auto" w:fill="DAEEF3" w:themeFill="accent5" w:themeFillTint="33"/>
            <w:vAlign w:val="center"/>
          </w:tcPr>
          <w:p w14:paraId="2BF6D497" w14:textId="77777777" w:rsidR="003A541A" w:rsidRPr="00AF3A24" w:rsidRDefault="003A541A" w:rsidP="00DE062D">
            <w:pPr>
              <w:spacing w:before="0" w:line="240" w:lineRule="auto"/>
              <w:ind w:left="78"/>
              <w:jc w:val="left"/>
              <w:rPr>
                <w:rFonts w:asciiTheme="minorHAnsi" w:hAnsiTheme="minorHAnsi" w:cstheme="minorHAnsi"/>
                <w:sz w:val="16"/>
                <w:szCs w:val="16"/>
              </w:rPr>
            </w:pPr>
          </w:p>
        </w:tc>
        <w:tc>
          <w:tcPr>
            <w:tcW w:w="1720" w:type="dxa"/>
            <w:tcBorders>
              <w:top w:val="nil"/>
              <w:bottom w:val="single" w:sz="4" w:space="0" w:color="auto"/>
            </w:tcBorders>
            <w:shd w:val="clear" w:color="auto" w:fill="DAEEF3" w:themeFill="accent5" w:themeFillTint="33"/>
            <w:vAlign w:val="center"/>
          </w:tcPr>
          <w:p w14:paraId="374663F2"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5 (most deprived)</w:t>
            </w:r>
          </w:p>
        </w:tc>
        <w:tc>
          <w:tcPr>
            <w:tcW w:w="1086" w:type="dxa"/>
            <w:tcBorders>
              <w:top w:val="nil"/>
              <w:bottom w:val="single" w:sz="4" w:space="0" w:color="auto"/>
              <w:right w:val="single" w:sz="4" w:space="0" w:color="auto"/>
            </w:tcBorders>
            <w:shd w:val="clear" w:color="auto" w:fill="DAEEF3" w:themeFill="accent5" w:themeFillTint="33"/>
            <w:vAlign w:val="center"/>
          </w:tcPr>
          <w:p w14:paraId="22751282"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156</w:t>
            </w:r>
          </w:p>
        </w:tc>
        <w:tc>
          <w:tcPr>
            <w:tcW w:w="1607"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0053C5AB"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3.8</w:t>
            </w:r>
            <w:r w:rsidRPr="00AF3A24">
              <w:rPr>
                <w:rFonts w:asciiTheme="minorHAnsi" w:hAnsiTheme="minorHAnsi"/>
                <w:bCs/>
                <w:color w:val="000000"/>
                <w:sz w:val="16"/>
                <w:szCs w:val="16"/>
              </w:rPr>
              <w:br/>
              <w:t>(3.0 - 4.6)</w:t>
            </w:r>
          </w:p>
        </w:tc>
        <w:tc>
          <w:tcPr>
            <w:tcW w:w="1134" w:type="dxa"/>
            <w:tcBorders>
              <w:top w:val="nil"/>
              <w:left w:val="single" w:sz="4" w:space="0" w:color="auto"/>
              <w:bottom w:val="single" w:sz="4" w:space="0" w:color="auto"/>
              <w:right w:val="single" w:sz="4" w:space="0" w:color="auto"/>
            </w:tcBorders>
            <w:shd w:val="clear" w:color="auto" w:fill="B6DDE8" w:themeFill="accent5" w:themeFillTint="66"/>
            <w:vAlign w:val="center"/>
          </w:tcPr>
          <w:p w14:paraId="28D2ECB1" w14:textId="77777777" w:rsidR="003A541A" w:rsidRPr="008F55A3"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tcBorders>
              <w:left w:val="single" w:sz="4" w:space="0" w:color="auto"/>
              <w:bottom w:val="single" w:sz="4" w:space="0" w:color="auto"/>
              <w:right w:val="single" w:sz="4" w:space="0" w:color="auto"/>
            </w:tcBorders>
            <w:shd w:val="clear" w:color="auto" w:fill="B6DDE8" w:themeFill="accent5" w:themeFillTint="66"/>
            <w:vAlign w:val="center"/>
          </w:tcPr>
          <w:p w14:paraId="3ECF054A" w14:textId="77777777" w:rsidR="003A541A" w:rsidRPr="00AF3A24" w:rsidRDefault="003A541A" w:rsidP="00DE062D">
            <w:pPr>
              <w:spacing w:before="0" w:line="240" w:lineRule="auto"/>
              <w:jc w:val="center"/>
              <w:rPr>
                <w:rFonts w:asciiTheme="minorHAnsi" w:hAnsiTheme="minorHAnsi"/>
                <w:bCs/>
                <w:color w:val="000000"/>
                <w:sz w:val="16"/>
                <w:szCs w:val="16"/>
              </w:rPr>
            </w:pPr>
          </w:p>
        </w:tc>
      </w:tr>
      <w:tr w:rsidR="00EE15EF" w:rsidRPr="00AF3A24" w14:paraId="17A1BFF7" w14:textId="77777777" w:rsidTr="00EE15EF">
        <w:trPr>
          <w:trHeight w:val="437"/>
          <w:jc w:val="center"/>
        </w:trPr>
        <w:tc>
          <w:tcPr>
            <w:tcW w:w="1645" w:type="dxa"/>
            <w:vMerge w:val="restart"/>
            <w:tcBorders>
              <w:top w:val="single" w:sz="4" w:space="0" w:color="auto"/>
            </w:tcBorders>
            <w:shd w:val="clear" w:color="auto" w:fill="DAEEF3" w:themeFill="accent5" w:themeFillTint="33"/>
            <w:vAlign w:val="center"/>
          </w:tcPr>
          <w:p w14:paraId="6157F7A8" w14:textId="77777777" w:rsidR="00EE15EF" w:rsidRPr="00AF3A24" w:rsidRDefault="00EE15EF"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By Geography</w:t>
            </w:r>
          </w:p>
        </w:tc>
        <w:tc>
          <w:tcPr>
            <w:tcW w:w="1720" w:type="dxa"/>
            <w:tcBorders>
              <w:top w:val="single" w:sz="4" w:space="0" w:color="auto"/>
              <w:bottom w:val="nil"/>
            </w:tcBorders>
            <w:shd w:val="clear" w:color="auto" w:fill="DAEEF3" w:themeFill="accent5" w:themeFillTint="33"/>
            <w:vAlign w:val="center"/>
          </w:tcPr>
          <w:p w14:paraId="06C4C578" w14:textId="77777777" w:rsidR="00EE15EF" w:rsidRPr="00AF3A24" w:rsidRDefault="00EE15EF"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Rural</w:t>
            </w:r>
          </w:p>
        </w:tc>
        <w:tc>
          <w:tcPr>
            <w:tcW w:w="1086" w:type="dxa"/>
            <w:tcBorders>
              <w:bottom w:val="nil"/>
              <w:right w:val="single" w:sz="4" w:space="0" w:color="auto"/>
            </w:tcBorders>
            <w:shd w:val="clear" w:color="auto" w:fill="DAEEF3" w:themeFill="accent5" w:themeFillTint="33"/>
            <w:vAlign w:val="center"/>
          </w:tcPr>
          <w:p w14:paraId="45D8537A"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607" w:type="dxa"/>
            <w:tcBorders>
              <w:left w:val="single" w:sz="4" w:space="0" w:color="auto"/>
              <w:bottom w:val="nil"/>
              <w:right w:val="single" w:sz="4" w:space="0" w:color="auto"/>
            </w:tcBorders>
            <w:shd w:val="clear" w:color="auto" w:fill="DAEEF3" w:themeFill="accent5" w:themeFillTint="33"/>
            <w:vAlign w:val="center"/>
          </w:tcPr>
          <w:p w14:paraId="170742B8"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c>
          <w:tcPr>
            <w:tcW w:w="1134" w:type="dxa"/>
            <w:tcBorders>
              <w:top w:val="single" w:sz="4" w:space="0" w:color="auto"/>
              <w:left w:val="single" w:sz="4" w:space="0" w:color="auto"/>
              <w:bottom w:val="nil"/>
              <w:right w:val="single" w:sz="4" w:space="0" w:color="auto"/>
            </w:tcBorders>
            <w:shd w:val="clear" w:color="auto" w:fill="B6DDE8" w:themeFill="accent5" w:themeFillTint="66"/>
            <w:vAlign w:val="center"/>
          </w:tcPr>
          <w:p w14:paraId="0C9746B1" w14:textId="77777777" w:rsidR="00EE15EF" w:rsidRPr="008F55A3" w:rsidRDefault="00EE15EF"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val="restart"/>
            <w:tcBorders>
              <w:left w:val="single" w:sz="4" w:space="0" w:color="auto"/>
              <w:right w:val="single" w:sz="4" w:space="0" w:color="auto"/>
            </w:tcBorders>
            <w:shd w:val="clear" w:color="auto" w:fill="B6DDE8" w:themeFill="accent5" w:themeFillTint="66"/>
            <w:vAlign w:val="center"/>
          </w:tcPr>
          <w:p w14:paraId="227FB078" w14:textId="77777777" w:rsidR="00EE15EF" w:rsidRPr="00C46A97" w:rsidRDefault="00EE15EF" w:rsidP="00DE062D">
            <w:pPr>
              <w:spacing w:before="0" w:line="240" w:lineRule="auto"/>
              <w:jc w:val="center"/>
              <w:rPr>
                <w:rFonts w:asciiTheme="minorHAnsi" w:hAnsiTheme="minorHAnsi"/>
                <w:bCs/>
                <w:color w:val="000000"/>
                <w:sz w:val="16"/>
                <w:szCs w:val="16"/>
              </w:rPr>
            </w:pPr>
            <w:r w:rsidRPr="00C46A97">
              <w:rPr>
                <w:rFonts w:asciiTheme="minorHAnsi" w:hAnsiTheme="minorHAnsi"/>
                <w:bCs/>
                <w:color w:val="000000"/>
                <w:sz w:val="16"/>
                <w:szCs w:val="16"/>
              </w:rPr>
              <w:t>0.2</w:t>
            </w:r>
            <w:r>
              <w:rPr>
                <w:rFonts w:asciiTheme="minorHAnsi" w:hAnsiTheme="minorHAnsi"/>
                <w:bCs/>
                <w:color w:val="000000"/>
                <w:sz w:val="16"/>
                <w:szCs w:val="16"/>
              </w:rPr>
              <w:t>2</w:t>
            </w:r>
          </w:p>
        </w:tc>
      </w:tr>
      <w:tr w:rsidR="003A541A" w:rsidRPr="00AF3A24" w14:paraId="4D2D30FF" w14:textId="77777777" w:rsidTr="00EE15EF">
        <w:trPr>
          <w:trHeight w:val="437"/>
          <w:jc w:val="center"/>
        </w:trPr>
        <w:tc>
          <w:tcPr>
            <w:tcW w:w="1645" w:type="dxa"/>
            <w:vMerge/>
            <w:tcBorders>
              <w:bottom w:val="single" w:sz="4" w:space="0" w:color="auto"/>
            </w:tcBorders>
            <w:shd w:val="clear" w:color="auto" w:fill="DAEEF3" w:themeFill="accent5" w:themeFillTint="33"/>
          </w:tcPr>
          <w:p w14:paraId="334E2E70" w14:textId="77777777" w:rsidR="003A541A" w:rsidRPr="00AF3A24" w:rsidRDefault="003A541A" w:rsidP="00DE062D">
            <w:pPr>
              <w:spacing w:before="0" w:line="240" w:lineRule="auto"/>
              <w:ind w:left="78"/>
              <w:jc w:val="center"/>
              <w:rPr>
                <w:rFonts w:asciiTheme="minorHAnsi" w:hAnsiTheme="minorHAnsi" w:cstheme="minorHAnsi"/>
                <w:sz w:val="16"/>
                <w:szCs w:val="16"/>
              </w:rPr>
            </w:pPr>
          </w:p>
        </w:tc>
        <w:tc>
          <w:tcPr>
            <w:tcW w:w="1720" w:type="dxa"/>
            <w:tcBorders>
              <w:top w:val="nil"/>
              <w:bottom w:val="single" w:sz="4" w:space="0" w:color="auto"/>
            </w:tcBorders>
            <w:shd w:val="clear" w:color="auto" w:fill="DAEEF3" w:themeFill="accent5" w:themeFillTint="33"/>
            <w:vAlign w:val="center"/>
          </w:tcPr>
          <w:p w14:paraId="59585202" w14:textId="77777777" w:rsidR="003A541A" w:rsidRPr="00AF3A24" w:rsidRDefault="003A541A" w:rsidP="00DE062D">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Urban</w:t>
            </w:r>
          </w:p>
        </w:tc>
        <w:tc>
          <w:tcPr>
            <w:tcW w:w="1086" w:type="dxa"/>
            <w:tcBorders>
              <w:top w:val="nil"/>
              <w:bottom w:val="single" w:sz="4" w:space="0" w:color="auto"/>
              <w:right w:val="single" w:sz="4" w:space="0" w:color="auto"/>
            </w:tcBorders>
            <w:shd w:val="clear" w:color="auto" w:fill="DAEEF3" w:themeFill="accent5" w:themeFillTint="33"/>
            <w:vAlign w:val="center"/>
          </w:tcPr>
          <w:p w14:paraId="2C4EEFF8"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372</w:t>
            </w:r>
          </w:p>
        </w:tc>
        <w:tc>
          <w:tcPr>
            <w:tcW w:w="1607" w:type="dxa"/>
            <w:tcBorders>
              <w:top w:val="nil"/>
              <w:left w:val="single" w:sz="4" w:space="0" w:color="auto"/>
              <w:bottom w:val="single" w:sz="4" w:space="0" w:color="auto"/>
              <w:right w:val="single" w:sz="4" w:space="0" w:color="auto"/>
            </w:tcBorders>
            <w:shd w:val="clear" w:color="auto" w:fill="DAEEF3" w:themeFill="accent5" w:themeFillTint="33"/>
            <w:vAlign w:val="center"/>
          </w:tcPr>
          <w:p w14:paraId="6B58BD61" w14:textId="77777777" w:rsidR="003A541A" w:rsidRPr="00AF3A24" w:rsidRDefault="003A541A" w:rsidP="00DE062D">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2.6</w:t>
            </w:r>
            <w:r w:rsidRPr="00AF3A24">
              <w:rPr>
                <w:rFonts w:asciiTheme="minorHAnsi" w:hAnsiTheme="minorHAnsi"/>
                <w:bCs/>
                <w:color w:val="000000"/>
                <w:sz w:val="16"/>
                <w:szCs w:val="16"/>
              </w:rPr>
              <w:br/>
              <w:t>(2.3 - 3.0)</w:t>
            </w:r>
          </w:p>
        </w:tc>
        <w:tc>
          <w:tcPr>
            <w:tcW w:w="1134" w:type="dxa"/>
            <w:tcBorders>
              <w:top w:val="nil"/>
              <w:left w:val="single" w:sz="4" w:space="0" w:color="auto"/>
              <w:bottom w:val="single" w:sz="4" w:space="0" w:color="auto"/>
              <w:right w:val="single" w:sz="4" w:space="0" w:color="auto"/>
            </w:tcBorders>
            <w:shd w:val="clear" w:color="auto" w:fill="B6DDE8" w:themeFill="accent5" w:themeFillTint="66"/>
            <w:vAlign w:val="center"/>
          </w:tcPr>
          <w:p w14:paraId="46662C99" w14:textId="77777777" w:rsidR="003A541A" w:rsidRPr="00AF3A24" w:rsidRDefault="003A541A" w:rsidP="00DE062D">
            <w:pPr>
              <w:spacing w:before="0" w:line="240" w:lineRule="auto"/>
              <w:jc w:val="center"/>
              <w:rPr>
                <w:rFonts w:asciiTheme="minorHAnsi" w:hAnsiTheme="minorHAnsi"/>
                <w:bCs/>
                <w:color w:val="000000"/>
                <w:sz w:val="16"/>
                <w:szCs w:val="16"/>
              </w:rPr>
            </w:pPr>
            <w:r>
              <w:rPr>
                <w:rFonts w:asciiTheme="minorHAnsi" w:hAnsiTheme="minorHAnsi"/>
                <w:bCs/>
                <w:color w:val="000000"/>
                <w:sz w:val="16"/>
                <w:szCs w:val="16"/>
              </w:rPr>
              <w:t>-</w:t>
            </w:r>
          </w:p>
        </w:tc>
        <w:tc>
          <w:tcPr>
            <w:tcW w:w="1134" w:type="dxa"/>
            <w:vMerge/>
            <w:tcBorders>
              <w:left w:val="single" w:sz="4" w:space="0" w:color="auto"/>
              <w:bottom w:val="single" w:sz="4" w:space="0" w:color="auto"/>
              <w:right w:val="single" w:sz="4" w:space="0" w:color="auto"/>
            </w:tcBorders>
            <w:shd w:val="clear" w:color="auto" w:fill="DAEEF3" w:themeFill="accent5" w:themeFillTint="33"/>
          </w:tcPr>
          <w:p w14:paraId="58C9B4E2" w14:textId="77777777" w:rsidR="003A541A" w:rsidRPr="00AF3A24" w:rsidRDefault="003A541A" w:rsidP="00DE062D">
            <w:pPr>
              <w:spacing w:before="0" w:line="240" w:lineRule="auto"/>
              <w:jc w:val="center"/>
              <w:rPr>
                <w:rFonts w:asciiTheme="minorHAnsi" w:hAnsiTheme="minorHAnsi"/>
                <w:bCs/>
                <w:color w:val="000000"/>
                <w:sz w:val="16"/>
                <w:szCs w:val="16"/>
              </w:rPr>
            </w:pPr>
          </w:p>
        </w:tc>
      </w:tr>
    </w:tbl>
    <w:p w14:paraId="59BD79E1" w14:textId="77777777" w:rsidR="003A541A" w:rsidRPr="00AF3A24" w:rsidRDefault="003A541A" w:rsidP="00C14851">
      <w:pPr>
        <w:spacing w:before="0" w:line="240" w:lineRule="auto"/>
        <w:ind w:left="993" w:right="899"/>
        <w:rPr>
          <w:rFonts w:asciiTheme="minorHAnsi" w:hAnsiTheme="minorHAnsi" w:cstheme="minorHAnsi"/>
          <w:sz w:val="16"/>
        </w:rPr>
      </w:pPr>
      <w:r w:rsidRPr="00AF3A24">
        <w:rPr>
          <w:rFonts w:asciiTheme="minorHAnsi" w:hAnsiTheme="minorHAnsi" w:cstheme="minorHAnsi"/>
          <w:sz w:val="16"/>
        </w:rPr>
        <w:t>Notes:</w:t>
      </w:r>
    </w:p>
    <w:p w14:paraId="54F9A55F" w14:textId="77777777" w:rsidR="003A541A" w:rsidRDefault="003A541A" w:rsidP="004F129A">
      <w:pPr>
        <w:pStyle w:val="ListParagraph"/>
        <w:numPr>
          <w:ilvl w:val="0"/>
          <w:numId w:val="60"/>
        </w:numPr>
        <w:spacing w:line="240" w:lineRule="auto"/>
        <w:ind w:left="1418" w:right="899"/>
        <w:rPr>
          <w:rFonts w:asciiTheme="minorHAnsi" w:hAnsiTheme="minorHAnsi" w:cstheme="minorHAnsi"/>
          <w:sz w:val="16"/>
        </w:rPr>
      </w:pPr>
      <w:r w:rsidRPr="00AF3A24">
        <w:rPr>
          <w:rFonts w:asciiTheme="minorHAnsi" w:hAnsiTheme="minorHAnsi" w:cstheme="minorHAnsi"/>
          <w:sz w:val="16"/>
        </w:rPr>
        <w:t xml:space="preserve">Source: 2011/12 New Zealand Health Survey. </w:t>
      </w:r>
    </w:p>
    <w:p w14:paraId="084A184A" w14:textId="67E79818" w:rsidR="003A541A" w:rsidRPr="0076721E" w:rsidRDefault="003A541A" w:rsidP="004F129A">
      <w:pPr>
        <w:pStyle w:val="ListParagraph"/>
        <w:numPr>
          <w:ilvl w:val="0"/>
          <w:numId w:val="60"/>
        </w:numPr>
        <w:spacing w:line="240" w:lineRule="auto"/>
        <w:ind w:left="1418" w:right="899"/>
        <w:rPr>
          <w:rFonts w:asciiTheme="minorHAnsi" w:hAnsiTheme="minorHAnsi" w:cstheme="minorHAnsi"/>
          <w:sz w:val="16"/>
        </w:rPr>
      </w:pPr>
      <w:r w:rsidRPr="0076721E">
        <w:rPr>
          <w:rFonts w:asciiTheme="minorHAnsi" w:hAnsiTheme="minorHAnsi" w:cstheme="minorHAnsi"/>
          <w:sz w:val="16"/>
          <w:szCs w:val="16"/>
        </w:rPr>
        <w:t>Respondents are counted in each of the ethnic groups that are applicable to them; respondents who identify with more than one ethnic grouping are included in each of the relevant groups. As such, it is inappropriate to compare these ethnic-specific proportions as mutually exclusive categories.  Percentages and 95% confidence intervals have been age-standardised in accordance with World Health Organisation (WHO) age population distributions</w:t>
      </w:r>
      <w:r w:rsidR="00645B95">
        <w:rPr>
          <w:rFonts w:asciiTheme="minorHAnsi" w:hAnsiTheme="minorHAnsi" w:cstheme="minorHAnsi"/>
          <w:sz w:val="16"/>
          <w:szCs w:val="16"/>
        </w:rPr>
        <w:t xml:space="preserve"> </w:t>
      </w:r>
      <w:r w:rsidR="00645B95">
        <w:rPr>
          <w:rFonts w:asciiTheme="minorHAnsi" w:hAnsiTheme="minorHAnsi" w:cstheme="minorHAnsi"/>
          <w:sz w:val="16"/>
          <w:szCs w:val="16"/>
        </w:rPr>
        <w:fldChar w:fldCharType="begin"/>
      </w:r>
      <w:r w:rsidR="00A34C5E">
        <w:rPr>
          <w:rFonts w:asciiTheme="minorHAnsi" w:hAnsiTheme="minorHAnsi" w:cstheme="minorHAnsi"/>
          <w:sz w:val="16"/>
          <w:szCs w:val="16"/>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00645B95">
        <w:rPr>
          <w:rFonts w:asciiTheme="minorHAnsi" w:hAnsiTheme="minorHAnsi" w:cstheme="minorHAnsi"/>
          <w:sz w:val="16"/>
          <w:szCs w:val="16"/>
        </w:rPr>
        <w:fldChar w:fldCharType="separate"/>
      </w:r>
      <w:r w:rsidR="00A34C5E">
        <w:rPr>
          <w:rFonts w:asciiTheme="minorHAnsi" w:hAnsiTheme="minorHAnsi" w:cstheme="minorHAnsi"/>
          <w:noProof/>
          <w:sz w:val="16"/>
          <w:szCs w:val="16"/>
        </w:rPr>
        <w:t>(</w:t>
      </w:r>
      <w:hyperlink w:anchor="_ENREF_10" w:tooltip="Ahmad, 2001 #912" w:history="1">
        <w:r w:rsidR="00765F46">
          <w:rPr>
            <w:rFonts w:asciiTheme="minorHAnsi" w:hAnsiTheme="minorHAnsi" w:cstheme="minorHAnsi"/>
            <w:noProof/>
            <w:sz w:val="16"/>
            <w:szCs w:val="16"/>
          </w:rPr>
          <w:t>Ahmad et al., 2001</w:t>
        </w:r>
      </w:hyperlink>
      <w:r w:rsidR="00A34C5E">
        <w:rPr>
          <w:rFonts w:asciiTheme="minorHAnsi" w:hAnsiTheme="minorHAnsi" w:cstheme="minorHAnsi"/>
          <w:noProof/>
          <w:sz w:val="16"/>
          <w:szCs w:val="16"/>
        </w:rPr>
        <w:t>)</w:t>
      </w:r>
      <w:r w:rsidR="00645B95">
        <w:rPr>
          <w:rFonts w:asciiTheme="minorHAnsi" w:hAnsiTheme="minorHAnsi" w:cstheme="minorHAnsi"/>
          <w:sz w:val="16"/>
          <w:szCs w:val="16"/>
        </w:rPr>
        <w:fldChar w:fldCharType="end"/>
      </w:r>
      <w:r w:rsidRPr="0076721E">
        <w:rPr>
          <w:rFonts w:asciiTheme="minorHAnsi" w:hAnsiTheme="minorHAnsi" w:cstheme="minorHAnsi"/>
          <w:sz w:val="16"/>
          <w:szCs w:val="16"/>
        </w:rPr>
        <w:t>.</w:t>
      </w:r>
    </w:p>
    <w:p w14:paraId="1D927C24" w14:textId="77777777" w:rsidR="00C14851" w:rsidRDefault="00C14851" w:rsidP="006A55EC">
      <w:pPr>
        <w:pStyle w:val="Caption"/>
        <w:keepNext/>
        <w:spacing w:line="276" w:lineRule="auto"/>
        <w:ind w:left="993" w:hanging="993"/>
        <w:rPr>
          <w:rFonts w:asciiTheme="minorHAnsi" w:hAnsiTheme="minorHAnsi"/>
          <w:i/>
        </w:rPr>
      </w:pPr>
      <w:bookmarkStart w:id="335" w:name="_Ref400094957"/>
    </w:p>
    <w:p w14:paraId="17B13FD5" w14:textId="77777777" w:rsidR="006A55EC" w:rsidRPr="00AF3A24" w:rsidRDefault="006A55EC" w:rsidP="006A55EC">
      <w:pPr>
        <w:pStyle w:val="Caption"/>
        <w:keepNext/>
        <w:spacing w:line="276" w:lineRule="auto"/>
        <w:ind w:left="993" w:hanging="993"/>
        <w:rPr>
          <w:rFonts w:asciiTheme="minorHAnsi" w:hAnsiTheme="minorHAnsi" w:cstheme="minorHAnsi"/>
          <w:i/>
        </w:rPr>
      </w:pPr>
      <w:bookmarkStart w:id="336" w:name="_Toc425426902"/>
      <w:r w:rsidRPr="00AF3A24">
        <w:rPr>
          <w:rFonts w:asciiTheme="minorHAnsi" w:hAnsiTheme="minorHAnsi"/>
          <w:i/>
        </w:rPr>
        <w:t xml:space="preserve">Table </w:t>
      </w:r>
      <w:r w:rsidRPr="00AF3A24">
        <w:rPr>
          <w:rFonts w:asciiTheme="minorHAnsi" w:hAnsiTheme="minorHAnsi"/>
          <w:i/>
        </w:rPr>
        <w:fldChar w:fldCharType="begin"/>
      </w:r>
      <w:r w:rsidRPr="00AF3A24">
        <w:rPr>
          <w:rFonts w:asciiTheme="minorHAnsi" w:hAnsiTheme="minorHAnsi"/>
          <w:i/>
        </w:rPr>
        <w:instrText xml:space="preserve"> SEQ Table \* ARABIC </w:instrText>
      </w:r>
      <w:r w:rsidRPr="00AF3A24">
        <w:rPr>
          <w:rFonts w:asciiTheme="minorHAnsi" w:hAnsiTheme="minorHAnsi"/>
          <w:i/>
        </w:rPr>
        <w:fldChar w:fldCharType="separate"/>
      </w:r>
      <w:r w:rsidR="00D71107">
        <w:rPr>
          <w:rFonts w:asciiTheme="minorHAnsi" w:hAnsiTheme="minorHAnsi"/>
          <w:i/>
          <w:noProof/>
        </w:rPr>
        <w:t>35</w:t>
      </w:r>
      <w:r w:rsidRPr="00AF3A24">
        <w:rPr>
          <w:rFonts w:asciiTheme="minorHAnsi" w:hAnsiTheme="minorHAnsi"/>
          <w:i/>
        </w:rPr>
        <w:fldChar w:fldCharType="end"/>
      </w:r>
      <w:bookmarkEnd w:id="334"/>
      <w:bookmarkEnd w:id="335"/>
      <w:r w:rsidRPr="00AF3A24">
        <w:rPr>
          <w:rFonts w:asciiTheme="minorHAnsi" w:hAnsiTheme="minorHAnsi"/>
          <w:i/>
        </w:rPr>
        <w:t>:</w:t>
      </w:r>
      <w:r w:rsidRPr="00AF3A24">
        <w:rPr>
          <w:rFonts w:asciiTheme="minorHAnsi" w:hAnsiTheme="minorHAnsi" w:cstheme="minorHAnsi"/>
          <w:i/>
        </w:rPr>
        <w:tab/>
        <w:t xml:space="preserve">Been impacted by other’s gambling – activity that was involved, those who have been impacted (unadjusted prevalence; N=391) </w:t>
      </w:r>
      <w:r w:rsidRPr="00AF3A24">
        <w:rPr>
          <w:rFonts w:asciiTheme="minorHAnsi" w:hAnsiTheme="minorHAnsi" w:cstheme="minorHAnsi"/>
          <w:i/>
          <w:vertAlign w:val="superscript"/>
        </w:rPr>
        <w:t>1</w:t>
      </w:r>
      <w:bookmarkEnd w:id="336"/>
    </w:p>
    <w:tbl>
      <w:tblPr>
        <w:tblStyle w:val="TableGrid"/>
        <w:tblW w:w="0" w:type="auto"/>
        <w:jc w:val="center"/>
        <w:tblLayout w:type="fixed"/>
        <w:tblLook w:val="04A0" w:firstRow="1" w:lastRow="0" w:firstColumn="1" w:lastColumn="0" w:noHBand="0" w:noVBand="1"/>
      </w:tblPr>
      <w:tblGrid>
        <w:gridCol w:w="5676"/>
        <w:gridCol w:w="975"/>
        <w:gridCol w:w="1860"/>
      </w:tblGrid>
      <w:tr w:rsidR="006A55EC" w:rsidRPr="00AF3A24" w14:paraId="3B1E3669" w14:textId="77777777" w:rsidTr="006A55EC">
        <w:trPr>
          <w:trHeight w:val="814"/>
          <w:jc w:val="center"/>
        </w:trPr>
        <w:tc>
          <w:tcPr>
            <w:tcW w:w="5676" w:type="dxa"/>
            <w:tcBorders>
              <w:bottom w:val="single" w:sz="4" w:space="0" w:color="auto"/>
            </w:tcBorders>
            <w:shd w:val="clear" w:color="auto" w:fill="92CDDC" w:themeFill="accent5" w:themeFillTint="99"/>
            <w:vAlign w:val="center"/>
          </w:tcPr>
          <w:p w14:paraId="05EA7E30" w14:textId="77777777" w:rsidR="006A55EC" w:rsidRPr="00AF3A24" w:rsidRDefault="006A55EC" w:rsidP="0040218C">
            <w:pPr>
              <w:spacing w:before="0" w:line="240" w:lineRule="auto"/>
              <w:jc w:val="left"/>
              <w:rPr>
                <w:rFonts w:asciiTheme="minorHAnsi" w:hAnsiTheme="minorHAnsi" w:cstheme="minorHAnsi"/>
                <w:b/>
                <w:sz w:val="18"/>
                <w:szCs w:val="18"/>
              </w:rPr>
            </w:pPr>
            <w:r w:rsidRPr="00AF3A24">
              <w:rPr>
                <w:rFonts w:asciiTheme="minorHAnsi" w:hAnsiTheme="minorHAnsi" w:cstheme="minorHAnsi"/>
                <w:b/>
                <w:sz w:val="18"/>
                <w:szCs w:val="18"/>
              </w:rPr>
              <w:t>AFFECTED BY OTHER’S GAMBLING - ACTIVITY THAT WAS INVOLVED</w:t>
            </w:r>
            <w:r>
              <w:rPr>
                <w:rFonts w:asciiTheme="minorHAnsi" w:hAnsiTheme="minorHAnsi" w:cstheme="minorHAnsi"/>
                <w:b/>
                <w:sz w:val="18"/>
                <w:szCs w:val="18"/>
              </w:rPr>
              <w:t xml:space="preserve"> </w:t>
            </w:r>
            <w:r w:rsidRPr="001C147C">
              <w:rPr>
                <w:rFonts w:asciiTheme="minorHAnsi" w:hAnsiTheme="minorHAnsi" w:cstheme="minorHAnsi"/>
                <w:b/>
                <w:sz w:val="18"/>
                <w:szCs w:val="18"/>
                <w:vertAlign w:val="superscript"/>
              </w:rPr>
              <w:t>2</w:t>
            </w:r>
          </w:p>
        </w:tc>
        <w:tc>
          <w:tcPr>
            <w:tcW w:w="975" w:type="dxa"/>
            <w:tcBorders>
              <w:bottom w:val="single" w:sz="4" w:space="0" w:color="auto"/>
            </w:tcBorders>
            <w:shd w:val="clear" w:color="auto" w:fill="92CDDC" w:themeFill="accent5" w:themeFillTint="99"/>
            <w:vAlign w:val="center"/>
          </w:tcPr>
          <w:p w14:paraId="0FF7A692" w14:textId="77777777" w:rsidR="006A55EC" w:rsidRPr="00AF3A24" w:rsidRDefault="006A55EC" w:rsidP="0040218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n</w:t>
            </w:r>
          </w:p>
        </w:tc>
        <w:tc>
          <w:tcPr>
            <w:tcW w:w="1860" w:type="dxa"/>
            <w:tcBorders>
              <w:bottom w:val="single" w:sz="4" w:space="0" w:color="auto"/>
            </w:tcBorders>
            <w:shd w:val="clear" w:color="auto" w:fill="92CDDC" w:themeFill="accent5" w:themeFillTint="99"/>
            <w:vAlign w:val="center"/>
          </w:tcPr>
          <w:p w14:paraId="2ABDEC2F" w14:textId="77777777" w:rsidR="006A55EC" w:rsidRPr="00AF3A24" w:rsidRDefault="006A55EC" w:rsidP="0040218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w:t>
            </w:r>
          </w:p>
          <w:p w14:paraId="531A82F1" w14:textId="77777777" w:rsidR="006A55EC" w:rsidRPr="00AF3A24" w:rsidRDefault="006A55EC" w:rsidP="0040218C">
            <w:pPr>
              <w:spacing w:before="0" w:line="240" w:lineRule="auto"/>
              <w:jc w:val="center"/>
              <w:rPr>
                <w:rFonts w:asciiTheme="minorHAnsi" w:hAnsiTheme="minorHAnsi" w:cstheme="minorHAnsi"/>
                <w:b/>
                <w:sz w:val="18"/>
                <w:szCs w:val="18"/>
              </w:rPr>
            </w:pPr>
            <w:r w:rsidRPr="00AF3A24">
              <w:rPr>
                <w:rFonts w:asciiTheme="minorHAnsi" w:hAnsiTheme="minorHAnsi" w:cstheme="minorHAnsi"/>
                <w:b/>
                <w:sz w:val="18"/>
                <w:szCs w:val="18"/>
              </w:rPr>
              <w:t>(95% CI)</w:t>
            </w:r>
          </w:p>
        </w:tc>
      </w:tr>
      <w:tr w:rsidR="006A55EC" w:rsidRPr="00AF3A24" w14:paraId="04723B11" w14:textId="77777777" w:rsidTr="006A55EC">
        <w:trPr>
          <w:jc w:val="center"/>
        </w:trPr>
        <w:tc>
          <w:tcPr>
            <w:tcW w:w="5676" w:type="dxa"/>
            <w:tcBorders>
              <w:bottom w:val="nil"/>
            </w:tcBorders>
            <w:shd w:val="clear" w:color="auto" w:fill="DAEEF3" w:themeFill="accent5" w:themeFillTint="33"/>
            <w:vAlign w:val="center"/>
          </w:tcPr>
          <w:p w14:paraId="111A3257" w14:textId="77777777" w:rsidR="006A55EC" w:rsidRPr="00AF3A24" w:rsidRDefault="006A55EC"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Non-casino gaming machines</w:t>
            </w:r>
          </w:p>
        </w:tc>
        <w:tc>
          <w:tcPr>
            <w:tcW w:w="975" w:type="dxa"/>
            <w:tcBorders>
              <w:bottom w:val="nil"/>
            </w:tcBorders>
            <w:shd w:val="clear" w:color="auto" w:fill="DAEEF3" w:themeFill="accent5" w:themeFillTint="33"/>
            <w:vAlign w:val="center"/>
          </w:tcPr>
          <w:p w14:paraId="3509DF11"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229</w:t>
            </w:r>
          </w:p>
        </w:tc>
        <w:tc>
          <w:tcPr>
            <w:tcW w:w="1860" w:type="dxa"/>
            <w:tcBorders>
              <w:bottom w:val="nil"/>
            </w:tcBorders>
            <w:shd w:val="clear" w:color="auto" w:fill="DAEEF3" w:themeFill="accent5" w:themeFillTint="33"/>
            <w:vAlign w:val="center"/>
          </w:tcPr>
          <w:p w14:paraId="56BF5023"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52.9</w:t>
            </w:r>
            <w:r w:rsidRPr="00AF3A24">
              <w:rPr>
                <w:rFonts w:asciiTheme="minorHAnsi" w:hAnsiTheme="minorHAnsi"/>
                <w:bCs/>
                <w:color w:val="000000"/>
                <w:sz w:val="16"/>
                <w:szCs w:val="16"/>
              </w:rPr>
              <w:br/>
              <w:t>(45.8 - 60.0)</w:t>
            </w:r>
          </w:p>
        </w:tc>
      </w:tr>
      <w:tr w:rsidR="006A55EC" w:rsidRPr="00AF3A24" w14:paraId="3DC858C5" w14:textId="77777777" w:rsidTr="006A55EC">
        <w:trPr>
          <w:jc w:val="center"/>
        </w:trPr>
        <w:tc>
          <w:tcPr>
            <w:tcW w:w="5676" w:type="dxa"/>
            <w:tcBorders>
              <w:top w:val="nil"/>
              <w:bottom w:val="nil"/>
            </w:tcBorders>
            <w:shd w:val="clear" w:color="auto" w:fill="DAEEF3" w:themeFill="accent5" w:themeFillTint="33"/>
            <w:vAlign w:val="center"/>
          </w:tcPr>
          <w:p w14:paraId="2D50A151" w14:textId="77777777" w:rsidR="006A55EC" w:rsidRPr="00AF3A24" w:rsidRDefault="006A55EC"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gaming machines</w:t>
            </w:r>
          </w:p>
        </w:tc>
        <w:tc>
          <w:tcPr>
            <w:tcW w:w="975" w:type="dxa"/>
            <w:tcBorders>
              <w:top w:val="nil"/>
              <w:bottom w:val="nil"/>
            </w:tcBorders>
            <w:shd w:val="clear" w:color="auto" w:fill="DAEEF3" w:themeFill="accent5" w:themeFillTint="33"/>
            <w:vAlign w:val="center"/>
          </w:tcPr>
          <w:p w14:paraId="0949655D"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115</w:t>
            </w:r>
          </w:p>
        </w:tc>
        <w:tc>
          <w:tcPr>
            <w:tcW w:w="1860" w:type="dxa"/>
            <w:tcBorders>
              <w:top w:val="nil"/>
              <w:bottom w:val="nil"/>
            </w:tcBorders>
            <w:shd w:val="clear" w:color="auto" w:fill="DAEEF3" w:themeFill="accent5" w:themeFillTint="33"/>
            <w:vAlign w:val="center"/>
          </w:tcPr>
          <w:p w14:paraId="5FC25875"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32.0</w:t>
            </w:r>
            <w:r w:rsidRPr="00AF3A24">
              <w:rPr>
                <w:rFonts w:asciiTheme="minorHAnsi" w:hAnsiTheme="minorHAnsi"/>
                <w:bCs/>
                <w:color w:val="000000"/>
                <w:sz w:val="16"/>
                <w:szCs w:val="16"/>
              </w:rPr>
              <w:br/>
              <w:t>(25.4 - 38.5)</w:t>
            </w:r>
          </w:p>
        </w:tc>
      </w:tr>
      <w:tr w:rsidR="006A55EC" w:rsidRPr="00AF3A24" w14:paraId="590DCDCB" w14:textId="77777777" w:rsidTr="006A55EC">
        <w:trPr>
          <w:jc w:val="center"/>
        </w:trPr>
        <w:tc>
          <w:tcPr>
            <w:tcW w:w="5676" w:type="dxa"/>
            <w:tcBorders>
              <w:top w:val="nil"/>
              <w:bottom w:val="nil"/>
            </w:tcBorders>
            <w:shd w:val="clear" w:color="auto" w:fill="DAEEF3" w:themeFill="accent5" w:themeFillTint="33"/>
            <w:vAlign w:val="center"/>
          </w:tcPr>
          <w:p w14:paraId="4A02565B" w14:textId="77777777" w:rsidR="006A55EC" w:rsidRPr="00AF3A24" w:rsidRDefault="006A55EC"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Track or sports betting</w:t>
            </w:r>
          </w:p>
        </w:tc>
        <w:tc>
          <w:tcPr>
            <w:tcW w:w="975" w:type="dxa"/>
            <w:tcBorders>
              <w:top w:val="nil"/>
              <w:bottom w:val="nil"/>
            </w:tcBorders>
            <w:shd w:val="clear" w:color="auto" w:fill="DAEEF3" w:themeFill="accent5" w:themeFillTint="33"/>
            <w:vAlign w:val="center"/>
          </w:tcPr>
          <w:p w14:paraId="56B7C443"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70</w:t>
            </w:r>
          </w:p>
        </w:tc>
        <w:tc>
          <w:tcPr>
            <w:tcW w:w="1860" w:type="dxa"/>
            <w:tcBorders>
              <w:top w:val="nil"/>
              <w:bottom w:val="nil"/>
            </w:tcBorders>
            <w:shd w:val="clear" w:color="auto" w:fill="DAEEF3" w:themeFill="accent5" w:themeFillTint="33"/>
            <w:vAlign w:val="center"/>
          </w:tcPr>
          <w:p w14:paraId="62F12B0F"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22.1</w:t>
            </w:r>
            <w:r w:rsidRPr="00AF3A24">
              <w:rPr>
                <w:rFonts w:asciiTheme="minorHAnsi" w:hAnsiTheme="minorHAnsi"/>
                <w:bCs/>
                <w:color w:val="000000"/>
                <w:sz w:val="16"/>
                <w:szCs w:val="16"/>
              </w:rPr>
              <w:br/>
              <w:t>(16.3 - 27.9)</w:t>
            </w:r>
          </w:p>
        </w:tc>
      </w:tr>
      <w:tr w:rsidR="006A55EC" w:rsidRPr="00AF3A24" w14:paraId="663F07A0" w14:textId="77777777" w:rsidTr="006A55EC">
        <w:trPr>
          <w:jc w:val="center"/>
        </w:trPr>
        <w:tc>
          <w:tcPr>
            <w:tcW w:w="5676" w:type="dxa"/>
            <w:tcBorders>
              <w:top w:val="nil"/>
              <w:bottom w:val="nil"/>
            </w:tcBorders>
            <w:shd w:val="clear" w:color="auto" w:fill="DAEEF3" w:themeFill="accent5" w:themeFillTint="33"/>
            <w:vAlign w:val="center"/>
          </w:tcPr>
          <w:p w14:paraId="019CBB71" w14:textId="77777777" w:rsidR="006A55EC" w:rsidRPr="00AF3A24" w:rsidRDefault="006A55EC"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Casino tables</w:t>
            </w:r>
          </w:p>
        </w:tc>
        <w:tc>
          <w:tcPr>
            <w:tcW w:w="975" w:type="dxa"/>
            <w:tcBorders>
              <w:top w:val="nil"/>
              <w:bottom w:val="nil"/>
            </w:tcBorders>
            <w:shd w:val="clear" w:color="auto" w:fill="DAEEF3" w:themeFill="accent5" w:themeFillTint="33"/>
            <w:vAlign w:val="center"/>
          </w:tcPr>
          <w:p w14:paraId="74CF9798"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30</w:t>
            </w:r>
          </w:p>
        </w:tc>
        <w:tc>
          <w:tcPr>
            <w:tcW w:w="1860" w:type="dxa"/>
            <w:tcBorders>
              <w:top w:val="nil"/>
              <w:bottom w:val="nil"/>
            </w:tcBorders>
            <w:shd w:val="clear" w:color="auto" w:fill="DAEEF3" w:themeFill="accent5" w:themeFillTint="33"/>
            <w:vAlign w:val="center"/>
          </w:tcPr>
          <w:p w14:paraId="5AF78F3D"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9.8</w:t>
            </w:r>
            <w:r w:rsidRPr="00AF3A24">
              <w:rPr>
                <w:rFonts w:asciiTheme="minorHAnsi" w:hAnsiTheme="minorHAnsi"/>
                <w:bCs/>
                <w:color w:val="000000"/>
                <w:sz w:val="16"/>
                <w:szCs w:val="16"/>
              </w:rPr>
              <w:br/>
              <w:t>(5.4 - 14.2)</w:t>
            </w:r>
          </w:p>
        </w:tc>
      </w:tr>
      <w:tr w:rsidR="006A55EC" w:rsidRPr="00AF3A24" w14:paraId="5E6C2148" w14:textId="77777777" w:rsidTr="006A55EC">
        <w:trPr>
          <w:jc w:val="center"/>
        </w:trPr>
        <w:tc>
          <w:tcPr>
            <w:tcW w:w="5676" w:type="dxa"/>
            <w:tcBorders>
              <w:top w:val="nil"/>
              <w:bottom w:val="nil"/>
            </w:tcBorders>
            <w:shd w:val="clear" w:color="auto" w:fill="DAEEF3" w:themeFill="accent5" w:themeFillTint="33"/>
            <w:vAlign w:val="center"/>
          </w:tcPr>
          <w:p w14:paraId="1B14779E" w14:textId="77777777" w:rsidR="006A55EC" w:rsidRPr="00AF3A24" w:rsidRDefault="006A55EC"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Other form of gambling (including Housie and Internet-based gambling)</w:t>
            </w:r>
          </w:p>
        </w:tc>
        <w:tc>
          <w:tcPr>
            <w:tcW w:w="975" w:type="dxa"/>
            <w:tcBorders>
              <w:top w:val="nil"/>
              <w:bottom w:val="nil"/>
            </w:tcBorders>
            <w:shd w:val="clear" w:color="auto" w:fill="DAEEF3" w:themeFill="accent5" w:themeFillTint="33"/>
            <w:vAlign w:val="center"/>
          </w:tcPr>
          <w:p w14:paraId="7B3DB0DA"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33</w:t>
            </w:r>
          </w:p>
        </w:tc>
        <w:tc>
          <w:tcPr>
            <w:tcW w:w="1860" w:type="dxa"/>
            <w:tcBorders>
              <w:top w:val="nil"/>
              <w:bottom w:val="nil"/>
            </w:tcBorders>
            <w:shd w:val="clear" w:color="auto" w:fill="DAEEF3" w:themeFill="accent5" w:themeFillTint="33"/>
            <w:vAlign w:val="center"/>
          </w:tcPr>
          <w:p w14:paraId="08B68DD7" w14:textId="77777777" w:rsidR="006A55EC" w:rsidRPr="00AF3A24" w:rsidRDefault="006A55EC" w:rsidP="0040218C">
            <w:pPr>
              <w:spacing w:before="0" w:line="240" w:lineRule="auto"/>
              <w:jc w:val="center"/>
              <w:rPr>
                <w:rFonts w:asciiTheme="minorHAnsi" w:hAnsiTheme="minorHAnsi"/>
                <w:bCs/>
                <w:color w:val="000000"/>
                <w:sz w:val="16"/>
                <w:szCs w:val="16"/>
              </w:rPr>
            </w:pPr>
            <w:r w:rsidRPr="00AF3A24">
              <w:rPr>
                <w:rFonts w:asciiTheme="minorHAnsi" w:hAnsiTheme="minorHAnsi"/>
                <w:bCs/>
                <w:color w:val="000000"/>
                <w:sz w:val="16"/>
                <w:szCs w:val="16"/>
              </w:rPr>
              <w:t>9.7</w:t>
            </w:r>
            <w:r w:rsidRPr="00AF3A24">
              <w:rPr>
                <w:rFonts w:asciiTheme="minorHAnsi" w:hAnsiTheme="minorHAnsi"/>
                <w:bCs/>
                <w:color w:val="000000"/>
                <w:sz w:val="16"/>
                <w:szCs w:val="16"/>
              </w:rPr>
              <w:br/>
              <w:t>(5.0 - 14.4)</w:t>
            </w:r>
          </w:p>
        </w:tc>
      </w:tr>
      <w:tr w:rsidR="00EE15EF" w:rsidRPr="00AF3A24" w14:paraId="6AD3FAFA" w14:textId="77777777" w:rsidTr="00EE15EF">
        <w:trPr>
          <w:trHeight w:val="437"/>
          <w:jc w:val="center"/>
        </w:trPr>
        <w:tc>
          <w:tcPr>
            <w:tcW w:w="5676" w:type="dxa"/>
            <w:tcBorders>
              <w:top w:val="nil"/>
              <w:bottom w:val="single" w:sz="4" w:space="0" w:color="auto"/>
            </w:tcBorders>
            <w:shd w:val="clear" w:color="auto" w:fill="DAEEF3" w:themeFill="accent5" w:themeFillTint="33"/>
            <w:vAlign w:val="center"/>
          </w:tcPr>
          <w:p w14:paraId="7545BF7D" w14:textId="77777777" w:rsidR="00EE15EF" w:rsidRPr="00AF3A24" w:rsidRDefault="00EE15EF" w:rsidP="0040218C">
            <w:pPr>
              <w:spacing w:before="0" w:line="240" w:lineRule="auto"/>
              <w:ind w:left="78"/>
              <w:jc w:val="left"/>
              <w:rPr>
                <w:rFonts w:asciiTheme="minorHAnsi" w:hAnsiTheme="minorHAnsi" w:cstheme="minorHAnsi"/>
                <w:sz w:val="16"/>
                <w:szCs w:val="16"/>
              </w:rPr>
            </w:pPr>
            <w:r w:rsidRPr="00AF3A24">
              <w:rPr>
                <w:rFonts w:asciiTheme="minorHAnsi" w:hAnsiTheme="minorHAnsi" w:cstheme="minorHAnsi"/>
                <w:sz w:val="16"/>
                <w:szCs w:val="16"/>
              </w:rPr>
              <w:t>Lotto</w:t>
            </w:r>
            <w:r>
              <w:rPr>
                <w:rFonts w:asciiTheme="minorHAnsi" w:hAnsiTheme="minorHAnsi" w:cstheme="minorHAnsi"/>
                <w:sz w:val="16"/>
                <w:szCs w:val="16"/>
                <w:vertAlign w:val="superscript"/>
              </w:rPr>
              <w:t>3</w:t>
            </w:r>
            <w:r w:rsidRPr="00AF3A24">
              <w:rPr>
                <w:rFonts w:asciiTheme="minorHAnsi" w:hAnsiTheme="minorHAnsi" w:cstheme="minorHAnsi"/>
                <w:sz w:val="16"/>
                <w:szCs w:val="16"/>
              </w:rPr>
              <w:t xml:space="preserve"> or  Instant Kiwi (or other scratch tickets) </w:t>
            </w:r>
          </w:p>
        </w:tc>
        <w:tc>
          <w:tcPr>
            <w:tcW w:w="975" w:type="dxa"/>
            <w:tcBorders>
              <w:top w:val="nil"/>
              <w:bottom w:val="single" w:sz="4" w:space="0" w:color="auto"/>
            </w:tcBorders>
            <w:shd w:val="clear" w:color="auto" w:fill="DAEEF3" w:themeFill="accent5" w:themeFillTint="33"/>
            <w:vAlign w:val="center"/>
          </w:tcPr>
          <w:p w14:paraId="0FD013AD"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&lt;30</w:t>
            </w:r>
          </w:p>
        </w:tc>
        <w:tc>
          <w:tcPr>
            <w:tcW w:w="1860" w:type="dxa"/>
            <w:tcBorders>
              <w:top w:val="nil"/>
              <w:bottom w:val="single" w:sz="4" w:space="0" w:color="auto"/>
            </w:tcBorders>
            <w:shd w:val="clear" w:color="auto" w:fill="DAEEF3" w:themeFill="accent5" w:themeFillTint="33"/>
            <w:vAlign w:val="center"/>
          </w:tcPr>
          <w:p w14:paraId="3C8F91AA" w14:textId="77777777" w:rsidR="00EE15EF" w:rsidRPr="00980823" w:rsidRDefault="00EE15EF" w:rsidP="00E0056C">
            <w:pPr>
              <w:spacing w:before="0" w:line="240" w:lineRule="auto"/>
              <w:jc w:val="center"/>
              <w:rPr>
                <w:rFonts w:asciiTheme="minorHAnsi" w:hAnsiTheme="minorHAnsi"/>
                <w:bCs/>
                <w:color w:val="000000"/>
                <w:sz w:val="16"/>
                <w:szCs w:val="16"/>
              </w:rPr>
            </w:pPr>
            <w:r w:rsidRPr="00980823">
              <w:rPr>
                <w:rFonts w:asciiTheme="minorHAnsi" w:hAnsiTheme="minorHAnsi"/>
                <w:bCs/>
                <w:color w:val="000000"/>
                <w:sz w:val="16"/>
                <w:szCs w:val="16"/>
              </w:rPr>
              <w:t>-</w:t>
            </w:r>
          </w:p>
        </w:tc>
      </w:tr>
    </w:tbl>
    <w:p w14:paraId="615028F4" w14:textId="77777777" w:rsidR="006A55EC" w:rsidRPr="00AF3A24" w:rsidRDefault="006A55EC" w:rsidP="00C14851">
      <w:pPr>
        <w:spacing w:before="0" w:line="240" w:lineRule="auto"/>
        <w:ind w:left="1418" w:right="757" w:hanging="425"/>
        <w:rPr>
          <w:rFonts w:asciiTheme="minorHAnsi" w:hAnsiTheme="minorHAnsi" w:cstheme="minorHAnsi"/>
          <w:sz w:val="16"/>
        </w:rPr>
      </w:pPr>
      <w:r w:rsidRPr="00AF3A24">
        <w:rPr>
          <w:rFonts w:asciiTheme="minorHAnsi" w:hAnsiTheme="minorHAnsi" w:cstheme="minorHAnsi"/>
          <w:sz w:val="16"/>
        </w:rPr>
        <w:t>Notes:</w:t>
      </w:r>
    </w:p>
    <w:p w14:paraId="5B3FF447" w14:textId="77777777" w:rsidR="006A55EC" w:rsidRPr="00AF3A24" w:rsidRDefault="006A55EC" w:rsidP="006A0B0E">
      <w:pPr>
        <w:pStyle w:val="ListParagraph"/>
        <w:numPr>
          <w:ilvl w:val="0"/>
          <w:numId w:val="52"/>
        </w:numPr>
        <w:spacing w:line="240" w:lineRule="auto"/>
        <w:ind w:left="1418" w:right="757"/>
        <w:rPr>
          <w:rFonts w:asciiTheme="minorHAnsi" w:hAnsiTheme="minorHAnsi" w:cstheme="minorHAnsi"/>
          <w:sz w:val="16"/>
        </w:rPr>
      </w:pPr>
      <w:r w:rsidRPr="00AF3A24">
        <w:rPr>
          <w:rFonts w:asciiTheme="minorHAnsi" w:hAnsiTheme="minorHAnsi" w:cstheme="minorHAnsi"/>
          <w:sz w:val="16"/>
        </w:rPr>
        <w:t xml:space="preserve">Source: 2011/12 New Zealand Health Survey. NB: Due to small cell sizes/denominators (n&lt;30), some activities were combined with others to enable their inclusion in the analyses. </w:t>
      </w:r>
    </w:p>
    <w:p w14:paraId="3F8B2741" w14:textId="77777777" w:rsidR="006A55EC" w:rsidRDefault="006A55EC" w:rsidP="006A0B0E">
      <w:pPr>
        <w:pStyle w:val="ListParagraph"/>
        <w:numPr>
          <w:ilvl w:val="0"/>
          <w:numId w:val="52"/>
        </w:numPr>
        <w:spacing w:line="240" w:lineRule="auto"/>
        <w:ind w:left="1418" w:right="757"/>
        <w:rPr>
          <w:rFonts w:asciiTheme="minorHAnsi" w:hAnsiTheme="minorHAnsi" w:cstheme="minorHAnsi"/>
          <w:sz w:val="16"/>
        </w:rPr>
      </w:pPr>
      <w:r>
        <w:rPr>
          <w:rFonts w:asciiTheme="minorHAnsi" w:hAnsiTheme="minorHAnsi" w:cstheme="minorHAnsi"/>
          <w:sz w:val="16"/>
        </w:rPr>
        <w:t>Multiple responses were allowed.</w:t>
      </w:r>
    </w:p>
    <w:p w14:paraId="586DABD3" w14:textId="77777777" w:rsidR="006A55EC" w:rsidRPr="00AF3A24" w:rsidRDefault="006A55EC" w:rsidP="006A0B0E">
      <w:pPr>
        <w:pStyle w:val="ListParagraph"/>
        <w:numPr>
          <w:ilvl w:val="0"/>
          <w:numId w:val="52"/>
        </w:numPr>
        <w:spacing w:line="240" w:lineRule="auto"/>
        <w:ind w:left="1418" w:right="757"/>
        <w:rPr>
          <w:rFonts w:asciiTheme="minorHAnsi" w:hAnsiTheme="minorHAnsi" w:cstheme="minorHAnsi"/>
          <w:sz w:val="16"/>
        </w:rPr>
      </w:pPr>
      <w:r w:rsidRPr="00AF3A24">
        <w:rPr>
          <w:rFonts w:asciiTheme="minorHAnsi" w:hAnsiTheme="minorHAnsi" w:cstheme="minorHAnsi"/>
          <w:sz w:val="16"/>
        </w:rPr>
        <w:t xml:space="preserve">Lotto includes ‘Strike’, ‘Powerball’, ‘Big Wednesday’ and ‘Keno’. </w:t>
      </w:r>
    </w:p>
    <w:p w14:paraId="026594DF" w14:textId="77777777" w:rsidR="00527FEF" w:rsidRDefault="00527FEF">
      <w:pPr>
        <w:spacing w:before="0" w:after="200" w:line="276" w:lineRule="auto"/>
        <w:jc w:val="left"/>
        <w:rPr>
          <w:rFonts w:asciiTheme="minorHAnsi" w:hAnsiTheme="minorHAnsi" w:cstheme="minorHAnsi"/>
          <w:b/>
          <w:u w:val="single"/>
        </w:rPr>
      </w:pPr>
    </w:p>
    <w:p w14:paraId="0E0CF2FA" w14:textId="10D4556B" w:rsidR="006657F0" w:rsidRPr="00AF3A24" w:rsidRDefault="006657F0" w:rsidP="00645B95">
      <w:pPr>
        <w:rPr>
          <w:rFonts w:asciiTheme="minorHAnsi" w:hAnsiTheme="minorHAnsi" w:cstheme="minorHAnsi"/>
          <w:b/>
          <w:u w:val="single"/>
        </w:rPr>
      </w:pPr>
      <w:bookmarkStart w:id="337" w:name="_GoBack"/>
      <w:bookmarkEnd w:id="337"/>
    </w:p>
    <w:sectPr w:rsidR="006657F0" w:rsidRPr="00AF3A24" w:rsidSect="00C14851">
      <w:pgSz w:w="12240" w:h="15840"/>
      <w:pgMar w:top="1440" w:right="993" w:bottom="1381" w:left="1276" w:header="720" w:footer="339"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74DCF8" w15:done="0"/>
  <w15:commentEx w15:paraId="63CEFD43" w15:done="0"/>
  <w15:commentEx w15:paraId="684D84A1" w15:done="0"/>
  <w15:commentEx w15:paraId="33F7C6E9" w15:done="0"/>
  <w15:commentEx w15:paraId="511A43C0" w15:done="0"/>
  <w15:commentEx w15:paraId="0E295568" w15:done="0"/>
  <w15:commentEx w15:paraId="70022B5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1130C2" w14:textId="77777777" w:rsidR="00CA3637" w:rsidRDefault="00CA3637" w:rsidP="00043311">
      <w:pPr>
        <w:spacing w:before="0" w:line="240" w:lineRule="auto"/>
      </w:pPr>
      <w:r>
        <w:separator/>
      </w:r>
    </w:p>
  </w:endnote>
  <w:endnote w:type="continuationSeparator" w:id="0">
    <w:p w14:paraId="36C9326E" w14:textId="77777777" w:rsidR="00CA3637" w:rsidRDefault="00CA3637" w:rsidP="00043311">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VPQWJA+OfficinaSans-Book">
    <w:altName w:val="Officina Sans"/>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5947726"/>
      <w:docPartObj>
        <w:docPartGallery w:val="Page Numbers (Bottom of Page)"/>
        <w:docPartUnique/>
      </w:docPartObj>
    </w:sdtPr>
    <w:sdtEndPr>
      <w:rPr>
        <w:noProof/>
        <w:sz w:val="20"/>
      </w:rPr>
    </w:sdtEndPr>
    <w:sdtContent>
      <w:p w14:paraId="5FA2E832" w14:textId="77777777" w:rsidR="00B81E76" w:rsidRDefault="00B81E76" w:rsidP="00CC58B5">
        <w:pPr>
          <w:pBdr>
            <w:top w:val="single" w:sz="4" w:space="1" w:color="auto"/>
          </w:pBdr>
          <w:tabs>
            <w:tab w:val="right" w:pos="9781"/>
          </w:tabs>
          <w:spacing w:before="0" w:line="240" w:lineRule="auto"/>
          <w:jc w:val="center"/>
          <w:rPr>
            <w:noProof/>
            <w:sz w:val="20"/>
          </w:rPr>
        </w:pPr>
        <w:r>
          <w:rPr>
            <w:rFonts w:asciiTheme="minorHAnsi" w:hAnsiTheme="minorHAnsi"/>
            <w:b/>
            <w:bCs/>
            <w:iCs/>
            <w:sz w:val="20"/>
            <w:szCs w:val="22"/>
          </w:rPr>
          <w:tab/>
        </w:r>
        <w:r w:rsidRPr="00832D62">
          <w:rPr>
            <w:rFonts w:asciiTheme="minorHAnsi" w:hAnsiTheme="minorHAnsi"/>
            <w:sz w:val="20"/>
          </w:rPr>
          <w:fldChar w:fldCharType="begin"/>
        </w:r>
        <w:r w:rsidRPr="00832D62">
          <w:rPr>
            <w:rFonts w:asciiTheme="minorHAnsi" w:hAnsiTheme="minorHAnsi"/>
            <w:sz w:val="20"/>
          </w:rPr>
          <w:instrText xml:space="preserve"> PAGE   \* MERGEFORMAT </w:instrText>
        </w:r>
        <w:r w:rsidRPr="00832D62">
          <w:rPr>
            <w:rFonts w:asciiTheme="minorHAnsi" w:hAnsiTheme="minorHAnsi"/>
            <w:sz w:val="20"/>
          </w:rPr>
          <w:fldChar w:fldCharType="separate"/>
        </w:r>
        <w:r w:rsidR="005B5851">
          <w:rPr>
            <w:rFonts w:asciiTheme="minorHAnsi" w:hAnsiTheme="minorHAnsi"/>
            <w:noProof/>
            <w:sz w:val="20"/>
          </w:rPr>
          <w:t>xiv</w:t>
        </w:r>
        <w:r w:rsidRPr="00832D62">
          <w:rPr>
            <w:rFonts w:asciiTheme="minorHAnsi" w:hAnsiTheme="minorHAnsi"/>
            <w:noProof/>
            <w:sz w:val="20"/>
          </w:rPr>
          <w:fldChar w:fldCharType="end"/>
        </w:r>
      </w:p>
    </w:sdtContent>
  </w:sdt>
  <w:p w14:paraId="07B2AC98" w14:textId="77777777" w:rsidR="00B81E76" w:rsidRDefault="00B81E76" w:rsidP="00CC58B5">
    <w:pPr>
      <w:pBdr>
        <w:top w:val="single" w:sz="4" w:space="1" w:color="auto"/>
      </w:pBdr>
      <w:tabs>
        <w:tab w:val="right" w:pos="9781"/>
      </w:tabs>
      <w:spacing w:before="0" w:line="240" w:lineRule="auto"/>
      <w:jc w:val="center"/>
      <w:rPr>
        <w:rFonts w:asciiTheme="minorHAnsi" w:hAnsiTheme="minorHAnsi"/>
        <w:b/>
        <w:sz w:val="20"/>
      </w:rPr>
    </w:pPr>
    <w:r w:rsidRPr="00A66791">
      <w:rPr>
        <w:rFonts w:asciiTheme="minorHAnsi" w:hAnsiTheme="minorHAnsi"/>
        <w:b/>
        <w:sz w:val="20"/>
      </w:rPr>
      <w:t>GAMBLING AND PROBLEM GAMBLING</w:t>
    </w:r>
    <w:r>
      <w:rPr>
        <w:rFonts w:asciiTheme="minorHAnsi" w:hAnsiTheme="minorHAnsi"/>
        <w:b/>
        <w:sz w:val="20"/>
      </w:rPr>
      <w:t>:</w:t>
    </w:r>
    <w:r w:rsidRPr="00A66791">
      <w:rPr>
        <w:rFonts w:asciiTheme="minorHAnsi" w:hAnsiTheme="minorHAnsi"/>
        <w:b/>
        <w:sz w:val="20"/>
      </w:rPr>
      <w:t xml:space="preserve"> RESULTS OF THE 2011/12 NEW ZEALAND HEALTH SURVEY</w:t>
    </w:r>
  </w:p>
  <w:p w14:paraId="6C94024E" w14:textId="77777777" w:rsidR="00B81E76" w:rsidRPr="00A66791" w:rsidRDefault="00B81E76" w:rsidP="00CC58B5">
    <w:pPr>
      <w:pBdr>
        <w:top w:val="single" w:sz="4" w:space="1" w:color="auto"/>
      </w:pBdr>
      <w:tabs>
        <w:tab w:val="right" w:pos="9781"/>
      </w:tabs>
      <w:spacing w:before="0" w:line="240" w:lineRule="auto"/>
      <w:jc w:val="center"/>
      <w:rPr>
        <w:rFonts w:asciiTheme="minorHAnsi" w:hAnsiTheme="minorHAnsi"/>
        <w:b/>
        <w:sz w:val="20"/>
      </w:rPr>
    </w:pPr>
    <w:r>
      <w:rPr>
        <w:rFonts w:asciiTheme="minorHAnsi" w:hAnsiTheme="minorHAnsi"/>
        <w:b/>
        <w:sz w:val="20"/>
      </w:rPr>
      <w:t>THE UNIVERSITY OF AUCKLAND: CENTRE FOR ADDICTION RESEARCH</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3766722"/>
      <w:docPartObj>
        <w:docPartGallery w:val="Page Numbers (Bottom of Page)"/>
        <w:docPartUnique/>
      </w:docPartObj>
    </w:sdtPr>
    <w:sdtEndPr>
      <w:rPr>
        <w:noProof/>
        <w:sz w:val="20"/>
      </w:rPr>
    </w:sdtEndPr>
    <w:sdtContent>
      <w:p w14:paraId="1C74FD31" w14:textId="77777777" w:rsidR="00B81E76" w:rsidRDefault="00B81E76" w:rsidP="00CC58B5">
        <w:pPr>
          <w:pBdr>
            <w:top w:val="single" w:sz="4" w:space="1" w:color="auto"/>
          </w:pBdr>
          <w:tabs>
            <w:tab w:val="right" w:pos="9781"/>
          </w:tabs>
          <w:spacing w:before="0" w:line="240" w:lineRule="auto"/>
          <w:jc w:val="center"/>
          <w:rPr>
            <w:noProof/>
            <w:sz w:val="20"/>
          </w:rPr>
        </w:pPr>
        <w:r>
          <w:rPr>
            <w:rFonts w:asciiTheme="minorHAnsi" w:hAnsiTheme="minorHAnsi"/>
            <w:b/>
            <w:bCs/>
            <w:iCs/>
            <w:sz w:val="20"/>
            <w:szCs w:val="22"/>
          </w:rPr>
          <w:tab/>
        </w:r>
        <w:r w:rsidRPr="00832D62">
          <w:rPr>
            <w:rFonts w:asciiTheme="minorHAnsi" w:hAnsiTheme="minorHAnsi"/>
            <w:sz w:val="20"/>
          </w:rPr>
          <w:fldChar w:fldCharType="begin"/>
        </w:r>
        <w:r w:rsidRPr="00832D62">
          <w:rPr>
            <w:rFonts w:asciiTheme="minorHAnsi" w:hAnsiTheme="minorHAnsi"/>
            <w:sz w:val="20"/>
          </w:rPr>
          <w:instrText xml:space="preserve"> PAGE   \* MERGEFORMAT </w:instrText>
        </w:r>
        <w:r w:rsidRPr="00832D62">
          <w:rPr>
            <w:rFonts w:asciiTheme="minorHAnsi" w:hAnsiTheme="minorHAnsi"/>
            <w:sz w:val="20"/>
          </w:rPr>
          <w:fldChar w:fldCharType="separate"/>
        </w:r>
        <w:r w:rsidR="005B5851">
          <w:rPr>
            <w:rFonts w:asciiTheme="minorHAnsi" w:hAnsiTheme="minorHAnsi"/>
            <w:noProof/>
            <w:sz w:val="20"/>
          </w:rPr>
          <w:t>150</w:t>
        </w:r>
        <w:r w:rsidRPr="00832D62">
          <w:rPr>
            <w:rFonts w:asciiTheme="minorHAnsi" w:hAnsiTheme="minorHAnsi"/>
            <w:noProof/>
            <w:sz w:val="20"/>
          </w:rPr>
          <w:fldChar w:fldCharType="end"/>
        </w:r>
      </w:p>
    </w:sdtContent>
  </w:sdt>
  <w:p w14:paraId="4F21F434" w14:textId="77777777" w:rsidR="00B81E76" w:rsidRDefault="00B81E76" w:rsidP="00CC58B5">
    <w:pPr>
      <w:pBdr>
        <w:top w:val="single" w:sz="4" w:space="1" w:color="auto"/>
      </w:pBdr>
      <w:tabs>
        <w:tab w:val="right" w:pos="9781"/>
      </w:tabs>
      <w:spacing w:before="0" w:line="240" w:lineRule="auto"/>
      <w:jc w:val="center"/>
      <w:rPr>
        <w:rFonts w:asciiTheme="minorHAnsi" w:hAnsiTheme="minorHAnsi"/>
        <w:b/>
        <w:sz w:val="20"/>
      </w:rPr>
    </w:pPr>
    <w:r w:rsidRPr="00A66791">
      <w:rPr>
        <w:rFonts w:asciiTheme="minorHAnsi" w:hAnsiTheme="minorHAnsi"/>
        <w:b/>
        <w:sz w:val="20"/>
      </w:rPr>
      <w:t>GAMBLING AND PROBLEM GAMBLING</w:t>
    </w:r>
    <w:r>
      <w:rPr>
        <w:rFonts w:asciiTheme="minorHAnsi" w:hAnsiTheme="minorHAnsi"/>
        <w:b/>
        <w:sz w:val="20"/>
      </w:rPr>
      <w:t>:</w:t>
    </w:r>
    <w:r w:rsidRPr="00A66791">
      <w:rPr>
        <w:rFonts w:asciiTheme="minorHAnsi" w:hAnsiTheme="minorHAnsi"/>
        <w:b/>
        <w:sz w:val="20"/>
      </w:rPr>
      <w:t xml:space="preserve"> RESULTS OF THE 2011/12 NEW ZEALAND HEALTH SURVEY</w:t>
    </w:r>
  </w:p>
  <w:p w14:paraId="64A24518" w14:textId="77777777" w:rsidR="00B81E76" w:rsidRPr="00A66791" w:rsidRDefault="00B81E76" w:rsidP="00CC58B5">
    <w:pPr>
      <w:pBdr>
        <w:top w:val="single" w:sz="4" w:space="1" w:color="auto"/>
      </w:pBdr>
      <w:tabs>
        <w:tab w:val="right" w:pos="9781"/>
      </w:tabs>
      <w:spacing w:before="0" w:line="240" w:lineRule="auto"/>
      <w:jc w:val="center"/>
      <w:rPr>
        <w:rFonts w:asciiTheme="minorHAnsi" w:hAnsiTheme="minorHAnsi"/>
        <w:b/>
        <w:sz w:val="20"/>
      </w:rPr>
    </w:pPr>
    <w:r>
      <w:rPr>
        <w:rFonts w:asciiTheme="minorHAnsi" w:hAnsiTheme="minorHAnsi"/>
        <w:b/>
        <w:sz w:val="20"/>
      </w:rPr>
      <w:t>THE UNIVERSITY OF AUCKLAND: CENTRE FOR ADDICTION RESEARCH</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114B00" w14:textId="77777777" w:rsidR="00CA3637" w:rsidRDefault="00CA3637" w:rsidP="00043311">
      <w:pPr>
        <w:spacing w:before="0" w:line="240" w:lineRule="auto"/>
      </w:pPr>
      <w:r>
        <w:separator/>
      </w:r>
    </w:p>
  </w:footnote>
  <w:footnote w:type="continuationSeparator" w:id="0">
    <w:p w14:paraId="28DC6885" w14:textId="77777777" w:rsidR="00CA3637" w:rsidRDefault="00CA3637" w:rsidP="00043311">
      <w:pPr>
        <w:spacing w:before="0" w:line="240" w:lineRule="auto"/>
      </w:pPr>
      <w:r>
        <w:continuationSeparator/>
      </w:r>
    </w:p>
  </w:footnote>
  <w:footnote w:id="1">
    <w:p w14:paraId="6B0D5CD8" w14:textId="0C0A9BBE" w:rsidR="00B81E76" w:rsidRPr="00A7737C" w:rsidRDefault="00B81E76" w:rsidP="00A7737C">
      <w:pPr>
        <w:pStyle w:val="FootnoteText"/>
        <w:spacing w:line="240" w:lineRule="auto"/>
        <w:rPr>
          <w:rFonts w:asciiTheme="minorHAnsi" w:hAnsiTheme="minorHAnsi"/>
          <w:sz w:val="18"/>
          <w:szCs w:val="18"/>
        </w:rPr>
      </w:pPr>
      <w:r>
        <w:rPr>
          <w:rStyle w:val="FootnoteReference"/>
        </w:rPr>
        <w:footnoteRef/>
      </w:r>
      <w:r>
        <w:t xml:space="preserve"> </w:t>
      </w:r>
      <w:r w:rsidRPr="00A7737C">
        <w:rPr>
          <w:rFonts w:asciiTheme="minorHAnsi" w:hAnsiTheme="minorHAnsi"/>
          <w:sz w:val="18"/>
          <w:szCs w:val="18"/>
        </w:rPr>
        <w:t xml:space="preserve">Continuous modes of gambling are those activities like </w:t>
      </w:r>
      <w:r>
        <w:rPr>
          <w:rFonts w:asciiTheme="minorHAnsi" w:hAnsiTheme="minorHAnsi"/>
          <w:sz w:val="18"/>
          <w:szCs w:val="18"/>
        </w:rPr>
        <w:t>EGMs</w:t>
      </w:r>
      <w:r w:rsidRPr="00A7737C">
        <w:rPr>
          <w:rFonts w:asciiTheme="minorHAnsi" w:hAnsiTheme="minorHAnsi"/>
          <w:sz w:val="18"/>
          <w:szCs w:val="18"/>
        </w:rPr>
        <w:t>, casino gambling, horse and dog race betting, and sports betting, in which players can bet and collect any winnings again and again very rapidly</w:t>
      </w:r>
      <w:r>
        <w:rPr>
          <w:rFonts w:asciiTheme="minorHAnsi" w:hAnsiTheme="minorHAnsi"/>
          <w:sz w:val="18"/>
          <w:szCs w:val="18"/>
        </w:rPr>
        <w:t xml:space="preserve"> </w:t>
      </w:r>
      <w:r>
        <w:rPr>
          <w:rFonts w:asciiTheme="minorHAnsi" w:hAnsiTheme="minorHAnsi"/>
          <w:sz w:val="18"/>
          <w:szCs w:val="18"/>
        </w:rPr>
        <w:fldChar w:fldCharType="begin"/>
      </w:r>
      <w:r>
        <w:rPr>
          <w:rFonts w:asciiTheme="minorHAnsi" w:hAnsiTheme="minorHAnsi"/>
          <w:sz w:val="18"/>
          <w:szCs w:val="18"/>
        </w:rPr>
        <w:instrText xml:space="preserve"> ADDIN EN.CITE &lt;EndNote&gt;&lt;Cite&gt;&lt;Author&gt;Department of Internal Affairs&lt;/Author&gt;&lt;Year&gt;2014&lt;/Year&gt;&lt;RecNum&gt;969&lt;/RecNum&gt;&lt;DisplayText&gt;(Department of Internal Affairs, 2014c)&lt;/DisplayText&gt;&lt;record&gt;&lt;rec-number&gt;969&lt;/rec-number&gt;&lt;foreign-keys&gt;&lt;key app="EN" db-id="9pzse05rcvx956etremxfzdh9fzdxvd95rp2"&gt;969&lt;/key&gt;&lt;/foreign-keys&gt;&lt;ref-type name="Report"&gt;27&lt;/ref-type&gt;&lt;contributors&gt;&lt;authors&gt;&lt;author&gt;Department of Internal Affairs, &lt;/author&gt;&lt;/authors&gt;&lt;/contributors&gt;&lt;titles&gt;&lt;title&gt;Problem gambling in New Zealand – a brief summary&lt;/title&gt;&lt;/titles&gt;&lt;dates&gt;&lt;year&gt;2014&lt;/year&gt;&lt;/dates&gt;&lt;pub-location&gt;Wellington, New Zealand&lt;/pub-location&gt;&lt;publisher&gt;Department of Internal Affairs&lt;/publisher&gt;&lt;urls&gt;&lt;related-urls&gt;&lt;url&gt;https://www.dia.govt.nz/pubforms.nsf/URL/ProblemGamblingFactsFinal.pdf/$file/ProblemGamblingFactsFinal.pdf&lt;/url&gt;&lt;/related-urls&gt;&lt;/urls&gt;&lt;/record&gt;&lt;/Cite&gt;&lt;/EndNote&gt;</w:instrText>
      </w:r>
      <w:r>
        <w:rPr>
          <w:rFonts w:asciiTheme="minorHAnsi" w:hAnsiTheme="minorHAnsi"/>
          <w:sz w:val="18"/>
          <w:szCs w:val="18"/>
        </w:rPr>
        <w:fldChar w:fldCharType="separate"/>
      </w:r>
      <w:r>
        <w:rPr>
          <w:rFonts w:asciiTheme="minorHAnsi" w:hAnsiTheme="minorHAnsi"/>
          <w:noProof/>
          <w:sz w:val="18"/>
          <w:szCs w:val="18"/>
        </w:rPr>
        <w:t>(</w:t>
      </w:r>
      <w:hyperlink w:anchor="_ENREF_19" w:tooltip="Department of Internal Affairs, 2014 #969" w:history="1">
        <w:r>
          <w:rPr>
            <w:rFonts w:asciiTheme="minorHAnsi" w:hAnsiTheme="minorHAnsi"/>
            <w:noProof/>
            <w:sz w:val="18"/>
            <w:szCs w:val="18"/>
          </w:rPr>
          <w:t>Department of Internal Affairs, 2014c</w:t>
        </w:r>
      </w:hyperlink>
      <w:r>
        <w:rPr>
          <w:rFonts w:asciiTheme="minorHAnsi" w:hAnsiTheme="minorHAnsi"/>
          <w:noProof/>
          <w:sz w:val="18"/>
          <w:szCs w:val="18"/>
        </w:rPr>
        <w:t>)</w:t>
      </w:r>
      <w:r>
        <w:rPr>
          <w:rFonts w:asciiTheme="minorHAnsi" w:hAnsiTheme="minorHAnsi"/>
          <w:sz w:val="18"/>
          <w:szCs w:val="18"/>
        </w:rPr>
        <w:fldChar w:fldCharType="end"/>
      </w:r>
      <w:r>
        <w:rPr>
          <w:rFonts w:asciiTheme="minorHAnsi" w:hAnsiTheme="minorHAnsi"/>
          <w:sz w:val="18"/>
          <w:szCs w:val="18"/>
        </w:rPr>
        <w:t>.</w:t>
      </w:r>
    </w:p>
  </w:footnote>
  <w:footnote w:id="2">
    <w:p w14:paraId="7AAFCC77" w14:textId="77777777" w:rsidR="00B81E76" w:rsidRPr="00C230A9" w:rsidRDefault="00B81E76">
      <w:pPr>
        <w:pStyle w:val="FootnoteText"/>
        <w:rPr>
          <w:sz w:val="18"/>
          <w:szCs w:val="18"/>
        </w:rPr>
      </w:pPr>
      <w:r w:rsidRPr="00C230A9">
        <w:rPr>
          <w:rStyle w:val="FootnoteReference"/>
          <w:sz w:val="18"/>
          <w:szCs w:val="18"/>
        </w:rPr>
        <w:footnoteRef/>
      </w:r>
      <w:r w:rsidRPr="00C230A9">
        <w:rPr>
          <w:sz w:val="18"/>
          <w:szCs w:val="18"/>
        </w:rPr>
        <w:t xml:space="preserve"> </w:t>
      </w:r>
      <w:r>
        <w:rPr>
          <w:rFonts w:asciiTheme="minorHAnsi" w:hAnsiTheme="minorHAnsi" w:cstheme="minorHAnsi"/>
          <w:sz w:val="18"/>
          <w:szCs w:val="18"/>
        </w:rPr>
        <w:t>Existing c</w:t>
      </w:r>
      <w:r w:rsidRPr="00C230A9">
        <w:rPr>
          <w:rFonts w:asciiTheme="minorHAnsi" w:hAnsiTheme="minorHAnsi" w:cstheme="minorHAnsi"/>
          <w:sz w:val="18"/>
          <w:szCs w:val="18"/>
        </w:rPr>
        <w:t>lients have been defined as clients who have accessed a service in a previous year.</w:t>
      </w:r>
    </w:p>
  </w:footnote>
  <w:footnote w:id="3">
    <w:p w14:paraId="4543F721" w14:textId="77777777" w:rsidR="00B81E76" w:rsidRDefault="00B81E76">
      <w:pPr>
        <w:pStyle w:val="FootnoteText"/>
      </w:pPr>
      <w:r>
        <w:rPr>
          <w:rStyle w:val="FootnoteReference"/>
        </w:rPr>
        <w:footnoteRef/>
      </w:r>
      <w:r>
        <w:t xml:space="preserve"> </w:t>
      </w:r>
      <w:r w:rsidRPr="00BD2CC9">
        <w:rPr>
          <w:rFonts w:asciiTheme="minorHAnsi" w:hAnsiTheme="minorHAnsi"/>
          <w:sz w:val="18"/>
        </w:rPr>
        <w:t>NB: Data relating to children in the main study are described in this report</w:t>
      </w:r>
      <w:r>
        <w:rPr>
          <w:rFonts w:asciiTheme="minorHAnsi" w:hAnsiTheme="minorHAnsi"/>
          <w:sz w:val="18"/>
        </w:rPr>
        <w:t>.</w:t>
      </w:r>
    </w:p>
  </w:footnote>
  <w:footnote w:id="4">
    <w:p w14:paraId="5B6C773E" w14:textId="77777777" w:rsidR="00B81E76" w:rsidRPr="00497083" w:rsidRDefault="00B81E76" w:rsidP="004C3514">
      <w:pPr>
        <w:pStyle w:val="FootnoteText"/>
        <w:spacing w:before="0" w:line="240" w:lineRule="auto"/>
        <w:rPr>
          <w:rFonts w:asciiTheme="minorHAnsi" w:hAnsiTheme="minorHAnsi"/>
          <w:sz w:val="18"/>
        </w:rPr>
      </w:pPr>
      <w:r w:rsidRPr="00497083">
        <w:rPr>
          <w:rStyle w:val="FootnoteReference"/>
          <w:rFonts w:asciiTheme="minorHAnsi" w:hAnsiTheme="minorHAnsi"/>
          <w:sz w:val="18"/>
        </w:rPr>
        <w:footnoteRef/>
      </w:r>
      <w:r w:rsidRPr="00497083">
        <w:rPr>
          <w:rFonts w:asciiTheme="minorHAnsi" w:hAnsiTheme="minorHAnsi"/>
          <w:sz w:val="18"/>
        </w:rPr>
        <w:t xml:space="preserve"> Results for some items have small cell-sizes/numbers (i.e. ≤30).  In accordance with the requirements of the CURF, results with cell-sizes of ≤30 have been supressed throughout this report.</w:t>
      </w:r>
    </w:p>
  </w:footnote>
  <w:footnote w:id="5">
    <w:p w14:paraId="6B275F96" w14:textId="77777777" w:rsidR="00B81E76" w:rsidRPr="00F80061" w:rsidRDefault="00B81E76" w:rsidP="00DB1E6A">
      <w:pPr>
        <w:pStyle w:val="FootnoteText"/>
        <w:spacing w:line="240" w:lineRule="auto"/>
        <w:rPr>
          <w:rFonts w:asciiTheme="minorHAnsi" w:hAnsiTheme="minorHAnsi"/>
        </w:rPr>
      </w:pPr>
      <w:r w:rsidRPr="00F80061">
        <w:rPr>
          <w:rStyle w:val="FootnoteReference"/>
          <w:rFonts w:asciiTheme="minorHAnsi" w:hAnsiTheme="minorHAnsi"/>
          <w:sz w:val="18"/>
        </w:rPr>
        <w:footnoteRef/>
      </w:r>
      <w:r w:rsidRPr="00F80061">
        <w:rPr>
          <w:rFonts w:asciiTheme="minorHAnsi" w:hAnsiTheme="minorHAnsi"/>
          <w:sz w:val="18"/>
        </w:rPr>
        <w:t xml:space="preserve"> </w:t>
      </w:r>
      <w:r>
        <w:rPr>
          <w:rFonts w:asciiTheme="minorHAnsi" w:hAnsiTheme="minorHAnsi"/>
          <w:sz w:val="18"/>
        </w:rPr>
        <w:t xml:space="preserve">NB: </w:t>
      </w:r>
      <w:r w:rsidRPr="00F80061">
        <w:rPr>
          <w:rFonts w:asciiTheme="minorHAnsi" w:hAnsiTheme="minorHAnsi"/>
          <w:sz w:val="18"/>
        </w:rPr>
        <w:t>The 2002/03 NZHS did not gather data on individual casino modes (i.e. it asked about ‘casino gambling’ but not ‘casino gaming machines’ or ‘casino tables’); 2002/03 data can only be presented in relation to ‘any casino gambling’.</w:t>
      </w:r>
    </w:p>
  </w:footnote>
  <w:footnote w:id="6">
    <w:p w14:paraId="608AE411" w14:textId="58084C19" w:rsidR="00B81E76" w:rsidRPr="00C944B0" w:rsidRDefault="00B81E76" w:rsidP="00C944B0">
      <w:pPr>
        <w:pStyle w:val="FootnoteText"/>
        <w:spacing w:line="240" w:lineRule="auto"/>
        <w:rPr>
          <w:rStyle w:val="FootnoteReference"/>
          <w:vertAlign w:val="baseline"/>
        </w:rPr>
      </w:pPr>
      <w:r w:rsidRPr="00C944B0">
        <w:rPr>
          <w:rStyle w:val="FootnoteReference"/>
          <w:rFonts w:asciiTheme="minorHAnsi" w:hAnsiTheme="minorHAnsi"/>
          <w:sz w:val="18"/>
        </w:rPr>
        <w:footnoteRef/>
      </w:r>
      <w:r>
        <w:rPr>
          <w:rStyle w:val="FootnoteReference"/>
          <w:rFonts w:asciiTheme="minorHAnsi" w:hAnsiTheme="minorHAnsi"/>
          <w:sz w:val="18"/>
          <w:vertAlign w:val="baseline"/>
        </w:rPr>
        <w:t xml:space="preserve"> </w:t>
      </w:r>
      <w:r w:rsidRPr="00C944B0">
        <w:rPr>
          <w:rStyle w:val="FootnoteReference"/>
          <w:rFonts w:asciiTheme="minorHAnsi" w:hAnsiTheme="minorHAnsi"/>
          <w:sz w:val="18"/>
          <w:vertAlign w:val="baseline"/>
        </w:rPr>
        <w:t xml:space="preserve">NB: These rates have been age-standardised in accordance with World Health Organisation (WHO) age population distributions </w:t>
      </w:r>
      <w:r w:rsidRPr="00C944B0">
        <w:rPr>
          <w:rStyle w:val="FootnoteReference"/>
          <w:rFonts w:asciiTheme="minorHAnsi" w:hAnsiTheme="minorHAnsi"/>
          <w:sz w:val="18"/>
          <w:vertAlign w:val="baseline"/>
        </w:rPr>
        <w:fldChar w:fldCharType="begin"/>
      </w:r>
      <w:r>
        <w:rPr>
          <w:rFonts w:asciiTheme="minorHAnsi" w:hAnsiTheme="minorHAnsi" w:cstheme="minorBidi"/>
          <w:sz w:val="18"/>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Pr="00C944B0">
        <w:rPr>
          <w:rStyle w:val="FootnoteReference"/>
          <w:rFonts w:asciiTheme="minorHAnsi" w:hAnsiTheme="minorHAnsi"/>
          <w:sz w:val="18"/>
          <w:vertAlign w:val="baseline"/>
        </w:rPr>
        <w:fldChar w:fldCharType="separate"/>
      </w:r>
      <w:r w:rsidRPr="00C944B0">
        <w:rPr>
          <w:rStyle w:val="FootnoteReference"/>
          <w:rFonts w:asciiTheme="minorHAnsi" w:hAnsiTheme="minorHAnsi"/>
          <w:noProof/>
          <w:sz w:val="18"/>
          <w:vertAlign w:val="baseline"/>
        </w:rPr>
        <w:t>(</w:t>
      </w:r>
      <w:hyperlink w:anchor="_ENREF_10" w:tooltip="Ahmad, 2001 #912" w:history="1">
        <w:r w:rsidRPr="00C944B0">
          <w:rPr>
            <w:rStyle w:val="FootnoteReference"/>
            <w:rFonts w:asciiTheme="minorHAnsi" w:hAnsiTheme="minorHAnsi"/>
            <w:noProof/>
            <w:sz w:val="18"/>
            <w:vertAlign w:val="baseline"/>
          </w:rPr>
          <w:t>Ahmad et al., 2001</w:t>
        </w:r>
      </w:hyperlink>
      <w:r w:rsidRPr="00C944B0">
        <w:rPr>
          <w:rStyle w:val="FootnoteReference"/>
          <w:rFonts w:asciiTheme="minorHAnsi" w:hAnsiTheme="minorHAnsi"/>
          <w:noProof/>
          <w:sz w:val="18"/>
          <w:vertAlign w:val="baseline"/>
        </w:rPr>
        <w:t>)</w:t>
      </w:r>
      <w:r w:rsidRPr="00C944B0">
        <w:rPr>
          <w:rStyle w:val="FootnoteReference"/>
          <w:rFonts w:asciiTheme="minorHAnsi" w:hAnsiTheme="minorHAnsi"/>
          <w:sz w:val="18"/>
          <w:vertAlign w:val="baseline"/>
        </w:rPr>
        <w:fldChar w:fldCharType="end"/>
      </w:r>
      <w:r w:rsidRPr="00C944B0">
        <w:rPr>
          <w:rStyle w:val="FootnoteReference"/>
          <w:rFonts w:asciiTheme="minorHAnsi" w:hAnsiTheme="minorHAnsi"/>
          <w:sz w:val="18"/>
          <w:vertAlign w:val="baseline"/>
        </w:rPr>
        <w:t>.</w:t>
      </w:r>
    </w:p>
  </w:footnote>
  <w:footnote w:id="7">
    <w:p w14:paraId="4B5C53A4" w14:textId="77777777" w:rsidR="00B81E76" w:rsidRPr="00C944B0" w:rsidRDefault="00B81E76" w:rsidP="00C944B0">
      <w:pPr>
        <w:pStyle w:val="FootnoteText"/>
        <w:spacing w:line="240" w:lineRule="auto"/>
        <w:rPr>
          <w:rFonts w:asciiTheme="minorHAnsi" w:hAnsiTheme="minorHAnsi"/>
          <w:sz w:val="18"/>
          <w:szCs w:val="18"/>
        </w:rPr>
      </w:pPr>
      <w:r w:rsidRPr="00C944B0">
        <w:rPr>
          <w:rStyle w:val="FootnoteReference"/>
          <w:rFonts w:asciiTheme="minorHAnsi" w:hAnsiTheme="minorHAnsi"/>
          <w:sz w:val="18"/>
          <w:szCs w:val="18"/>
        </w:rPr>
        <w:footnoteRef/>
      </w:r>
      <w:r w:rsidRPr="00C944B0">
        <w:rPr>
          <w:rStyle w:val="FootnoteReference"/>
          <w:rFonts w:asciiTheme="minorHAnsi" w:hAnsiTheme="minorHAnsi"/>
          <w:sz w:val="18"/>
          <w:szCs w:val="18"/>
        </w:rPr>
        <w:t xml:space="preserve"> </w:t>
      </w:r>
      <w:r w:rsidRPr="00C944B0">
        <w:rPr>
          <w:rStyle w:val="FootnoteReference"/>
          <w:rFonts w:asciiTheme="minorHAnsi" w:hAnsiTheme="minorHAnsi"/>
          <w:sz w:val="18"/>
          <w:szCs w:val="18"/>
          <w:vertAlign w:val="baseline"/>
        </w:rPr>
        <w:t>‘Lotto, ‘Strike’, ‘Powerball’, and ‘Big Wednesday’.</w:t>
      </w:r>
    </w:p>
  </w:footnote>
  <w:footnote w:id="8">
    <w:p w14:paraId="300190E6" w14:textId="2C3871A2" w:rsidR="00B81E76" w:rsidRPr="00C944B0" w:rsidRDefault="00B81E76" w:rsidP="00C944B0">
      <w:pPr>
        <w:pStyle w:val="FootnoteText"/>
        <w:spacing w:line="240" w:lineRule="auto"/>
        <w:rPr>
          <w:rFonts w:asciiTheme="minorHAnsi" w:hAnsiTheme="minorHAnsi"/>
        </w:rPr>
      </w:pPr>
      <w:r w:rsidRPr="00C944B0">
        <w:rPr>
          <w:rStyle w:val="FootnoteReference"/>
          <w:rFonts w:asciiTheme="minorHAnsi" w:hAnsiTheme="minorHAnsi"/>
          <w:sz w:val="18"/>
        </w:rPr>
        <w:footnoteRef/>
      </w:r>
      <w:r w:rsidRPr="00C944B0">
        <w:rPr>
          <w:rFonts w:asciiTheme="minorHAnsi" w:hAnsiTheme="minorHAnsi"/>
          <w:sz w:val="16"/>
        </w:rPr>
        <w:t xml:space="preserve"> </w:t>
      </w:r>
      <w:r>
        <w:rPr>
          <w:rStyle w:val="FootnoteReference"/>
          <w:rFonts w:asciiTheme="minorHAnsi" w:hAnsiTheme="minorHAnsi"/>
          <w:sz w:val="18"/>
          <w:szCs w:val="18"/>
          <w:vertAlign w:val="baseline"/>
        </w:rPr>
        <w:t>NB: The</w:t>
      </w:r>
      <w:r w:rsidRPr="00C944B0">
        <w:rPr>
          <w:rStyle w:val="FootnoteReference"/>
          <w:rFonts w:asciiTheme="minorHAnsi" w:hAnsiTheme="minorHAnsi"/>
          <w:sz w:val="18"/>
          <w:szCs w:val="18"/>
          <w:vertAlign w:val="baseline"/>
        </w:rPr>
        <w:t xml:space="preserve"> rates</w:t>
      </w:r>
      <w:r>
        <w:rPr>
          <w:rStyle w:val="FootnoteReference"/>
          <w:rFonts w:asciiTheme="minorHAnsi" w:hAnsiTheme="minorHAnsi"/>
          <w:sz w:val="18"/>
          <w:szCs w:val="18"/>
          <w:vertAlign w:val="baseline"/>
        </w:rPr>
        <w:t xml:space="preserve"> discussed here</w:t>
      </w:r>
      <w:r w:rsidRPr="00C944B0">
        <w:rPr>
          <w:rStyle w:val="FootnoteReference"/>
          <w:rFonts w:asciiTheme="minorHAnsi" w:hAnsiTheme="minorHAnsi"/>
          <w:sz w:val="18"/>
          <w:szCs w:val="18"/>
          <w:vertAlign w:val="baseline"/>
        </w:rPr>
        <w:t xml:space="preserve"> </w:t>
      </w:r>
      <w:r>
        <w:rPr>
          <w:rStyle w:val="FootnoteReference"/>
          <w:rFonts w:asciiTheme="minorHAnsi" w:hAnsiTheme="minorHAnsi"/>
          <w:sz w:val="18"/>
          <w:szCs w:val="18"/>
          <w:vertAlign w:val="baseline"/>
        </w:rPr>
        <w:t xml:space="preserve">for 2011/12 </w:t>
      </w:r>
      <w:r w:rsidRPr="00C944B0">
        <w:rPr>
          <w:rStyle w:val="FootnoteReference"/>
          <w:rFonts w:asciiTheme="minorHAnsi" w:hAnsiTheme="minorHAnsi"/>
          <w:sz w:val="18"/>
          <w:szCs w:val="18"/>
          <w:vertAlign w:val="baseline"/>
        </w:rPr>
        <w:t>differ to those presented in</w:t>
      </w:r>
      <w:r>
        <w:rPr>
          <w:rFonts w:asciiTheme="minorHAnsi" w:hAnsiTheme="minorHAnsi"/>
          <w:sz w:val="18"/>
          <w:szCs w:val="18"/>
        </w:rPr>
        <w:t xml:space="preserve"> Table 12,</w:t>
      </w:r>
      <w:r w:rsidRPr="00C944B0">
        <w:rPr>
          <w:rStyle w:val="FootnoteReference"/>
          <w:rFonts w:asciiTheme="minorHAnsi" w:hAnsiTheme="minorHAnsi"/>
          <w:sz w:val="18"/>
          <w:szCs w:val="18"/>
          <w:vertAlign w:val="baseline"/>
        </w:rPr>
        <w:t xml:space="preserve"> as they have been age-standardised in accordance with World Health Organisation (WHO) age population distributions </w:t>
      </w:r>
      <w:r w:rsidRPr="00C944B0">
        <w:rPr>
          <w:rStyle w:val="FootnoteReference"/>
          <w:rFonts w:asciiTheme="minorHAnsi" w:hAnsiTheme="minorHAnsi"/>
          <w:sz w:val="18"/>
          <w:szCs w:val="18"/>
          <w:vertAlign w:val="baseline"/>
        </w:rPr>
        <w:fldChar w:fldCharType="begin"/>
      </w:r>
      <w:r>
        <w:rPr>
          <w:rFonts w:asciiTheme="minorHAnsi" w:hAnsiTheme="minorHAnsi" w:cstheme="minorBidi"/>
          <w:sz w:val="18"/>
          <w:szCs w:val="18"/>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Pr="00C944B0">
        <w:rPr>
          <w:rStyle w:val="FootnoteReference"/>
          <w:rFonts w:asciiTheme="minorHAnsi" w:hAnsiTheme="minorHAnsi"/>
          <w:sz w:val="18"/>
          <w:szCs w:val="18"/>
          <w:vertAlign w:val="baseline"/>
        </w:rPr>
        <w:fldChar w:fldCharType="separate"/>
      </w:r>
      <w:r w:rsidRPr="00C944B0">
        <w:rPr>
          <w:rStyle w:val="FootnoteReference"/>
          <w:rFonts w:asciiTheme="minorHAnsi" w:hAnsiTheme="minorHAnsi"/>
          <w:noProof/>
          <w:sz w:val="18"/>
          <w:szCs w:val="18"/>
          <w:vertAlign w:val="baseline"/>
        </w:rPr>
        <w:t>(</w:t>
      </w:r>
      <w:hyperlink w:anchor="_ENREF_10" w:tooltip="Ahmad, 2001 #912" w:history="1">
        <w:r w:rsidRPr="00C944B0">
          <w:rPr>
            <w:rStyle w:val="FootnoteReference"/>
            <w:rFonts w:asciiTheme="minorHAnsi" w:hAnsiTheme="minorHAnsi"/>
            <w:noProof/>
            <w:sz w:val="18"/>
            <w:szCs w:val="18"/>
            <w:vertAlign w:val="baseline"/>
          </w:rPr>
          <w:t>Ahmad et al., 2001</w:t>
        </w:r>
      </w:hyperlink>
      <w:r w:rsidRPr="00C944B0">
        <w:rPr>
          <w:rStyle w:val="FootnoteReference"/>
          <w:rFonts w:asciiTheme="minorHAnsi" w:hAnsiTheme="minorHAnsi"/>
          <w:noProof/>
          <w:sz w:val="18"/>
          <w:szCs w:val="18"/>
          <w:vertAlign w:val="baseline"/>
        </w:rPr>
        <w:t>)</w:t>
      </w:r>
      <w:r w:rsidRPr="00C944B0">
        <w:rPr>
          <w:rStyle w:val="FootnoteReference"/>
          <w:rFonts w:asciiTheme="minorHAnsi" w:hAnsiTheme="minorHAnsi"/>
          <w:sz w:val="18"/>
          <w:szCs w:val="18"/>
          <w:vertAlign w:val="baseline"/>
        </w:rPr>
        <w:fldChar w:fldCharType="end"/>
      </w:r>
      <w:r w:rsidRPr="00C944B0">
        <w:rPr>
          <w:rStyle w:val="FootnoteReference"/>
          <w:rFonts w:asciiTheme="minorHAnsi" w:hAnsiTheme="minorHAnsi"/>
          <w:sz w:val="18"/>
          <w:szCs w:val="18"/>
          <w:vertAlign w:val="baseline"/>
        </w:rPr>
        <w:t>.</w:t>
      </w:r>
    </w:p>
  </w:footnote>
  <w:footnote w:id="9">
    <w:p w14:paraId="4720849F" w14:textId="58CE259A" w:rsidR="00B81E76" w:rsidRPr="00C944B0" w:rsidRDefault="00B81E76" w:rsidP="000129BB">
      <w:pPr>
        <w:pStyle w:val="FootnoteText"/>
        <w:spacing w:line="240" w:lineRule="auto"/>
        <w:rPr>
          <w:rFonts w:asciiTheme="minorHAnsi" w:hAnsiTheme="minorHAnsi"/>
        </w:rPr>
      </w:pPr>
      <w:r w:rsidRPr="00C944B0">
        <w:rPr>
          <w:rStyle w:val="FootnoteReference"/>
          <w:rFonts w:asciiTheme="minorHAnsi" w:hAnsiTheme="minorHAnsi"/>
          <w:sz w:val="18"/>
        </w:rPr>
        <w:footnoteRef/>
      </w:r>
      <w:r w:rsidRPr="00C944B0">
        <w:rPr>
          <w:rFonts w:asciiTheme="minorHAnsi" w:hAnsiTheme="minorHAnsi"/>
          <w:sz w:val="16"/>
        </w:rPr>
        <w:t xml:space="preserve"> </w:t>
      </w:r>
      <w:r>
        <w:rPr>
          <w:rFonts w:asciiTheme="minorHAnsi" w:hAnsiTheme="minorHAnsi"/>
          <w:sz w:val="18"/>
          <w:szCs w:val="18"/>
        </w:rPr>
        <w:t xml:space="preserve">Prevalence estimates have been </w:t>
      </w:r>
      <w:r w:rsidRPr="00C944B0">
        <w:rPr>
          <w:rStyle w:val="FootnoteReference"/>
          <w:rFonts w:asciiTheme="minorHAnsi" w:hAnsiTheme="minorHAnsi"/>
          <w:sz w:val="18"/>
          <w:szCs w:val="18"/>
          <w:vertAlign w:val="baseline"/>
        </w:rPr>
        <w:t xml:space="preserve">age-standardised in accordance with World Health Organisation (WHO) age population distributions </w:t>
      </w:r>
      <w:r w:rsidRPr="00C944B0">
        <w:rPr>
          <w:rStyle w:val="FootnoteReference"/>
          <w:rFonts w:asciiTheme="minorHAnsi" w:hAnsiTheme="minorHAnsi"/>
          <w:sz w:val="18"/>
          <w:szCs w:val="18"/>
          <w:vertAlign w:val="baseline"/>
        </w:rPr>
        <w:fldChar w:fldCharType="begin"/>
      </w:r>
      <w:r>
        <w:rPr>
          <w:rFonts w:asciiTheme="minorHAnsi" w:hAnsiTheme="minorHAnsi" w:cstheme="minorBidi"/>
          <w:sz w:val="18"/>
          <w:szCs w:val="18"/>
        </w:rPr>
        <w:instrText xml:space="preserve"> ADDIN EN.CITE &lt;EndNote&gt;&lt;Cite&gt;&lt;Author&gt;Ahmad&lt;/Author&gt;&lt;Year&gt;2001&lt;/Year&gt;&lt;RecNum&gt;912&lt;/RecNum&gt;&lt;DisplayText&gt;(Ahmad et al., 2001)&lt;/DisplayText&gt;&lt;record&gt;&lt;rec-number&gt;912&lt;/rec-number&gt;&lt;foreign-keys&gt;&lt;key app="EN" db-id="9pzse05rcvx956etremxfzdh9fzdxvd95rp2"&gt;912&lt;/key&gt;&lt;/foreign-keys&gt;&lt;ref-type name="Report"&gt;27&lt;/ref-type&gt;&lt;contributors&gt;&lt;authors&gt;&lt;author&gt;Ahmad, O. B., &lt;/author&gt;&lt;author&gt;Boschi-Pinto, C., &lt;/author&gt;&lt;author&gt;Lopez, A. D., &lt;/author&gt;&lt;author&gt;Murray, C. J. L., &lt;/author&gt;&lt;author&gt;Lozano, R., &lt;/author&gt;&lt;author&gt;Inoue, M. &lt;/author&gt;&lt;/authors&gt;&lt;/contributors&gt;&lt;titles&gt;&lt;title&gt;Age Standardization of Rates: A New WHO Standard (Technical report). GPE Discussion Paper Series: No.31.  &lt;/title&gt;&lt;/titles&gt;&lt;dates&gt;&lt;year&gt;2001&lt;/year&gt;&lt;/dates&gt;&lt;publisher&gt;World Health Organization (WHO). Retrieved from http://www.who.int/healthinfo/paper31.pdf&lt;/publisher&gt;&lt;urls&gt;&lt;/urls&gt;&lt;/record&gt;&lt;/Cite&gt;&lt;/EndNote&gt;</w:instrText>
      </w:r>
      <w:r w:rsidRPr="00C944B0">
        <w:rPr>
          <w:rStyle w:val="FootnoteReference"/>
          <w:rFonts w:asciiTheme="minorHAnsi" w:hAnsiTheme="minorHAnsi"/>
          <w:sz w:val="18"/>
          <w:szCs w:val="18"/>
          <w:vertAlign w:val="baseline"/>
        </w:rPr>
        <w:fldChar w:fldCharType="separate"/>
      </w:r>
      <w:r w:rsidRPr="00C944B0">
        <w:rPr>
          <w:rStyle w:val="FootnoteReference"/>
          <w:rFonts w:asciiTheme="minorHAnsi" w:hAnsiTheme="minorHAnsi"/>
          <w:noProof/>
          <w:sz w:val="18"/>
          <w:szCs w:val="18"/>
          <w:vertAlign w:val="baseline"/>
        </w:rPr>
        <w:t>(</w:t>
      </w:r>
      <w:hyperlink w:anchor="_ENREF_10" w:tooltip="Ahmad, 2001 #912" w:history="1">
        <w:r w:rsidRPr="00C944B0">
          <w:rPr>
            <w:rStyle w:val="FootnoteReference"/>
            <w:rFonts w:asciiTheme="minorHAnsi" w:hAnsiTheme="minorHAnsi"/>
            <w:noProof/>
            <w:sz w:val="18"/>
            <w:szCs w:val="18"/>
            <w:vertAlign w:val="baseline"/>
          </w:rPr>
          <w:t>Ahmad et al., 2001</w:t>
        </w:r>
      </w:hyperlink>
      <w:r w:rsidRPr="00C944B0">
        <w:rPr>
          <w:rStyle w:val="FootnoteReference"/>
          <w:rFonts w:asciiTheme="minorHAnsi" w:hAnsiTheme="minorHAnsi"/>
          <w:noProof/>
          <w:sz w:val="18"/>
          <w:szCs w:val="18"/>
          <w:vertAlign w:val="baseline"/>
        </w:rPr>
        <w:t>)</w:t>
      </w:r>
      <w:r w:rsidRPr="00C944B0">
        <w:rPr>
          <w:rStyle w:val="FootnoteReference"/>
          <w:rFonts w:asciiTheme="minorHAnsi" w:hAnsiTheme="minorHAnsi"/>
          <w:sz w:val="18"/>
          <w:szCs w:val="18"/>
          <w:vertAlign w:val="baseline"/>
        </w:rPr>
        <w:fldChar w:fldCharType="end"/>
      </w:r>
      <w:r w:rsidRPr="00C944B0">
        <w:rPr>
          <w:rStyle w:val="FootnoteReference"/>
          <w:rFonts w:asciiTheme="minorHAnsi" w:hAnsiTheme="minorHAnsi"/>
          <w:sz w:val="18"/>
          <w:szCs w:val="18"/>
          <w:vertAlign w:val="baseline"/>
        </w:rPr>
        <w:t>.</w:t>
      </w:r>
    </w:p>
  </w:footnote>
  <w:footnote w:id="10">
    <w:p w14:paraId="458CA306" w14:textId="77777777" w:rsidR="00B81E76" w:rsidRPr="00F80061" w:rsidRDefault="00B81E76">
      <w:pPr>
        <w:pStyle w:val="FootnoteText"/>
        <w:rPr>
          <w:rFonts w:asciiTheme="minorHAnsi" w:hAnsiTheme="minorHAnsi"/>
        </w:rPr>
      </w:pPr>
      <w:r w:rsidRPr="00570263">
        <w:rPr>
          <w:rStyle w:val="FootnoteReference"/>
          <w:rFonts w:asciiTheme="minorHAnsi" w:hAnsiTheme="minorHAnsi"/>
          <w:sz w:val="18"/>
          <w:szCs w:val="18"/>
        </w:rPr>
        <w:footnoteRef/>
      </w:r>
      <w:r w:rsidRPr="00570263">
        <w:rPr>
          <w:rFonts w:asciiTheme="minorHAnsi" w:hAnsiTheme="minorHAnsi"/>
          <w:sz w:val="18"/>
          <w:szCs w:val="18"/>
        </w:rPr>
        <w:t xml:space="preserve"> N</w:t>
      </w:r>
      <w:r w:rsidRPr="00570263">
        <w:rPr>
          <w:rFonts w:asciiTheme="minorHAnsi" w:hAnsiTheme="minorHAnsi"/>
          <w:sz w:val="18"/>
        </w:rPr>
        <w:t xml:space="preserve">B: Participation rates for ‘Lotto only’ cannot be reported for problem/moderate-risk gamblers due to a cell size of less than 30. </w:t>
      </w:r>
    </w:p>
  </w:footnote>
  <w:footnote w:id="11">
    <w:p w14:paraId="3F570029" w14:textId="77777777" w:rsidR="00B81E76" w:rsidRDefault="00B81E76" w:rsidP="00C87CE1">
      <w:pPr>
        <w:pStyle w:val="FootnoteText"/>
        <w:spacing w:line="240" w:lineRule="auto"/>
      </w:pPr>
      <w:r w:rsidRPr="00C87CE1">
        <w:rPr>
          <w:rStyle w:val="FootnoteReference"/>
          <w:rFonts w:asciiTheme="minorHAnsi" w:hAnsiTheme="minorHAnsi"/>
          <w:sz w:val="18"/>
          <w:szCs w:val="16"/>
        </w:rPr>
        <w:footnoteRef/>
      </w:r>
      <w:r w:rsidRPr="00C87CE1">
        <w:rPr>
          <w:rFonts w:asciiTheme="minorHAnsi" w:hAnsiTheme="minorHAnsi"/>
          <w:sz w:val="18"/>
          <w:szCs w:val="16"/>
        </w:rPr>
        <w:t xml:space="preserve"> </w:t>
      </w:r>
      <w:r w:rsidRPr="00C87CE1">
        <w:rPr>
          <w:rFonts w:asciiTheme="minorHAnsi" w:hAnsiTheme="minorHAnsi" w:cstheme="minorHAnsi"/>
          <w:sz w:val="18"/>
          <w:szCs w:val="16"/>
        </w:rPr>
        <w:t>‘O</w:t>
      </w:r>
      <w:r w:rsidRPr="00C87CE1">
        <w:rPr>
          <w:rFonts w:asciiTheme="minorHAnsi" w:hAnsiTheme="minorHAnsi" w:cstheme="minorHAnsi"/>
          <w:sz w:val="18"/>
        </w:rPr>
        <w:t xml:space="preserve">ther’ drugs include: Ecstasy; </w:t>
      </w:r>
      <w:r w:rsidRPr="00C87CE1">
        <w:rPr>
          <w:rFonts w:asciiTheme="minorHAnsi" w:hAnsiTheme="minorHAnsi" w:cstheme="minorHAnsi"/>
          <w:sz w:val="18"/>
          <w:szCs w:val="16"/>
        </w:rPr>
        <w:t>Amphetamines, Legal party pills, Stimulants, Painkillers, Benzodiazepines, Hallucinogens, Cocaine, Heroin, Other.</w:t>
      </w:r>
    </w:p>
  </w:footnote>
  <w:footnote w:id="12">
    <w:p w14:paraId="07ADFCB7" w14:textId="77777777" w:rsidR="00B81E76" w:rsidRPr="00197D8C" w:rsidRDefault="00B81E76" w:rsidP="005E272D">
      <w:pPr>
        <w:spacing w:line="240" w:lineRule="auto"/>
        <w:rPr>
          <w:rFonts w:asciiTheme="minorHAnsi" w:hAnsiTheme="minorHAnsi" w:cstheme="minorHAnsi"/>
          <w:sz w:val="18"/>
          <w:szCs w:val="18"/>
        </w:rPr>
      </w:pPr>
      <w:r w:rsidRPr="00197D8C">
        <w:rPr>
          <w:rStyle w:val="FootnoteReference"/>
          <w:rFonts w:asciiTheme="minorHAnsi" w:hAnsiTheme="minorHAnsi"/>
          <w:sz w:val="18"/>
          <w:szCs w:val="18"/>
        </w:rPr>
        <w:footnoteRef/>
      </w:r>
      <w:r w:rsidRPr="00197D8C">
        <w:rPr>
          <w:rFonts w:asciiTheme="minorHAnsi" w:hAnsiTheme="minorHAnsi"/>
          <w:sz w:val="18"/>
          <w:szCs w:val="18"/>
        </w:rPr>
        <w:t xml:space="preserve"> </w:t>
      </w:r>
      <w:r w:rsidRPr="00197D8C">
        <w:rPr>
          <w:rFonts w:asciiTheme="minorHAnsi" w:hAnsiTheme="minorHAnsi" w:cstheme="minorHAnsi"/>
          <w:sz w:val="18"/>
          <w:szCs w:val="18"/>
        </w:rPr>
        <w:t>This estimate has been calculated using New Zealand 2006 Census data.</w:t>
      </w:r>
    </w:p>
  </w:footnote>
  <w:footnote w:id="13">
    <w:p w14:paraId="38C4A776" w14:textId="77777777" w:rsidR="00B81E76" w:rsidRPr="000B62F3" w:rsidRDefault="00B81E76">
      <w:pPr>
        <w:pStyle w:val="FootnoteText"/>
        <w:rPr>
          <w:rFonts w:asciiTheme="minorHAnsi" w:hAnsiTheme="minorHAnsi"/>
          <w:sz w:val="18"/>
          <w:szCs w:val="18"/>
        </w:rPr>
      </w:pPr>
      <w:r w:rsidRPr="000B62F3">
        <w:rPr>
          <w:rStyle w:val="FootnoteReference"/>
          <w:rFonts w:asciiTheme="minorHAnsi" w:hAnsiTheme="minorHAnsi"/>
          <w:sz w:val="18"/>
          <w:szCs w:val="18"/>
        </w:rPr>
        <w:footnoteRef/>
      </w:r>
      <w:r w:rsidRPr="000B62F3">
        <w:rPr>
          <w:rFonts w:asciiTheme="minorHAnsi" w:hAnsiTheme="minorHAnsi"/>
          <w:sz w:val="18"/>
          <w:szCs w:val="18"/>
        </w:rPr>
        <w:t xml:space="preserve"> These categories were combined due to small cell-sizes for some activities</w:t>
      </w:r>
      <w:r>
        <w:rPr>
          <w:rFonts w:asciiTheme="minorHAnsi" w:hAnsiTheme="minorHAnsi"/>
          <w:sz w:val="18"/>
          <w:szCs w:val="18"/>
        </w:rPr>
        <w:t>.</w:t>
      </w:r>
    </w:p>
  </w:footnote>
  <w:footnote w:id="14">
    <w:p w14:paraId="5BF6680B" w14:textId="786050CF" w:rsidR="00B81E76" w:rsidRPr="003D1E5B" w:rsidRDefault="00B81E76" w:rsidP="003D1E5B">
      <w:pPr>
        <w:pStyle w:val="FootnoteText"/>
        <w:spacing w:before="0" w:line="240" w:lineRule="auto"/>
        <w:rPr>
          <w:rFonts w:asciiTheme="minorHAnsi" w:hAnsiTheme="minorHAnsi"/>
          <w:sz w:val="18"/>
          <w:szCs w:val="18"/>
        </w:rPr>
      </w:pPr>
      <w:r w:rsidRPr="003D1E5B">
        <w:rPr>
          <w:rStyle w:val="FootnoteReference"/>
          <w:rFonts w:asciiTheme="minorHAnsi" w:hAnsiTheme="minorHAnsi"/>
          <w:sz w:val="18"/>
          <w:szCs w:val="18"/>
        </w:rPr>
        <w:footnoteRef/>
      </w:r>
      <w:r w:rsidRPr="003D1E5B">
        <w:rPr>
          <w:rFonts w:asciiTheme="minorHAnsi" w:hAnsiTheme="minorHAnsi"/>
          <w:sz w:val="18"/>
          <w:szCs w:val="18"/>
        </w:rPr>
        <w:t xml:space="preserve"> Based on an overall p-value of &lt;0.0001 and overlapping 95% confidence intervals.</w:t>
      </w:r>
    </w:p>
  </w:footnote>
  <w:footnote w:id="15">
    <w:p w14:paraId="798C614C" w14:textId="4987C368" w:rsidR="00B81E76" w:rsidRDefault="00B81E76" w:rsidP="003D1E5B">
      <w:pPr>
        <w:pStyle w:val="FootnoteText"/>
        <w:spacing w:before="0" w:line="240" w:lineRule="auto"/>
      </w:pPr>
      <w:r w:rsidRPr="003D1E5B">
        <w:rPr>
          <w:rStyle w:val="FootnoteReference"/>
          <w:rFonts w:asciiTheme="minorHAnsi" w:hAnsiTheme="minorHAnsi"/>
          <w:sz w:val="18"/>
          <w:szCs w:val="18"/>
        </w:rPr>
        <w:footnoteRef/>
      </w:r>
      <w:r w:rsidRPr="003D1E5B">
        <w:rPr>
          <w:rFonts w:asciiTheme="minorHAnsi" w:hAnsiTheme="minorHAnsi"/>
          <w:sz w:val="18"/>
          <w:szCs w:val="18"/>
        </w:rPr>
        <w:t xml:space="preserve"> Based on an overall p-value of &lt;0.0001 and non-overlapping 95% confidence intervals.</w:t>
      </w:r>
    </w:p>
  </w:footnote>
  <w:footnote w:id="16">
    <w:p w14:paraId="6B592F6F" w14:textId="2F37956A" w:rsidR="00B81E76" w:rsidRPr="00EF51A6" w:rsidRDefault="00B81E76">
      <w:pPr>
        <w:pStyle w:val="FootnoteText"/>
        <w:rPr>
          <w:rFonts w:asciiTheme="minorHAnsi" w:hAnsiTheme="minorHAnsi"/>
          <w:sz w:val="18"/>
          <w:szCs w:val="18"/>
        </w:rPr>
      </w:pPr>
      <w:r w:rsidRPr="00EF51A6">
        <w:rPr>
          <w:rStyle w:val="FootnoteReference"/>
          <w:rFonts w:asciiTheme="minorHAnsi" w:hAnsiTheme="minorHAnsi"/>
          <w:sz w:val="18"/>
          <w:szCs w:val="18"/>
        </w:rPr>
        <w:footnoteRef/>
      </w:r>
      <w:r w:rsidRPr="00EF51A6">
        <w:rPr>
          <w:rFonts w:asciiTheme="minorHAnsi" w:hAnsiTheme="minorHAnsi"/>
          <w:sz w:val="18"/>
          <w:szCs w:val="18"/>
        </w:rPr>
        <w:t xml:space="preserve"> Detailed reports on the NZHS survey design and methodology are available online </w:t>
      </w:r>
      <w:r w:rsidRPr="00EF51A6">
        <w:rPr>
          <w:rFonts w:asciiTheme="minorHAnsi" w:hAnsiTheme="minorHAnsi"/>
          <w:sz w:val="18"/>
          <w:szCs w:val="18"/>
        </w:rPr>
        <w:fldChar w:fldCharType="begin"/>
      </w:r>
      <w:r>
        <w:rPr>
          <w:rFonts w:asciiTheme="minorHAnsi" w:hAnsiTheme="minorHAnsi"/>
          <w:sz w:val="18"/>
          <w:szCs w:val="18"/>
        </w:rPr>
        <w:instrText xml:space="preserve"> ADDIN EN.CITE &lt;EndNote&gt;&lt;Cite&gt;&lt;Author&gt;Ministry of Health&lt;/Author&gt;&lt;Year&gt;2011&lt;/Year&gt;&lt;RecNum&gt;928&lt;/RecNum&gt;&lt;Prefix&gt;see &lt;/Prefix&gt;&lt;DisplayText&gt;(see Ministry of Health, 2011, 2012b)&lt;/DisplayText&gt;&lt;record&gt;&lt;rec-number&gt;928&lt;/rec-number&gt;&lt;foreign-keys&gt;&lt;key app="EN" db-id="9pzse05rcvx956etremxfzdh9fzdxvd95rp2"&gt;928&lt;/key&gt;&lt;/foreign-keys&gt;&lt;ref-type name="Report"&gt;27&lt;/ref-type&gt;&lt;contributors&gt;&lt;authors&gt;&lt;author&gt;Ministry of Health,&lt;/author&gt;&lt;/authors&gt;&lt;/contributors&gt;&lt;titles&gt;&lt;title&gt;The New Zealand Health Survey: Sample design, years 1-3 (2011-2013)&lt;/title&gt;&lt;/titles&gt;&lt;dates&gt;&lt;year&gt;2011&lt;/year&gt;&lt;/dates&gt;&lt;pub-location&gt;Wellington&lt;/pub-location&gt;&lt;publisher&gt;Ministry of Health&lt;/publisher&gt;&lt;urls&gt;&lt;/urls&gt;&lt;/record&gt;&lt;/Cite&gt;&lt;Cite&gt;&lt;Author&gt;Ministry of Health&lt;/Author&gt;&lt;Year&gt;2012&lt;/Year&gt;&lt;RecNum&gt;929&lt;/RecNum&gt;&lt;record&gt;&lt;rec-number&gt;929&lt;/rec-number&gt;&lt;foreign-keys&gt;&lt;key app="EN" db-id="9pzse05rcvx956etremxfzdh9fzdxvd95rp2"&gt;929&lt;/key&gt;&lt;/foreign-keys&gt;&lt;ref-type name="Report"&gt;27&lt;/ref-type&gt;&lt;contributors&gt;&lt;authors&gt;&lt;author&gt;Ministry of Health,&lt;/author&gt;&lt;/authors&gt;&lt;/contributors&gt;&lt;titles&gt;&lt;title&gt;New Zealand Health Survey Methodology Report&lt;/title&gt;&lt;/titles&gt;&lt;dates&gt;&lt;year&gt;2012&lt;/year&gt;&lt;/dates&gt;&lt;pub-location&gt;Wellington&lt;/pub-location&gt;&lt;publisher&gt;Ministry of Health&lt;/publisher&gt;&lt;urls&gt;&lt;/urls&gt;&lt;/record&gt;&lt;/Cite&gt;&lt;/EndNote&gt;</w:instrText>
      </w:r>
      <w:r w:rsidRPr="00EF51A6">
        <w:rPr>
          <w:rFonts w:asciiTheme="minorHAnsi" w:hAnsiTheme="minorHAnsi"/>
          <w:sz w:val="18"/>
          <w:szCs w:val="18"/>
        </w:rPr>
        <w:fldChar w:fldCharType="separate"/>
      </w:r>
      <w:r w:rsidRPr="00EF51A6">
        <w:rPr>
          <w:rFonts w:asciiTheme="minorHAnsi" w:hAnsiTheme="minorHAnsi"/>
          <w:noProof/>
          <w:sz w:val="18"/>
          <w:szCs w:val="18"/>
        </w:rPr>
        <w:t xml:space="preserve">(see </w:t>
      </w:r>
      <w:hyperlink w:anchor="_ENREF_39" w:tooltip="Ministry of Health, 2011 #928" w:history="1">
        <w:r w:rsidRPr="00EF51A6">
          <w:rPr>
            <w:rFonts w:asciiTheme="minorHAnsi" w:hAnsiTheme="minorHAnsi"/>
            <w:noProof/>
            <w:sz w:val="18"/>
            <w:szCs w:val="18"/>
          </w:rPr>
          <w:t>Ministry of Health, 2011</w:t>
        </w:r>
      </w:hyperlink>
      <w:r w:rsidRPr="00EF51A6">
        <w:rPr>
          <w:rFonts w:asciiTheme="minorHAnsi" w:hAnsiTheme="minorHAnsi"/>
          <w:noProof/>
          <w:sz w:val="18"/>
          <w:szCs w:val="18"/>
        </w:rPr>
        <w:t xml:space="preserve">, </w:t>
      </w:r>
      <w:hyperlink w:anchor="_ENREF_41" w:tooltip="Ministry of Health, 2012 #929" w:history="1">
        <w:r w:rsidRPr="00EF51A6">
          <w:rPr>
            <w:rFonts w:asciiTheme="minorHAnsi" w:hAnsiTheme="minorHAnsi"/>
            <w:noProof/>
            <w:sz w:val="18"/>
            <w:szCs w:val="18"/>
          </w:rPr>
          <w:t>2012b</w:t>
        </w:r>
      </w:hyperlink>
      <w:r w:rsidRPr="00EF51A6">
        <w:rPr>
          <w:rFonts w:asciiTheme="minorHAnsi" w:hAnsiTheme="minorHAnsi"/>
          <w:noProof/>
          <w:sz w:val="18"/>
          <w:szCs w:val="18"/>
        </w:rPr>
        <w:t>)</w:t>
      </w:r>
      <w:r w:rsidRPr="00EF51A6">
        <w:rPr>
          <w:rFonts w:asciiTheme="minorHAnsi" w:hAnsiTheme="minorHAnsi"/>
          <w:sz w:val="18"/>
          <w:szCs w:val="18"/>
        </w:rPr>
        <w:fldChar w:fldCharType="end"/>
      </w:r>
      <w:r w:rsidRPr="00EF51A6">
        <w:rPr>
          <w:rFonts w:asciiTheme="minorHAnsi" w:hAnsiTheme="minorHAnsi"/>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C59C9" w14:textId="77777777" w:rsidR="00B81E76" w:rsidRDefault="00B81E7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83DF1" w14:textId="77777777" w:rsidR="00B81E76" w:rsidRDefault="00B81E7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2C5C3" w14:textId="77777777" w:rsidR="00B81E76" w:rsidRDefault="00B81E7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B241B" w14:textId="77777777" w:rsidR="00B81E76" w:rsidRDefault="00B81E7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1EEF1" w14:textId="77777777" w:rsidR="00B81E76" w:rsidRDefault="00B81E7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2116F0" w14:textId="77777777" w:rsidR="00B81E76" w:rsidRDefault="00B81E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D05B7"/>
    <w:multiLevelType w:val="multilevel"/>
    <w:tmpl w:val="EE96A186"/>
    <w:lvl w:ilvl="0">
      <w:start w:val="1"/>
      <w:numFmt w:val="decimal"/>
      <w:pStyle w:val="bulletnumbered"/>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0A4F31EA"/>
    <w:multiLevelType w:val="hybridMultilevel"/>
    <w:tmpl w:val="414A40CC"/>
    <w:lvl w:ilvl="0" w:tplc="98822FC4">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
    <w:nsid w:val="0BCD79FC"/>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
    <w:nsid w:val="0F8A4A74"/>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4">
    <w:nsid w:val="0FDA4A83"/>
    <w:multiLevelType w:val="hybridMultilevel"/>
    <w:tmpl w:val="9E50E8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nsid w:val="102219A9"/>
    <w:multiLevelType w:val="hybridMultilevel"/>
    <w:tmpl w:val="A53C81A8"/>
    <w:lvl w:ilvl="0" w:tplc="BE963214">
      <w:start w:val="1"/>
      <w:numFmt w:val="decimal"/>
      <w:lvlText w:val="%1."/>
      <w:lvlJc w:val="left"/>
      <w:pPr>
        <w:ind w:left="720" w:hanging="360"/>
      </w:pPr>
      <w:rPr>
        <w:rFonts w:cstheme="minorHAnsi" w:hint="default"/>
        <w:sz w:val="16"/>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10B10F11"/>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7">
    <w:nsid w:val="11076FD1"/>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8">
    <w:nsid w:val="143E4E4F"/>
    <w:multiLevelType w:val="hybridMultilevel"/>
    <w:tmpl w:val="C3FC502A"/>
    <w:lvl w:ilvl="0" w:tplc="62F6DAFE">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9">
    <w:nsid w:val="15063D6D"/>
    <w:multiLevelType w:val="hybridMultilevel"/>
    <w:tmpl w:val="284C2E48"/>
    <w:lvl w:ilvl="0" w:tplc="1F5A17F2">
      <w:start w:val="1"/>
      <w:numFmt w:val="decimal"/>
      <w:lvlText w:val="%1."/>
      <w:lvlJc w:val="left"/>
      <w:pPr>
        <w:ind w:left="1211" w:hanging="360"/>
      </w:pPr>
      <w:rPr>
        <w:rFonts w:hint="default"/>
      </w:rPr>
    </w:lvl>
    <w:lvl w:ilvl="1" w:tplc="14090019" w:tentative="1">
      <w:start w:val="1"/>
      <w:numFmt w:val="lowerLetter"/>
      <w:lvlText w:val="%2."/>
      <w:lvlJc w:val="left"/>
      <w:pPr>
        <w:ind w:left="1931" w:hanging="360"/>
      </w:pPr>
    </w:lvl>
    <w:lvl w:ilvl="2" w:tplc="1409001B" w:tentative="1">
      <w:start w:val="1"/>
      <w:numFmt w:val="lowerRoman"/>
      <w:lvlText w:val="%3."/>
      <w:lvlJc w:val="right"/>
      <w:pPr>
        <w:ind w:left="2651" w:hanging="180"/>
      </w:pPr>
    </w:lvl>
    <w:lvl w:ilvl="3" w:tplc="1409000F" w:tentative="1">
      <w:start w:val="1"/>
      <w:numFmt w:val="decimal"/>
      <w:lvlText w:val="%4."/>
      <w:lvlJc w:val="left"/>
      <w:pPr>
        <w:ind w:left="3371" w:hanging="360"/>
      </w:pPr>
    </w:lvl>
    <w:lvl w:ilvl="4" w:tplc="14090019" w:tentative="1">
      <w:start w:val="1"/>
      <w:numFmt w:val="lowerLetter"/>
      <w:lvlText w:val="%5."/>
      <w:lvlJc w:val="left"/>
      <w:pPr>
        <w:ind w:left="4091" w:hanging="360"/>
      </w:pPr>
    </w:lvl>
    <w:lvl w:ilvl="5" w:tplc="1409001B" w:tentative="1">
      <w:start w:val="1"/>
      <w:numFmt w:val="lowerRoman"/>
      <w:lvlText w:val="%6."/>
      <w:lvlJc w:val="right"/>
      <w:pPr>
        <w:ind w:left="4811" w:hanging="180"/>
      </w:pPr>
    </w:lvl>
    <w:lvl w:ilvl="6" w:tplc="1409000F" w:tentative="1">
      <w:start w:val="1"/>
      <w:numFmt w:val="decimal"/>
      <w:lvlText w:val="%7."/>
      <w:lvlJc w:val="left"/>
      <w:pPr>
        <w:ind w:left="5531" w:hanging="360"/>
      </w:pPr>
    </w:lvl>
    <w:lvl w:ilvl="7" w:tplc="14090019" w:tentative="1">
      <w:start w:val="1"/>
      <w:numFmt w:val="lowerLetter"/>
      <w:lvlText w:val="%8."/>
      <w:lvlJc w:val="left"/>
      <w:pPr>
        <w:ind w:left="6251" w:hanging="360"/>
      </w:pPr>
    </w:lvl>
    <w:lvl w:ilvl="8" w:tplc="1409001B" w:tentative="1">
      <w:start w:val="1"/>
      <w:numFmt w:val="lowerRoman"/>
      <w:lvlText w:val="%9."/>
      <w:lvlJc w:val="right"/>
      <w:pPr>
        <w:ind w:left="6971" w:hanging="180"/>
      </w:pPr>
    </w:lvl>
  </w:abstractNum>
  <w:abstractNum w:abstractNumId="10">
    <w:nsid w:val="15896980"/>
    <w:multiLevelType w:val="hybridMultilevel"/>
    <w:tmpl w:val="2B06E9D6"/>
    <w:lvl w:ilvl="0" w:tplc="A91071EE">
      <w:start w:val="1"/>
      <w:numFmt w:val="decimal"/>
      <w:lvlText w:val="%1."/>
      <w:lvlJc w:val="left"/>
      <w:pPr>
        <w:ind w:left="688" w:hanging="360"/>
      </w:pPr>
      <w:rPr>
        <w:rFonts w:hint="default"/>
      </w:rPr>
    </w:lvl>
    <w:lvl w:ilvl="1" w:tplc="14090019" w:tentative="1">
      <w:start w:val="1"/>
      <w:numFmt w:val="lowerLetter"/>
      <w:lvlText w:val="%2."/>
      <w:lvlJc w:val="left"/>
      <w:pPr>
        <w:ind w:left="1408" w:hanging="360"/>
      </w:pPr>
    </w:lvl>
    <w:lvl w:ilvl="2" w:tplc="1409001B" w:tentative="1">
      <w:start w:val="1"/>
      <w:numFmt w:val="lowerRoman"/>
      <w:lvlText w:val="%3."/>
      <w:lvlJc w:val="right"/>
      <w:pPr>
        <w:ind w:left="2128" w:hanging="180"/>
      </w:pPr>
    </w:lvl>
    <w:lvl w:ilvl="3" w:tplc="1409000F" w:tentative="1">
      <w:start w:val="1"/>
      <w:numFmt w:val="decimal"/>
      <w:lvlText w:val="%4."/>
      <w:lvlJc w:val="left"/>
      <w:pPr>
        <w:ind w:left="2848" w:hanging="360"/>
      </w:pPr>
    </w:lvl>
    <w:lvl w:ilvl="4" w:tplc="14090019" w:tentative="1">
      <w:start w:val="1"/>
      <w:numFmt w:val="lowerLetter"/>
      <w:lvlText w:val="%5."/>
      <w:lvlJc w:val="left"/>
      <w:pPr>
        <w:ind w:left="3568" w:hanging="360"/>
      </w:pPr>
    </w:lvl>
    <w:lvl w:ilvl="5" w:tplc="1409001B" w:tentative="1">
      <w:start w:val="1"/>
      <w:numFmt w:val="lowerRoman"/>
      <w:lvlText w:val="%6."/>
      <w:lvlJc w:val="right"/>
      <w:pPr>
        <w:ind w:left="4288" w:hanging="180"/>
      </w:pPr>
    </w:lvl>
    <w:lvl w:ilvl="6" w:tplc="1409000F" w:tentative="1">
      <w:start w:val="1"/>
      <w:numFmt w:val="decimal"/>
      <w:lvlText w:val="%7."/>
      <w:lvlJc w:val="left"/>
      <w:pPr>
        <w:ind w:left="5008" w:hanging="360"/>
      </w:pPr>
    </w:lvl>
    <w:lvl w:ilvl="7" w:tplc="14090019" w:tentative="1">
      <w:start w:val="1"/>
      <w:numFmt w:val="lowerLetter"/>
      <w:lvlText w:val="%8."/>
      <w:lvlJc w:val="left"/>
      <w:pPr>
        <w:ind w:left="5728" w:hanging="360"/>
      </w:pPr>
    </w:lvl>
    <w:lvl w:ilvl="8" w:tplc="1409001B" w:tentative="1">
      <w:start w:val="1"/>
      <w:numFmt w:val="lowerRoman"/>
      <w:lvlText w:val="%9."/>
      <w:lvlJc w:val="right"/>
      <w:pPr>
        <w:ind w:left="6448" w:hanging="180"/>
      </w:pPr>
    </w:lvl>
  </w:abstractNum>
  <w:abstractNum w:abstractNumId="11">
    <w:nsid w:val="15A220C3"/>
    <w:multiLevelType w:val="hybridMultilevel"/>
    <w:tmpl w:val="2C60B9EA"/>
    <w:lvl w:ilvl="0" w:tplc="14090003">
      <w:start w:val="1"/>
      <w:numFmt w:val="bullet"/>
      <w:lvlText w:val="o"/>
      <w:lvlJc w:val="left"/>
      <w:pPr>
        <w:ind w:left="360" w:hanging="360"/>
      </w:pPr>
      <w:rPr>
        <w:rFonts w:ascii="Courier New" w:hAnsi="Courier New" w:cs="Courier New"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
    <w:nsid w:val="16F32B6B"/>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13">
    <w:nsid w:val="170F45A3"/>
    <w:multiLevelType w:val="hybridMultilevel"/>
    <w:tmpl w:val="B29A42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nsid w:val="178E4613"/>
    <w:multiLevelType w:val="hybridMultilevel"/>
    <w:tmpl w:val="CCFC8A4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nsid w:val="186B6C7E"/>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16">
    <w:nsid w:val="18761835"/>
    <w:multiLevelType w:val="hybridMultilevel"/>
    <w:tmpl w:val="2B06E9D6"/>
    <w:lvl w:ilvl="0" w:tplc="A91071E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7">
    <w:nsid w:val="18DB2C67"/>
    <w:multiLevelType w:val="hybridMultilevel"/>
    <w:tmpl w:val="B3FEA108"/>
    <w:lvl w:ilvl="0" w:tplc="7D28EF30">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8">
    <w:nsid w:val="18EC4078"/>
    <w:multiLevelType w:val="hybridMultilevel"/>
    <w:tmpl w:val="A144297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nsid w:val="19551688"/>
    <w:multiLevelType w:val="hybridMultilevel"/>
    <w:tmpl w:val="4F062E12"/>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0">
    <w:nsid w:val="1B3F6FBD"/>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21">
    <w:nsid w:val="1B4C7552"/>
    <w:multiLevelType w:val="hybridMultilevel"/>
    <w:tmpl w:val="C716098E"/>
    <w:lvl w:ilvl="0" w:tplc="80829410">
      <w:start w:val="1"/>
      <w:numFmt w:val="decimal"/>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22">
    <w:nsid w:val="1BE00BDB"/>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23">
    <w:nsid w:val="1EA72B18"/>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24">
    <w:nsid w:val="20493AD8"/>
    <w:multiLevelType w:val="hybridMultilevel"/>
    <w:tmpl w:val="2B06E9D6"/>
    <w:lvl w:ilvl="0" w:tplc="A91071EE">
      <w:start w:val="1"/>
      <w:numFmt w:val="decimal"/>
      <w:lvlText w:val="%1."/>
      <w:lvlJc w:val="left"/>
      <w:pPr>
        <w:ind w:left="644" w:hanging="360"/>
      </w:pPr>
      <w:rPr>
        <w:rFonts w:hint="default"/>
      </w:rPr>
    </w:lvl>
    <w:lvl w:ilvl="1" w:tplc="14090019">
      <w:start w:val="1"/>
      <w:numFmt w:val="lowerLetter"/>
      <w:lvlText w:val="%2."/>
      <w:lvlJc w:val="left"/>
      <w:pPr>
        <w:ind w:left="1364" w:hanging="360"/>
      </w:pPr>
    </w:lvl>
    <w:lvl w:ilvl="2" w:tplc="1409001B">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5">
    <w:nsid w:val="20576D1C"/>
    <w:multiLevelType w:val="hybridMultilevel"/>
    <w:tmpl w:val="0B5E534A"/>
    <w:lvl w:ilvl="0" w:tplc="AF141990">
      <w:start w:val="1"/>
      <w:numFmt w:val="decimal"/>
      <w:lvlText w:val="%1."/>
      <w:lvlJc w:val="left"/>
      <w:pPr>
        <w:ind w:left="720" w:hanging="360"/>
      </w:pPr>
      <w:rPr>
        <w:rFonts w:cstheme="minorHAnsi" w:hint="default"/>
        <w:sz w:val="16"/>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nsid w:val="21562026"/>
    <w:multiLevelType w:val="hybridMultilevel"/>
    <w:tmpl w:val="C716098E"/>
    <w:lvl w:ilvl="0" w:tplc="80829410">
      <w:start w:val="1"/>
      <w:numFmt w:val="decimal"/>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27">
    <w:nsid w:val="222F122C"/>
    <w:multiLevelType w:val="hybridMultilevel"/>
    <w:tmpl w:val="C74A0D28"/>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8">
    <w:nsid w:val="236A47B0"/>
    <w:multiLevelType w:val="hybridMultilevel"/>
    <w:tmpl w:val="4EDEFE8A"/>
    <w:lvl w:ilvl="0" w:tplc="BDE6DB8E">
      <w:start w:val="1"/>
      <w:numFmt w:val="decimal"/>
      <w:pStyle w:val="Subhead4b"/>
      <w:lvlText w:val="4.1.%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nsid w:val="25F14663"/>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0">
    <w:nsid w:val="28DD5A04"/>
    <w:multiLevelType w:val="hybridMultilevel"/>
    <w:tmpl w:val="47B20EC6"/>
    <w:lvl w:ilvl="0" w:tplc="1409001B">
      <w:start w:val="1"/>
      <w:numFmt w:val="lowerRoman"/>
      <w:lvlText w:val="%1."/>
      <w:lvlJc w:val="right"/>
      <w:pPr>
        <w:ind w:left="1146" w:hanging="360"/>
      </w:pPr>
    </w:lvl>
    <w:lvl w:ilvl="1" w:tplc="14090019">
      <w:start w:val="1"/>
      <w:numFmt w:val="lowerLetter"/>
      <w:lvlText w:val="%2."/>
      <w:lvlJc w:val="left"/>
      <w:pPr>
        <w:ind w:left="1866" w:hanging="360"/>
      </w:pPr>
    </w:lvl>
    <w:lvl w:ilvl="2" w:tplc="1409001B" w:tentative="1">
      <w:start w:val="1"/>
      <w:numFmt w:val="lowerRoman"/>
      <w:lvlText w:val="%3."/>
      <w:lvlJc w:val="right"/>
      <w:pPr>
        <w:ind w:left="2586" w:hanging="180"/>
      </w:pPr>
    </w:lvl>
    <w:lvl w:ilvl="3" w:tplc="1409000F" w:tentative="1">
      <w:start w:val="1"/>
      <w:numFmt w:val="decimal"/>
      <w:lvlText w:val="%4."/>
      <w:lvlJc w:val="left"/>
      <w:pPr>
        <w:ind w:left="3306" w:hanging="360"/>
      </w:pPr>
    </w:lvl>
    <w:lvl w:ilvl="4" w:tplc="14090019" w:tentative="1">
      <w:start w:val="1"/>
      <w:numFmt w:val="lowerLetter"/>
      <w:lvlText w:val="%5."/>
      <w:lvlJc w:val="left"/>
      <w:pPr>
        <w:ind w:left="4026" w:hanging="360"/>
      </w:pPr>
    </w:lvl>
    <w:lvl w:ilvl="5" w:tplc="1409001B" w:tentative="1">
      <w:start w:val="1"/>
      <w:numFmt w:val="lowerRoman"/>
      <w:lvlText w:val="%6."/>
      <w:lvlJc w:val="right"/>
      <w:pPr>
        <w:ind w:left="4746" w:hanging="180"/>
      </w:pPr>
    </w:lvl>
    <w:lvl w:ilvl="6" w:tplc="1409000F" w:tentative="1">
      <w:start w:val="1"/>
      <w:numFmt w:val="decimal"/>
      <w:lvlText w:val="%7."/>
      <w:lvlJc w:val="left"/>
      <w:pPr>
        <w:ind w:left="5466" w:hanging="360"/>
      </w:pPr>
    </w:lvl>
    <w:lvl w:ilvl="7" w:tplc="14090019" w:tentative="1">
      <w:start w:val="1"/>
      <w:numFmt w:val="lowerLetter"/>
      <w:lvlText w:val="%8."/>
      <w:lvlJc w:val="left"/>
      <w:pPr>
        <w:ind w:left="6186" w:hanging="360"/>
      </w:pPr>
    </w:lvl>
    <w:lvl w:ilvl="8" w:tplc="1409001B" w:tentative="1">
      <w:start w:val="1"/>
      <w:numFmt w:val="lowerRoman"/>
      <w:lvlText w:val="%9."/>
      <w:lvlJc w:val="right"/>
      <w:pPr>
        <w:ind w:left="6906" w:hanging="180"/>
      </w:pPr>
    </w:lvl>
  </w:abstractNum>
  <w:abstractNum w:abstractNumId="31">
    <w:nsid w:val="2ABD5DC3"/>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2">
    <w:nsid w:val="2BE10D9F"/>
    <w:multiLevelType w:val="hybridMultilevel"/>
    <w:tmpl w:val="0B5E534A"/>
    <w:lvl w:ilvl="0" w:tplc="AF141990">
      <w:start w:val="1"/>
      <w:numFmt w:val="decimal"/>
      <w:lvlText w:val="%1."/>
      <w:lvlJc w:val="left"/>
      <w:pPr>
        <w:ind w:left="1353" w:hanging="360"/>
      </w:pPr>
      <w:rPr>
        <w:rFonts w:cstheme="minorHAnsi" w:hint="default"/>
        <w:sz w:val="16"/>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3">
    <w:nsid w:val="2C334CCB"/>
    <w:multiLevelType w:val="hybridMultilevel"/>
    <w:tmpl w:val="B8A66FE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nsid w:val="2C5E5CDF"/>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5">
    <w:nsid w:val="2F493183"/>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36">
    <w:nsid w:val="2F8A0B66"/>
    <w:multiLevelType w:val="hybridMultilevel"/>
    <w:tmpl w:val="AEB4DA9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nsid w:val="32A23334"/>
    <w:multiLevelType w:val="hybridMultilevel"/>
    <w:tmpl w:val="C3FC502A"/>
    <w:lvl w:ilvl="0" w:tplc="62F6DAFE">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38">
    <w:nsid w:val="333C38C4"/>
    <w:multiLevelType w:val="hybridMultilevel"/>
    <w:tmpl w:val="E8D00F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nsid w:val="350409A6"/>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40">
    <w:nsid w:val="37307E08"/>
    <w:multiLevelType w:val="hybridMultilevel"/>
    <w:tmpl w:val="2B06E9D6"/>
    <w:lvl w:ilvl="0" w:tplc="A91071EE">
      <w:start w:val="1"/>
      <w:numFmt w:val="decimal"/>
      <w:lvlText w:val="%1."/>
      <w:lvlJc w:val="left"/>
      <w:pPr>
        <w:ind w:left="644" w:hanging="360"/>
      </w:pPr>
      <w:rPr>
        <w:rFonts w:hint="default"/>
      </w:rPr>
    </w:lvl>
    <w:lvl w:ilvl="1" w:tplc="14090019">
      <w:start w:val="1"/>
      <w:numFmt w:val="lowerLetter"/>
      <w:lvlText w:val="%2."/>
      <w:lvlJc w:val="left"/>
      <w:pPr>
        <w:ind w:left="1364" w:hanging="360"/>
      </w:pPr>
    </w:lvl>
    <w:lvl w:ilvl="2" w:tplc="1409001B">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41">
    <w:nsid w:val="38F8531A"/>
    <w:multiLevelType w:val="hybridMultilevel"/>
    <w:tmpl w:val="2B06E9D6"/>
    <w:lvl w:ilvl="0" w:tplc="A91071E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42">
    <w:nsid w:val="39250213"/>
    <w:multiLevelType w:val="hybridMultilevel"/>
    <w:tmpl w:val="795AF326"/>
    <w:lvl w:ilvl="0" w:tplc="C53C2ECA">
      <w:start w:val="2"/>
      <w:numFmt w:val="bullet"/>
      <w:lvlText w:val="-"/>
      <w:lvlJc w:val="left"/>
      <w:pPr>
        <w:ind w:left="798" w:hanging="360"/>
      </w:pPr>
      <w:rPr>
        <w:rFonts w:ascii="Calibri" w:eastAsia="Times New Roman" w:hAnsi="Calibri" w:cs="Calibri" w:hint="default"/>
      </w:rPr>
    </w:lvl>
    <w:lvl w:ilvl="1" w:tplc="14090003" w:tentative="1">
      <w:start w:val="1"/>
      <w:numFmt w:val="bullet"/>
      <w:lvlText w:val="o"/>
      <w:lvlJc w:val="left"/>
      <w:pPr>
        <w:ind w:left="1518" w:hanging="360"/>
      </w:pPr>
      <w:rPr>
        <w:rFonts w:ascii="Courier New" w:hAnsi="Courier New" w:cs="Courier New" w:hint="default"/>
      </w:rPr>
    </w:lvl>
    <w:lvl w:ilvl="2" w:tplc="14090005" w:tentative="1">
      <w:start w:val="1"/>
      <w:numFmt w:val="bullet"/>
      <w:lvlText w:val=""/>
      <w:lvlJc w:val="left"/>
      <w:pPr>
        <w:ind w:left="2238" w:hanging="360"/>
      </w:pPr>
      <w:rPr>
        <w:rFonts w:ascii="Wingdings" w:hAnsi="Wingdings" w:hint="default"/>
      </w:rPr>
    </w:lvl>
    <w:lvl w:ilvl="3" w:tplc="14090001" w:tentative="1">
      <w:start w:val="1"/>
      <w:numFmt w:val="bullet"/>
      <w:lvlText w:val=""/>
      <w:lvlJc w:val="left"/>
      <w:pPr>
        <w:ind w:left="2958" w:hanging="360"/>
      </w:pPr>
      <w:rPr>
        <w:rFonts w:ascii="Symbol" w:hAnsi="Symbol" w:hint="default"/>
      </w:rPr>
    </w:lvl>
    <w:lvl w:ilvl="4" w:tplc="14090003" w:tentative="1">
      <w:start w:val="1"/>
      <w:numFmt w:val="bullet"/>
      <w:lvlText w:val="o"/>
      <w:lvlJc w:val="left"/>
      <w:pPr>
        <w:ind w:left="3678" w:hanging="360"/>
      </w:pPr>
      <w:rPr>
        <w:rFonts w:ascii="Courier New" w:hAnsi="Courier New" w:cs="Courier New" w:hint="default"/>
      </w:rPr>
    </w:lvl>
    <w:lvl w:ilvl="5" w:tplc="14090005" w:tentative="1">
      <w:start w:val="1"/>
      <w:numFmt w:val="bullet"/>
      <w:lvlText w:val=""/>
      <w:lvlJc w:val="left"/>
      <w:pPr>
        <w:ind w:left="4398" w:hanging="360"/>
      </w:pPr>
      <w:rPr>
        <w:rFonts w:ascii="Wingdings" w:hAnsi="Wingdings" w:hint="default"/>
      </w:rPr>
    </w:lvl>
    <w:lvl w:ilvl="6" w:tplc="14090001" w:tentative="1">
      <w:start w:val="1"/>
      <w:numFmt w:val="bullet"/>
      <w:lvlText w:val=""/>
      <w:lvlJc w:val="left"/>
      <w:pPr>
        <w:ind w:left="5118" w:hanging="360"/>
      </w:pPr>
      <w:rPr>
        <w:rFonts w:ascii="Symbol" w:hAnsi="Symbol" w:hint="default"/>
      </w:rPr>
    </w:lvl>
    <w:lvl w:ilvl="7" w:tplc="14090003" w:tentative="1">
      <w:start w:val="1"/>
      <w:numFmt w:val="bullet"/>
      <w:lvlText w:val="o"/>
      <w:lvlJc w:val="left"/>
      <w:pPr>
        <w:ind w:left="5838" w:hanging="360"/>
      </w:pPr>
      <w:rPr>
        <w:rFonts w:ascii="Courier New" w:hAnsi="Courier New" w:cs="Courier New" w:hint="default"/>
      </w:rPr>
    </w:lvl>
    <w:lvl w:ilvl="8" w:tplc="14090005" w:tentative="1">
      <w:start w:val="1"/>
      <w:numFmt w:val="bullet"/>
      <w:lvlText w:val=""/>
      <w:lvlJc w:val="left"/>
      <w:pPr>
        <w:ind w:left="6558" w:hanging="360"/>
      </w:pPr>
      <w:rPr>
        <w:rFonts w:ascii="Wingdings" w:hAnsi="Wingdings" w:hint="default"/>
      </w:rPr>
    </w:lvl>
  </w:abstractNum>
  <w:abstractNum w:abstractNumId="43">
    <w:nsid w:val="3C8215BE"/>
    <w:multiLevelType w:val="hybridMultilevel"/>
    <w:tmpl w:val="C716098E"/>
    <w:lvl w:ilvl="0" w:tplc="80829410">
      <w:start w:val="1"/>
      <w:numFmt w:val="decimal"/>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44">
    <w:nsid w:val="3C930535"/>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45">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6">
    <w:nsid w:val="3E8F2391"/>
    <w:multiLevelType w:val="hybridMultilevel"/>
    <w:tmpl w:val="E40E743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7">
    <w:nsid w:val="3F8A3FCE"/>
    <w:multiLevelType w:val="hybridMultilevel"/>
    <w:tmpl w:val="5A5C0BE0"/>
    <w:lvl w:ilvl="0" w:tplc="C53C2ECA">
      <w:start w:val="2"/>
      <w:numFmt w:val="bullet"/>
      <w:lvlText w:val="-"/>
      <w:lvlJc w:val="left"/>
      <w:pPr>
        <w:ind w:left="360" w:hanging="360"/>
      </w:pPr>
      <w:rPr>
        <w:rFonts w:ascii="Calibri" w:eastAsia="Times New Roman" w:hAnsi="Calibri" w:cs="Calibr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nsid w:val="4336339D"/>
    <w:multiLevelType w:val="hybridMultilevel"/>
    <w:tmpl w:val="C3FC502A"/>
    <w:lvl w:ilvl="0" w:tplc="62F6DAFE">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49">
    <w:nsid w:val="45687853"/>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50">
    <w:nsid w:val="45C27806"/>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51">
    <w:nsid w:val="45FE6C4F"/>
    <w:multiLevelType w:val="multilevel"/>
    <w:tmpl w:val="D99020E0"/>
    <w:lvl w:ilvl="0">
      <w:start w:val="1"/>
      <w:numFmt w:val="decimal"/>
      <w:pStyle w:val="Heading1"/>
      <w:lvlText w:val="%1."/>
      <w:lvlJc w:val="left"/>
      <w:pPr>
        <w:ind w:left="360" w:hanging="360"/>
      </w:pPr>
      <w:rPr>
        <w:rFonts w:hint="default"/>
      </w:rPr>
    </w:lvl>
    <w:lvl w:ilvl="1">
      <w:start w:val="6"/>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52">
    <w:nsid w:val="46ED3F90"/>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53">
    <w:nsid w:val="48DE341E"/>
    <w:multiLevelType w:val="hybridMultilevel"/>
    <w:tmpl w:val="2B06E9D6"/>
    <w:lvl w:ilvl="0" w:tplc="A91071E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54">
    <w:nsid w:val="49C3026E"/>
    <w:multiLevelType w:val="multilevel"/>
    <w:tmpl w:val="052222EC"/>
    <w:lvl w:ilvl="0">
      <w:start w:val="1"/>
      <w:numFmt w:val="decimal"/>
      <w:pStyle w:val="StyleHeading114pt"/>
      <w:lvlText w:val="%1."/>
      <w:lvlJc w:val="left"/>
      <w:pPr>
        <w:tabs>
          <w:tab w:val="num" w:pos="359"/>
        </w:tabs>
        <w:ind w:left="359" w:hanging="360"/>
      </w:pPr>
      <w:rPr>
        <w:rFonts w:cs="Times New Roman" w:hint="default"/>
      </w:rPr>
    </w:lvl>
    <w:lvl w:ilvl="1">
      <w:start w:val="1"/>
      <w:numFmt w:val="decimal"/>
      <w:pStyle w:val="StyleHeading212pt"/>
      <w:lvlText w:val="%1.%2"/>
      <w:lvlJc w:val="left"/>
      <w:pPr>
        <w:tabs>
          <w:tab w:val="num" w:pos="967"/>
        </w:tabs>
        <w:ind w:left="679" w:hanging="679"/>
      </w:pPr>
      <w:rPr>
        <w:rFonts w:cs="Times New Roman" w:hint="default"/>
      </w:rPr>
    </w:lvl>
    <w:lvl w:ilvl="2">
      <w:start w:val="1"/>
      <w:numFmt w:val="decimal"/>
      <w:pStyle w:val="StyleHeading3Left02cmFirstline0cm"/>
      <w:lvlText w:val="%1.%2.%3"/>
      <w:lvlJc w:val="left"/>
      <w:pPr>
        <w:tabs>
          <w:tab w:val="num" w:pos="4199"/>
        </w:tabs>
        <w:ind w:left="3623" w:hanging="504"/>
      </w:pPr>
      <w:rPr>
        <w:rFonts w:cs="Times New Roman" w:hint="default"/>
      </w:rPr>
    </w:lvl>
    <w:lvl w:ilvl="3">
      <w:start w:val="1"/>
      <w:numFmt w:val="decimal"/>
      <w:lvlText w:val="%1.%2.%3.%4."/>
      <w:lvlJc w:val="left"/>
      <w:pPr>
        <w:tabs>
          <w:tab w:val="num" w:pos="2159"/>
        </w:tabs>
        <w:ind w:left="1727" w:hanging="648"/>
      </w:pPr>
      <w:rPr>
        <w:rFonts w:cs="Times New Roman" w:hint="default"/>
      </w:rPr>
    </w:lvl>
    <w:lvl w:ilvl="4">
      <w:start w:val="1"/>
      <w:numFmt w:val="decimal"/>
      <w:lvlText w:val="%1.%2.%3.%4.%5."/>
      <w:lvlJc w:val="left"/>
      <w:pPr>
        <w:tabs>
          <w:tab w:val="num" w:pos="2879"/>
        </w:tabs>
        <w:ind w:left="2231" w:hanging="792"/>
      </w:pPr>
      <w:rPr>
        <w:rFonts w:cs="Times New Roman" w:hint="default"/>
      </w:rPr>
    </w:lvl>
    <w:lvl w:ilvl="5">
      <w:start w:val="1"/>
      <w:numFmt w:val="decimal"/>
      <w:lvlText w:val="%1.%2.%3.%4.%5.%6."/>
      <w:lvlJc w:val="left"/>
      <w:pPr>
        <w:tabs>
          <w:tab w:val="num" w:pos="3599"/>
        </w:tabs>
        <w:ind w:left="2735" w:hanging="936"/>
      </w:pPr>
      <w:rPr>
        <w:rFonts w:cs="Times New Roman" w:hint="default"/>
      </w:rPr>
    </w:lvl>
    <w:lvl w:ilvl="6">
      <w:start w:val="1"/>
      <w:numFmt w:val="decimal"/>
      <w:lvlText w:val="%1.%2.%3.%4.%5.%6.%7."/>
      <w:lvlJc w:val="left"/>
      <w:pPr>
        <w:tabs>
          <w:tab w:val="num" w:pos="4319"/>
        </w:tabs>
        <w:ind w:left="3239" w:hanging="1080"/>
      </w:pPr>
      <w:rPr>
        <w:rFonts w:cs="Times New Roman" w:hint="default"/>
      </w:rPr>
    </w:lvl>
    <w:lvl w:ilvl="7">
      <w:start w:val="1"/>
      <w:numFmt w:val="decimal"/>
      <w:lvlText w:val="%1.%2.%3.%4.%5.%6.%7.%8."/>
      <w:lvlJc w:val="left"/>
      <w:pPr>
        <w:tabs>
          <w:tab w:val="num" w:pos="4679"/>
        </w:tabs>
        <w:ind w:left="3743" w:hanging="1224"/>
      </w:pPr>
      <w:rPr>
        <w:rFonts w:cs="Times New Roman" w:hint="default"/>
      </w:rPr>
    </w:lvl>
    <w:lvl w:ilvl="8">
      <w:start w:val="1"/>
      <w:numFmt w:val="decimal"/>
      <w:lvlText w:val="%1.%2.%3.%4.%5.%6.%7.%8.%9."/>
      <w:lvlJc w:val="left"/>
      <w:pPr>
        <w:tabs>
          <w:tab w:val="num" w:pos="5399"/>
        </w:tabs>
        <w:ind w:left="4319" w:hanging="1440"/>
      </w:pPr>
      <w:rPr>
        <w:rFonts w:cs="Times New Roman" w:hint="default"/>
      </w:rPr>
    </w:lvl>
  </w:abstractNum>
  <w:abstractNum w:abstractNumId="55">
    <w:nsid w:val="4B1B01E0"/>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56">
    <w:nsid w:val="4B8158FA"/>
    <w:multiLevelType w:val="hybridMultilevel"/>
    <w:tmpl w:val="43E651C6"/>
    <w:lvl w:ilvl="0" w:tplc="7FAEB69E">
      <w:start w:val="1"/>
      <w:numFmt w:val="upperLetter"/>
      <w:pStyle w:val="FionasAppendixtitles"/>
      <w:lvlText w:val="Appendix %1"/>
      <w:lvlJc w:val="right"/>
      <w:pPr>
        <w:ind w:left="360" w:hanging="360"/>
      </w:pPr>
      <w:rPr>
        <w:rFonts w:asciiTheme="minorHAnsi" w:hAnsiTheme="minorHAnsi" w:hint="default"/>
        <w:b/>
        <w:i w:val="0"/>
        <w:strike w:val="0"/>
        <w:dstrike w:val="0"/>
        <w:color w:val="244061" w:themeColor="accent1" w:themeShade="80"/>
        <w:sz w:val="22"/>
        <w:vertAlign w:val="baseline"/>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7">
    <w:nsid w:val="4D8E04F7"/>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58">
    <w:nsid w:val="4E7F124F"/>
    <w:multiLevelType w:val="hybridMultilevel"/>
    <w:tmpl w:val="284C2E48"/>
    <w:lvl w:ilvl="0" w:tplc="1F5A17F2">
      <w:start w:val="1"/>
      <w:numFmt w:val="decimal"/>
      <w:lvlText w:val="%1."/>
      <w:lvlJc w:val="left"/>
      <w:pPr>
        <w:ind w:left="1211" w:hanging="360"/>
      </w:pPr>
      <w:rPr>
        <w:rFonts w:hint="default"/>
      </w:rPr>
    </w:lvl>
    <w:lvl w:ilvl="1" w:tplc="14090019" w:tentative="1">
      <w:start w:val="1"/>
      <w:numFmt w:val="lowerLetter"/>
      <w:lvlText w:val="%2."/>
      <w:lvlJc w:val="left"/>
      <w:pPr>
        <w:ind w:left="1931" w:hanging="360"/>
      </w:pPr>
    </w:lvl>
    <w:lvl w:ilvl="2" w:tplc="1409001B" w:tentative="1">
      <w:start w:val="1"/>
      <w:numFmt w:val="lowerRoman"/>
      <w:lvlText w:val="%3."/>
      <w:lvlJc w:val="right"/>
      <w:pPr>
        <w:ind w:left="2651" w:hanging="180"/>
      </w:pPr>
    </w:lvl>
    <w:lvl w:ilvl="3" w:tplc="1409000F" w:tentative="1">
      <w:start w:val="1"/>
      <w:numFmt w:val="decimal"/>
      <w:lvlText w:val="%4."/>
      <w:lvlJc w:val="left"/>
      <w:pPr>
        <w:ind w:left="3371" w:hanging="360"/>
      </w:pPr>
    </w:lvl>
    <w:lvl w:ilvl="4" w:tplc="14090019" w:tentative="1">
      <w:start w:val="1"/>
      <w:numFmt w:val="lowerLetter"/>
      <w:lvlText w:val="%5."/>
      <w:lvlJc w:val="left"/>
      <w:pPr>
        <w:ind w:left="4091" w:hanging="360"/>
      </w:pPr>
    </w:lvl>
    <w:lvl w:ilvl="5" w:tplc="1409001B" w:tentative="1">
      <w:start w:val="1"/>
      <w:numFmt w:val="lowerRoman"/>
      <w:lvlText w:val="%6."/>
      <w:lvlJc w:val="right"/>
      <w:pPr>
        <w:ind w:left="4811" w:hanging="180"/>
      </w:pPr>
    </w:lvl>
    <w:lvl w:ilvl="6" w:tplc="1409000F" w:tentative="1">
      <w:start w:val="1"/>
      <w:numFmt w:val="decimal"/>
      <w:lvlText w:val="%7."/>
      <w:lvlJc w:val="left"/>
      <w:pPr>
        <w:ind w:left="5531" w:hanging="360"/>
      </w:pPr>
    </w:lvl>
    <w:lvl w:ilvl="7" w:tplc="14090019" w:tentative="1">
      <w:start w:val="1"/>
      <w:numFmt w:val="lowerLetter"/>
      <w:lvlText w:val="%8."/>
      <w:lvlJc w:val="left"/>
      <w:pPr>
        <w:ind w:left="6251" w:hanging="360"/>
      </w:pPr>
    </w:lvl>
    <w:lvl w:ilvl="8" w:tplc="1409001B" w:tentative="1">
      <w:start w:val="1"/>
      <w:numFmt w:val="lowerRoman"/>
      <w:lvlText w:val="%9."/>
      <w:lvlJc w:val="right"/>
      <w:pPr>
        <w:ind w:left="6971" w:hanging="180"/>
      </w:pPr>
    </w:lvl>
  </w:abstractNum>
  <w:abstractNum w:abstractNumId="59">
    <w:nsid w:val="4EBA6C35"/>
    <w:multiLevelType w:val="hybridMultilevel"/>
    <w:tmpl w:val="8B5E075C"/>
    <w:lvl w:ilvl="0" w:tplc="D0A877A2">
      <w:start w:val="1"/>
      <w:numFmt w:val="decimal"/>
      <w:pStyle w:val="Subhead4a"/>
      <w:lvlText w:val="4.%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0">
    <w:nsid w:val="4EFD076C"/>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61">
    <w:nsid w:val="4F17606C"/>
    <w:multiLevelType w:val="hybridMultilevel"/>
    <w:tmpl w:val="934A060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2">
    <w:nsid w:val="532166DB"/>
    <w:multiLevelType w:val="hybridMultilevel"/>
    <w:tmpl w:val="C3FC502A"/>
    <w:lvl w:ilvl="0" w:tplc="62F6DAFE">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63">
    <w:nsid w:val="537F7EA9"/>
    <w:multiLevelType w:val="hybridMultilevel"/>
    <w:tmpl w:val="2B06E9D6"/>
    <w:lvl w:ilvl="0" w:tplc="A91071E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64">
    <w:nsid w:val="53970EE7"/>
    <w:multiLevelType w:val="hybridMultilevel"/>
    <w:tmpl w:val="480E96FE"/>
    <w:lvl w:ilvl="0" w:tplc="98822FC4">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65">
    <w:nsid w:val="53B45607"/>
    <w:multiLevelType w:val="hybridMultilevel"/>
    <w:tmpl w:val="C3FC502A"/>
    <w:lvl w:ilvl="0" w:tplc="62F6DAFE">
      <w:start w:val="1"/>
      <w:numFmt w:val="decimal"/>
      <w:lvlText w:val="%1."/>
      <w:lvlJc w:val="left"/>
      <w:pPr>
        <w:ind w:left="1069" w:hanging="360"/>
      </w:pPr>
      <w:rPr>
        <w:rFonts w:hint="default"/>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66">
    <w:nsid w:val="552A7B6E"/>
    <w:multiLevelType w:val="hybridMultilevel"/>
    <w:tmpl w:val="9F4465E8"/>
    <w:lvl w:ilvl="0" w:tplc="AB2A1D68">
      <w:start w:val="1"/>
      <w:numFmt w:val="decimal"/>
      <w:lvlText w:val="%1."/>
      <w:lvlJc w:val="left"/>
      <w:pPr>
        <w:ind w:left="720" w:hanging="360"/>
      </w:pPr>
      <w:rPr>
        <w:rFonts w:asciiTheme="minorHAnsi" w:hAnsiTheme="minorHAnsi" w:cstheme="minorHAnsi" w:hint="default"/>
        <w:sz w:val="16"/>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7">
    <w:nsid w:val="55AD18BC"/>
    <w:multiLevelType w:val="hybridMultilevel"/>
    <w:tmpl w:val="B502AEB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8">
    <w:nsid w:val="58D70070"/>
    <w:multiLevelType w:val="hybridMultilevel"/>
    <w:tmpl w:val="E02A6EF6"/>
    <w:lvl w:ilvl="0" w:tplc="C86C9572">
      <w:numFmt w:val="bullet"/>
      <w:lvlText w:val="-"/>
      <w:lvlJc w:val="left"/>
      <w:pPr>
        <w:ind w:left="720" w:hanging="360"/>
      </w:pPr>
      <w:rPr>
        <w:rFonts w:ascii="Calibri" w:eastAsia="Times New Roman" w:hAnsi="Calibri" w:cstheme="minorHAns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9">
    <w:nsid w:val="58DD5133"/>
    <w:multiLevelType w:val="hybridMultilevel"/>
    <w:tmpl w:val="B8BCB882"/>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0">
    <w:nsid w:val="58F03E94"/>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71">
    <w:nsid w:val="5A5403F0"/>
    <w:multiLevelType w:val="hybridMultilevel"/>
    <w:tmpl w:val="5F48D9AE"/>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72">
    <w:nsid w:val="5C905060"/>
    <w:multiLevelType w:val="hybridMultilevel"/>
    <w:tmpl w:val="2B06E9D6"/>
    <w:lvl w:ilvl="0" w:tplc="A91071E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73">
    <w:nsid w:val="5D6414E8"/>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74">
    <w:nsid w:val="5E2031D8"/>
    <w:multiLevelType w:val="hybridMultilevel"/>
    <w:tmpl w:val="E40E743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5">
    <w:nsid w:val="5F1A284D"/>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76">
    <w:nsid w:val="5F783AF8"/>
    <w:multiLevelType w:val="multilevel"/>
    <w:tmpl w:val="D9F639DA"/>
    <w:lvl w:ilvl="0">
      <w:start w:val="2"/>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1"/>
      <w:numFmt w:val="decimal"/>
      <w:pStyle w:val="Subhead3b"/>
      <w:lvlText w:val="3.6.%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7">
    <w:nsid w:val="61E2719B"/>
    <w:multiLevelType w:val="multilevel"/>
    <w:tmpl w:val="37D687F2"/>
    <w:lvl w:ilvl="0">
      <w:start w:val="1"/>
      <w:numFmt w:val="decimal"/>
      <w:lvlText w:val="%1."/>
      <w:lvlJc w:val="left"/>
      <w:pPr>
        <w:ind w:left="1353"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78">
    <w:nsid w:val="62F343B1"/>
    <w:multiLevelType w:val="hybridMultilevel"/>
    <w:tmpl w:val="A53C81A8"/>
    <w:lvl w:ilvl="0" w:tplc="BE963214">
      <w:start w:val="1"/>
      <w:numFmt w:val="decimal"/>
      <w:lvlText w:val="%1."/>
      <w:lvlJc w:val="left"/>
      <w:pPr>
        <w:ind w:left="720" w:hanging="360"/>
      </w:pPr>
      <w:rPr>
        <w:rFonts w:cstheme="minorHAnsi" w:hint="default"/>
        <w:sz w:val="16"/>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9">
    <w:nsid w:val="637252A7"/>
    <w:multiLevelType w:val="hybridMultilevel"/>
    <w:tmpl w:val="6832C980"/>
    <w:lvl w:ilvl="0" w:tplc="23C80EBA">
      <w:start w:val="1"/>
      <w:numFmt w:val="decimal"/>
      <w:lvlText w:val="%1."/>
      <w:lvlJc w:val="left"/>
      <w:pPr>
        <w:ind w:left="2203" w:hanging="360"/>
      </w:pPr>
      <w:rPr>
        <w:rFonts w:hint="default"/>
      </w:rPr>
    </w:lvl>
    <w:lvl w:ilvl="1" w:tplc="14090019" w:tentative="1">
      <w:start w:val="1"/>
      <w:numFmt w:val="lowerLetter"/>
      <w:lvlText w:val="%2."/>
      <w:lvlJc w:val="left"/>
      <w:pPr>
        <w:ind w:left="2923" w:hanging="360"/>
      </w:pPr>
    </w:lvl>
    <w:lvl w:ilvl="2" w:tplc="1409001B" w:tentative="1">
      <w:start w:val="1"/>
      <w:numFmt w:val="lowerRoman"/>
      <w:lvlText w:val="%3."/>
      <w:lvlJc w:val="right"/>
      <w:pPr>
        <w:ind w:left="3643" w:hanging="180"/>
      </w:pPr>
    </w:lvl>
    <w:lvl w:ilvl="3" w:tplc="1409000F" w:tentative="1">
      <w:start w:val="1"/>
      <w:numFmt w:val="decimal"/>
      <w:lvlText w:val="%4."/>
      <w:lvlJc w:val="left"/>
      <w:pPr>
        <w:ind w:left="4363" w:hanging="360"/>
      </w:pPr>
    </w:lvl>
    <w:lvl w:ilvl="4" w:tplc="14090019" w:tentative="1">
      <w:start w:val="1"/>
      <w:numFmt w:val="lowerLetter"/>
      <w:lvlText w:val="%5."/>
      <w:lvlJc w:val="left"/>
      <w:pPr>
        <w:ind w:left="5083" w:hanging="360"/>
      </w:pPr>
    </w:lvl>
    <w:lvl w:ilvl="5" w:tplc="1409001B" w:tentative="1">
      <w:start w:val="1"/>
      <w:numFmt w:val="lowerRoman"/>
      <w:lvlText w:val="%6."/>
      <w:lvlJc w:val="right"/>
      <w:pPr>
        <w:ind w:left="5803" w:hanging="180"/>
      </w:pPr>
    </w:lvl>
    <w:lvl w:ilvl="6" w:tplc="1409000F" w:tentative="1">
      <w:start w:val="1"/>
      <w:numFmt w:val="decimal"/>
      <w:lvlText w:val="%7."/>
      <w:lvlJc w:val="left"/>
      <w:pPr>
        <w:ind w:left="6523" w:hanging="360"/>
      </w:pPr>
    </w:lvl>
    <w:lvl w:ilvl="7" w:tplc="14090019" w:tentative="1">
      <w:start w:val="1"/>
      <w:numFmt w:val="lowerLetter"/>
      <w:lvlText w:val="%8."/>
      <w:lvlJc w:val="left"/>
      <w:pPr>
        <w:ind w:left="7243" w:hanging="360"/>
      </w:pPr>
    </w:lvl>
    <w:lvl w:ilvl="8" w:tplc="1409001B" w:tentative="1">
      <w:start w:val="1"/>
      <w:numFmt w:val="lowerRoman"/>
      <w:lvlText w:val="%9."/>
      <w:lvlJc w:val="right"/>
      <w:pPr>
        <w:ind w:left="7963" w:hanging="180"/>
      </w:pPr>
    </w:lvl>
  </w:abstractNum>
  <w:abstractNum w:abstractNumId="80">
    <w:nsid w:val="6373785F"/>
    <w:multiLevelType w:val="hybridMultilevel"/>
    <w:tmpl w:val="682846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1">
    <w:nsid w:val="69360827"/>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82">
    <w:nsid w:val="6BC24546"/>
    <w:multiLevelType w:val="hybridMultilevel"/>
    <w:tmpl w:val="E40E743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3">
    <w:nsid w:val="6D9666F9"/>
    <w:multiLevelType w:val="hybridMultilevel"/>
    <w:tmpl w:val="ACFA8892"/>
    <w:lvl w:ilvl="0" w:tplc="96D635F0">
      <w:start w:val="1"/>
      <w:numFmt w:val="decimal"/>
      <w:lvlText w:val="%1."/>
      <w:lvlJc w:val="left"/>
      <w:pPr>
        <w:ind w:left="1777" w:hanging="360"/>
      </w:pPr>
      <w:rPr>
        <w:rFonts w:hint="default"/>
      </w:rPr>
    </w:lvl>
    <w:lvl w:ilvl="1" w:tplc="14090019" w:tentative="1">
      <w:start w:val="1"/>
      <w:numFmt w:val="lowerLetter"/>
      <w:lvlText w:val="%2."/>
      <w:lvlJc w:val="left"/>
      <w:pPr>
        <w:ind w:left="2497" w:hanging="360"/>
      </w:pPr>
    </w:lvl>
    <w:lvl w:ilvl="2" w:tplc="1409001B" w:tentative="1">
      <w:start w:val="1"/>
      <w:numFmt w:val="lowerRoman"/>
      <w:lvlText w:val="%3."/>
      <w:lvlJc w:val="right"/>
      <w:pPr>
        <w:ind w:left="3217" w:hanging="180"/>
      </w:pPr>
    </w:lvl>
    <w:lvl w:ilvl="3" w:tplc="1409000F" w:tentative="1">
      <w:start w:val="1"/>
      <w:numFmt w:val="decimal"/>
      <w:lvlText w:val="%4."/>
      <w:lvlJc w:val="left"/>
      <w:pPr>
        <w:ind w:left="3937" w:hanging="360"/>
      </w:pPr>
    </w:lvl>
    <w:lvl w:ilvl="4" w:tplc="14090019" w:tentative="1">
      <w:start w:val="1"/>
      <w:numFmt w:val="lowerLetter"/>
      <w:lvlText w:val="%5."/>
      <w:lvlJc w:val="left"/>
      <w:pPr>
        <w:ind w:left="4657" w:hanging="360"/>
      </w:pPr>
    </w:lvl>
    <w:lvl w:ilvl="5" w:tplc="1409001B" w:tentative="1">
      <w:start w:val="1"/>
      <w:numFmt w:val="lowerRoman"/>
      <w:lvlText w:val="%6."/>
      <w:lvlJc w:val="right"/>
      <w:pPr>
        <w:ind w:left="5377" w:hanging="180"/>
      </w:pPr>
    </w:lvl>
    <w:lvl w:ilvl="6" w:tplc="1409000F" w:tentative="1">
      <w:start w:val="1"/>
      <w:numFmt w:val="decimal"/>
      <w:lvlText w:val="%7."/>
      <w:lvlJc w:val="left"/>
      <w:pPr>
        <w:ind w:left="6097" w:hanging="360"/>
      </w:pPr>
    </w:lvl>
    <w:lvl w:ilvl="7" w:tplc="14090019" w:tentative="1">
      <w:start w:val="1"/>
      <w:numFmt w:val="lowerLetter"/>
      <w:lvlText w:val="%8."/>
      <w:lvlJc w:val="left"/>
      <w:pPr>
        <w:ind w:left="6817" w:hanging="360"/>
      </w:pPr>
    </w:lvl>
    <w:lvl w:ilvl="8" w:tplc="1409001B" w:tentative="1">
      <w:start w:val="1"/>
      <w:numFmt w:val="lowerRoman"/>
      <w:lvlText w:val="%9."/>
      <w:lvlJc w:val="right"/>
      <w:pPr>
        <w:ind w:left="7537" w:hanging="180"/>
      </w:pPr>
    </w:lvl>
  </w:abstractNum>
  <w:abstractNum w:abstractNumId="84">
    <w:nsid w:val="6EA2195F"/>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85">
    <w:nsid w:val="6F2B1233"/>
    <w:multiLevelType w:val="hybridMultilevel"/>
    <w:tmpl w:val="E70E98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nsid w:val="6F6B3413"/>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87">
    <w:nsid w:val="70F94A6D"/>
    <w:multiLevelType w:val="hybridMultilevel"/>
    <w:tmpl w:val="2B06E9D6"/>
    <w:lvl w:ilvl="0" w:tplc="A91071EE">
      <w:start w:val="1"/>
      <w:numFmt w:val="decimal"/>
      <w:lvlText w:val="%1."/>
      <w:lvlJc w:val="left"/>
      <w:pPr>
        <w:ind w:left="644" w:hanging="360"/>
      </w:pPr>
      <w:rPr>
        <w:rFonts w:hint="default"/>
      </w:rPr>
    </w:lvl>
    <w:lvl w:ilvl="1" w:tplc="14090019">
      <w:start w:val="1"/>
      <w:numFmt w:val="lowerLetter"/>
      <w:lvlText w:val="%2."/>
      <w:lvlJc w:val="left"/>
      <w:pPr>
        <w:ind w:left="1364" w:hanging="360"/>
      </w:pPr>
    </w:lvl>
    <w:lvl w:ilvl="2" w:tplc="1409001B">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88">
    <w:nsid w:val="715B7FC2"/>
    <w:multiLevelType w:val="hybridMultilevel"/>
    <w:tmpl w:val="C7F0C848"/>
    <w:lvl w:ilvl="0" w:tplc="055AC15C">
      <w:start w:val="1"/>
      <w:numFmt w:val="bullet"/>
      <w:pStyle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9">
    <w:nsid w:val="767B2968"/>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0">
    <w:nsid w:val="785A6804"/>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1">
    <w:nsid w:val="78AD5156"/>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2">
    <w:nsid w:val="78B7615D"/>
    <w:multiLevelType w:val="hybridMultilevel"/>
    <w:tmpl w:val="B3FEA108"/>
    <w:lvl w:ilvl="0" w:tplc="7D28EF30">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93">
    <w:nsid w:val="793117C5"/>
    <w:multiLevelType w:val="hybridMultilevel"/>
    <w:tmpl w:val="E080432C"/>
    <w:lvl w:ilvl="0" w:tplc="98822FC4">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94">
    <w:nsid w:val="7C1218D3"/>
    <w:multiLevelType w:val="singleLevel"/>
    <w:tmpl w:val="C58C0308"/>
    <w:lvl w:ilvl="0">
      <w:start w:val="1"/>
      <w:numFmt w:val="bullet"/>
      <w:pStyle w:val="Bullet0"/>
      <w:lvlText w:val=""/>
      <w:lvlJc w:val="left"/>
      <w:pPr>
        <w:tabs>
          <w:tab w:val="num" w:pos="284"/>
        </w:tabs>
        <w:ind w:left="284" w:hanging="284"/>
      </w:pPr>
      <w:rPr>
        <w:rFonts w:ascii="Symbol" w:hAnsi="Symbol" w:hint="default"/>
        <w:sz w:val="18"/>
      </w:rPr>
    </w:lvl>
  </w:abstractNum>
  <w:abstractNum w:abstractNumId="95">
    <w:nsid w:val="7C2C7CE0"/>
    <w:multiLevelType w:val="hybridMultilevel"/>
    <w:tmpl w:val="B3FEA108"/>
    <w:lvl w:ilvl="0" w:tplc="7D28EF30">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96">
    <w:nsid w:val="7D4A6681"/>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7">
    <w:nsid w:val="7ECD6582"/>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8">
    <w:nsid w:val="7EDE5EC6"/>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abstractNum w:abstractNumId="99">
    <w:nsid w:val="7F425F62"/>
    <w:multiLevelType w:val="hybridMultilevel"/>
    <w:tmpl w:val="A572B11E"/>
    <w:lvl w:ilvl="0" w:tplc="040CC2E6">
      <w:start w:val="1"/>
      <w:numFmt w:val="decimal"/>
      <w:lvlText w:val="%1."/>
      <w:lvlJc w:val="left"/>
      <w:pPr>
        <w:ind w:left="1353" w:hanging="360"/>
      </w:pPr>
      <w:rPr>
        <w:rFonts w:hint="default"/>
      </w:rPr>
    </w:lvl>
    <w:lvl w:ilvl="1" w:tplc="14090019" w:tentative="1">
      <w:start w:val="1"/>
      <w:numFmt w:val="lowerLetter"/>
      <w:lvlText w:val="%2."/>
      <w:lvlJc w:val="left"/>
      <w:pPr>
        <w:ind w:left="2073" w:hanging="360"/>
      </w:pPr>
    </w:lvl>
    <w:lvl w:ilvl="2" w:tplc="1409001B" w:tentative="1">
      <w:start w:val="1"/>
      <w:numFmt w:val="lowerRoman"/>
      <w:lvlText w:val="%3."/>
      <w:lvlJc w:val="right"/>
      <w:pPr>
        <w:ind w:left="2793" w:hanging="180"/>
      </w:pPr>
    </w:lvl>
    <w:lvl w:ilvl="3" w:tplc="1409000F" w:tentative="1">
      <w:start w:val="1"/>
      <w:numFmt w:val="decimal"/>
      <w:lvlText w:val="%4."/>
      <w:lvlJc w:val="left"/>
      <w:pPr>
        <w:ind w:left="3513" w:hanging="360"/>
      </w:pPr>
    </w:lvl>
    <w:lvl w:ilvl="4" w:tplc="14090019" w:tentative="1">
      <w:start w:val="1"/>
      <w:numFmt w:val="lowerLetter"/>
      <w:lvlText w:val="%5."/>
      <w:lvlJc w:val="left"/>
      <w:pPr>
        <w:ind w:left="4233" w:hanging="360"/>
      </w:pPr>
    </w:lvl>
    <w:lvl w:ilvl="5" w:tplc="1409001B" w:tentative="1">
      <w:start w:val="1"/>
      <w:numFmt w:val="lowerRoman"/>
      <w:lvlText w:val="%6."/>
      <w:lvlJc w:val="right"/>
      <w:pPr>
        <w:ind w:left="4953" w:hanging="180"/>
      </w:pPr>
    </w:lvl>
    <w:lvl w:ilvl="6" w:tplc="1409000F" w:tentative="1">
      <w:start w:val="1"/>
      <w:numFmt w:val="decimal"/>
      <w:lvlText w:val="%7."/>
      <w:lvlJc w:val="left"/>
      <w:pPr>
        <w:ind w:left="5673" w:hanging="360"/>
      </w:pPr>
    </w:lvl>
    <w:lvl w:ilvl="7" w:tplc="14090019" w:tentative="1">
      <w:start w:val="1"/>
      <w:numFmt w:val="lowerLetter"/>
      <w:lvlText w:val="%8."/>
      <w:lvlJc w:val="left"/>
      <w:pPr>
        <w:ind w:left="6393" w:hanging="360"/>
      </w:pPr>
    </w:lvl>
    <w:lvl w:ilvl="8" w:tplc="1409001B" w:tentative="1">
      <w:start w:val="1"/>
      <w:numFmt w:val="lowerRoman"/>
      <w:lvlText w:val="%9."/>
      <w:lvlJc w:val="right"/>
      <w:pPr>
        <w:ind w:left="7113" w:hanging="180"/>
      </w:pPr>
    </w:lvl>
  </w:abstractNum>
  <w:num w:numId="1">
    <w:abstractNumId w:val="54"/>
  </w:num>
  <w:num w:numId="2">
    <w:abstractNumId w:val="76"/>
  </w:num>
  <w:num w:numId="3">
    <w:abstractNumId w:val="28"/>
  </w:num>
  <w:num w:numId="4">
    <w:abstractNumId w:val="0"/>
  </w:num>
  <w:num w:numId="5">
    <w:abstractNumId w:val="88"/>
  </w:num>
  <w:num w:numId="6">
    <w:abstractNumId w:val="59"/>
  </w:num>
  <w:num w:numId="7">
    <w:abstractNumId w:val="56"/>
  </w:num>
  <w:num w:numId="8">
    <w:abstractNumId w:val="51"/>
  </w:num>
  <w:num w:numId="9">
    <w:abstractNumId w:val="47"/>
  </w:num>
  <w:num w:numId="10">
    <w:abstractNumId w:val="1"/>
  </w:num>
  <w:num w:numId="11">
    <w:abstractNumId w:val="95"/>
  </w:num>
  <w:num w:numId="12">
    <w:abstractNumId w:val="43"/>
  </w:num>
  <w:num w:numId="13">
    <w:abstractNumId w:val="57"/>
  </w:num>
  <w:num w:numId="14">
    <w:abstractNumId w:val="63"/>
  </w:num>
  <w:num w:numId="15">
    <w:abstractNumId w:val="75"/>
  </w:num>
  <w:num w:numId="16">
    <w:abstractNumId w:val="93"/>
  </w:num>
  <w:num w:numId="17">
    <w:abstractNumId w:val="92"/>
  </w:num>
  <w:num w:numId="18">
    <w:abstractNumId w:val="89"/>
  </w:num>
  <w:num w:numId="19">
    <w:abstractNumId w:val="98"/>
  </w:num>
  <w:num w:numId="20">
    <w:abstractNumId w:val="6"/>
  </w:num>
  <w:num w:numId="21">
    <w:abstractNumId w:val="73"/>
  </w:num>
  <w:num w:numId="22">
    <w:abstractNumId w:val="96"/>
  </w:num>
  <w:num w:numId="23">
    <w:abstractNumId w:val="12"/>
  </w:num>
  <w:num w:numId="24">
    <w:abstractNumId w:val="23"/>
  </w:num>
  <w:num w:numId="25">
    <w:abstractNumId w:val="5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1"/>
  </w:num>
  <w:num w:numId="27">
    <w:abstractNumId w:val="77"/>
  </w:num>
  <w:num w:numId="28">
    <w:abstractNumId w:val="29"/>
  </w:num>
  <w:num w:numId="29">
    <w:abstractNumId w:val="84"/>
  </w:num>
  <w:num w:numId="30">
    <w:abstractNumId w:val="70"/>
  </w:num>
  <w:num w:numId="31">
    <w:abstractNumId w:val="3"/>
  </w:num>
  <w:num w:numId="32">
    <w:abstractNumId w:val="7"/>
  </w:num>
  <w:num w:numId="33">
    <w:abstractNumId w:val="62"/>
  </w:num>
  <w:num w:numId="34">
    <w:abstractNumId w:val="8"/>
  </w:num>
  <w:num w:numId="35">
    <w:abstractNumId w:val="48"/>
  </w:num>
  <w:num w:numId="36">
    <w:abstractNumId w:val="37"/>
  </w:num>
  <w:num w:numId="37">
    <w:abstractNumId w:val="65"/>
  </w:num>
  <w:num w:numId="38">
    <w:abstractNumId w:val="20"/>
  </w:num>
  <w:num w:numId="39">
    <w:abstractNumId w:val="26"/>
  </w:num>
  <w:num w:numId="40">
    <w:abstractNumId w:val="41"/>
  </w:num>
  <w:num w:numId="41">
    <w:abstractNumId w:val="53"/>
  </w:num>
  <w:num w:numId="42">
    <w:abstractNumId w:val="22"/>
  </w:num>
  <w:num w:numId="43">
    <w:abstractNumId w:val="21"/>
  </w:num>
  <w:num w:numId="44">
    <w:abstractNumId w:val="97"/>
  </w:num>
  <w:num w:numId="45">
    <w:abstractNumId w:val="15"/>
  </w:num>
  <w:num w:numId="46">
    <w:abstractNumId w:val="99"/>
  </w:num>
  <w:num w:numId="47">
    <w:abstractNumId w:val="81"/>
  </w:num>
  <w:num w:numId="48">
    <w:abstractNumId w:val="60"/>
  </w:num>
  <w:num w:numId="49">
    <w:abstractNumId w:val="90"/>
  </w:num>
  <w:num w:numId="50">
    <w:abstractNumId w:val="39"/>
  </w:num>
  <w:num w:numId="51">
    <w:abstractNumId w:val="52"/>
  </w:num>
  <w:num w:numId="52">
    <w:abstractNumId w:val="17"/>
  </w:num>
  <w:num w:numId="53">
    <w:abstractNumId w:val="16"/>
  </w:num>
  <w:num w:numId="54">
    <w:abstractNumId w:val="10"/>
  </w:num>
  <w:num w:numId="55">
    <w:abstractNumId w:val="2"/>
  </w:num>
  <w:num w:numId="56">
    <w:abstractNumId w:val="25"/>
  </w:num>
  <w:num w:numId="57">
    <w:abstractNumId w:val="49"/>
  </w:num>
  <w:num w:numId="58">
    <w:abstractNumId w:val="5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4"/>
  </w:num>
  <w:num w:numId="60">
    <w:abstractNumId w:val="79"/>
  </w:num>
  <w:num w:numId="61">
    <w:abstractNumId w:val="69"/>
  </w:num>
  <w:num w:numId="62">
    <w:abstractNumId w:val="13"/>
  </w:num>
  <w:num w:numId="63">
    <w:abstractNumId w:val="5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1"/>
  </w:num>
  <w:num w:numId="65">
    <w:abstractNumId w:val="68"/>
  </w:num>
  <w:num w:numId="66">
    <w:abstractNumId w:val="40"/>
  </w:num>
  <w:num w:numId="67">
    <w:abstractNumId w:val="24"/>
  </w:num>
  <w:num w:numId="68">
    <w:abstractNumId w:val="87"/>
  </w:num>
  <w:num w:numId="69">
    <w:abstractNumId w:val="66"/>
  </w:num>
  <w:num w:numId="70">
    <w:abstractNumId w:val="61"/>
  </w:num>
  <w:num w:numId="71">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4"/>
  </w:num>
  <w:num w:numId="73">
    <w:abstractNumId w:val="45"/>
  </w:num>
  <w:num w:numId="74">
    <w:abstractNumId w:val="30"/>
  </w:num>
  <w:num w:numId="75">
    <w:abstractNumId w:val="33"/>
  </w:num>
  <w:num w:numId="76">
    <w:abstractNumId w:val="82"/>
  </w:num>
  <w:num w:numId="7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6"/>
  </w:num>
  <w:num w:numId="79">
    <w:abstractNumId w:val="67"/>
  </w:num>
  <w:num w:numId="80">
    <w:abstractNumId w:val="64"/>
  </w:num>
  <w:num w:numId="81">
    <w:abstractNumId w:val="91"/>
  </w:num>
  <w:num w:numId="82">
    <w:abstractNumId w:val="72"/>
  </w:num>
  <w:num w:numId="83">
    <w:abstractNumId w:val="86"/>
  </w:num>
  <w:num w:numId="84">
    <w:abstractNumId w:val="44"/>
  </w:num>
  <w:num w:numId="85">
    <w:abstractNumId w:val="5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
  </w:num>
  <w:num w:numId="87">
    <w:abstractNumId w:val="78"/>
  </w:num>
  <w:num w:numId="88">
    <w:abstractNumId w:val="80"/>
  </w:num>
  <w:num w:numId="89">
    <w:abstractNumId w:val="38"/>
  </w:num>
  <w:num w:numId="90">
    <w:abstractNumId w:val="14"/>
  </w:num>
  <w:num w:numId="91">
    <w:abstractNumId w:val="85"/>
  </w:num>
  <w:num w:numId="92">
    <w:abstractNumId w:val="4"/>
  </w:num>
  <w:num w:numId="93">
    <w:abstractNumId w:val="36"/>
  </w:num>
  <w:num w:numId="94">
    <w:abstractNumId w:val="74"/>
  </w:num>
  <w:num w:numId="95">
    <w:abstractNumId w:val="42"/>
  </w:num>
  <w:num w:numId="96">
    <w:abstractNumId w:val="9"/>
  </w:num>
  <w:num w:numId="97">
    <w:abstractNumId w:val="11"/>
  </w:num>
  <w:num w:numId="98">
    <w:abstractNumId w:val="27"/>
  </w:num>
  <w:num w:numId="99">
    <w:abstractNumId w:val="19"/>
  </w:num>
  <w:num w:numId="100">
    <w:abstractNumId w:val="35"/>
  </w:num>
  <w:num w:numId="101">
    <w:abstractNumId w:val="50"/>
  </w:num>
  <w:num w:numId="102">
    <w:abstractNumId w:val="32"/>
  </w:num>
  <w:num w:numId="103">
    <w:abstractNumId w:val="58"/>
  </w:num>
  <w:num w:numId="104">
    <w:abstractNumId w:val="55"/>
  </w:num>
  <w:num w:numId="105">
    <w:abstractNumId w:val="18"/>
  </w:num>
  <w:num w:numId="106">
    <w:abstractNumId w:val="83"/>
  </w:num>
  <w:numIdMacAtCleanup w:val="10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a Bellringer">
    <w15:presenceInfo w15:providerId="AD" w15:userId="S-1-5-21-117586760-2556223787-3220543774-460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pzse05rcvx956etremxfzdh9fzdxvd95rp2&quot;&gt;Fiona&amp;apos;s references - ALL - 9_April_2015&lt;record-ids&gt;&lt;item&gt;20&lt;/item&gt;&lt;item&gt;31&lt;/item&gt;&lt;item&gt;33&lt;/item&gt;&lt;item&gt;93&lt;/item&gt;&lt;item&gt;113&lt;/item&gt;&lt;item&gt;120&lt;/item&gt;&lt;item&gt;121&lt;/item&gt;&lt;item&gt;126&lt;/item&gt;&lt;item&gt;129&lt;/item&gt;&lt;item&gt;139&lt;/item&gt;&lt;item&gt;152&lt;/item&gt;&lt;item&gt;196&lt;/item&gt;&lt;item&gt;244&lt;/item&gt;&lt;item&gt;283&lt;/item&gt;&lt;item&gt;296&lt;/item&gt;&lt;item&gt;321&lt;/item&gt;&lt;item&gt;651&lt;/item&gt;&lt;item&gt;810&lt;/item&gt;&lt;item&gt;912&lt;/item&gt;&lt;item&gt;913&lt;/item&gt;&lt;item&gt;914&lt;/item&gt;&lt;item&gt;915&lt;/item&gt;&lt;item&gt;916&lt;/item&gt;&lt;item&gt;917&lt;/item&gt;&lt;item&gt;918&lt;/item&gt;&lt;item&gt;919&lt;/item&gt;&lt;item&gt;920&lt;/item&gt;&lt;item&gt;921&lt;/item&gt;&lt;item&gt;922&lt;/item&gt;&lt;item&gt;923&lt;/item&gt;&lt;item&gt;925&lt;/item&gt;&lt;item&gt;926&lt;/item&gt;&lt;item&gt;927&lt;/item&gt;&lt;item&gt;928&lt;/item&gt;&lt;item&gt;929&lt;/item&gt;&lt;item&gt;930&lt;/item&gt;&lt;item&gt;931&lt;/item&gt;&lt;item&gt;932&lt;/item&gt;&lt;item&gt;933&lt;/item&gt;&lt;item&gt;934&lt;/item&gt;&lt;item&gt;935&lt;/item&gt;&lt;item&gt;936&lt;/item&gt;&lt;item&gt;937&lt;/item&gt;&lt;item&gt;938&lt;/item&gt;&lt;item&gt;939&lt;/item&gt;&lt;item&gt;940&lt;/item&gt;&lt;item&gt;941&lt;/item&gt;&lt;item&gt;942&lt;/item&gt;&lt;item&gt;943&lt;/item&gt;&lt;item&gt;944&lt;/item&gt;&lt;item&gt;945&lt;/item&gt;&lt;item&gt;946&lt;/item&gt;&lt;item&gt;947&lt;/item&gt;&lt;item&gt;948&lt;/item&gt;&lt;item&gt;949&lt;/item&gt;&lt;item&gt;950&lt;/item&gt;&lt;item&gt;960&lt;/item&gt;&lt;item&gt;963&lt;/item&gt;&lt;item&gt;965&lt;/item&gt;&lt;item&gt;967&lt;/item&gt;&lt;item&gt;968&lt;/item&gt;&lt;item&gt;969&lt;/item&gt;&lt;item&gt;970&lt;/item&gt;&lt;item&gt;972&lt;/item&gt;&lt;/record-ids&gt;&lt;/item&gt;&lt;/Libraries&gt;"/>
  </w:docVars>
  <w:rsids>
    <w:rsidRoot w:val="00043311"/>
    <w:rsid w:val="00000572"/>
    <w:rsid w:val="00000635"/>
    <w:rsid w:val="000029F2"/>
    <w:rsid w:val="00003305"/>
    <w:rsid w:val="000038D2"/>
    <w:rsid w:val="000046E3"/>
    <w:rsid w:val="00004C86"/>
    <w:rsid w:val="00004CAC"/>
    <w:rsid w:val="00005701"/>
    <w:rsid w:val="00006006"/>
    <w:rsid w:val="00006352"/>
    <w:rsid w:val="0000680E"/>
    <w:rsid w:val="00006A00"/>
    <w:rsid w:val="00006AA2"/>
    <w:rsid w:val="000074FF"/>
    <w:rsid w:val="000079ED"/>
    <w:rsid w:val="00007C77"/>
    <w:rsid w:val="0001042C"/>
    <w:rsid w:val="000107D1"/>
    <w:rsid w:val="00010924"/>
    <w:rsid w:val="00010A1B"/>
    <w:rsid w:val="00010D7D"/>
    <w:rsid w:val="00010E58"/>
    <w:rsid w:val="00011469"/>
    <w:rsid w:val="00011B03"/>
    <w:rsid w:val="00011FED"/>
    <w:rsid w:val="000121A9"/>
    <w:rsid w:val="000129BB"/>
    <w:rsid w:val="00013D0A"/>
    <w:rsid w:val="00014488"/>
    <w:rsid w:val="000149A5"/>
    <w:rsid w:val="000154BA"/>
    <w:rsid w:val="000157B3"/>
    <w:rsid w:val="00015B3C"/>
    <w:rsid w:val="0001618B"/>
    <w:rsid w:val="00017182"/>
    <w:rsid w:val="0001723B"/>
    <w:rsid w:val="0002008E"/>
    <w:rsid w:val="0002023B"/>
    <w:rsid w:val="000210A0"/>
    <w:rsid w:val="0002174F"/>
    <w:rsid w:val="00022A71"/>
    <w:rsid w:val="00023396"/>
    <w:rsid w:val="000245C7"/>
    <w:rsid w:val="00024D6B"/>
    <w:rsid w:val="000259F3"/>
    <w:rsid w:val="00025A11"/>
    <w:rsid w:val="0002770D"/>
    <w:rsid w:val="00030B1F"/>
    <w:rsid w:val="000322D9"/>
    <w:rsid w:val="00033695"/>
    <w:rsid w:val="000345FB"/>
    <w:rsid w:val="00034C15"/>
    <w:rsid w:val="00034C9E"/>
    <w:rsid w:val="00041289"/>
    <w:rsid w:val="000414F1"/>
    <w:rsid w:val="000419D5"/>
    <w:rsid w:val="00041B69"/>
    <w:rsid w:val="000423EB"/>
    <w:rsid w:val="00043311"/>
    <w:rsid w:val="00043499"/>
    <w:rsid w:val="00044621"/>
    <w:rsid w:val="00044B5E"/>
    <w:rsid w:val="00044E18"/>
    <w:rsid w:val="00044EB4"/>
    <w:rsid w:val="00044EFF"/>
    <w:rsid w:val="000500CB"/>
    <w:rsid w:val="000506FF"/>
    <w:rsid w:val="0005149B"/>
    <w:rsid w:val="000514B9"/>
    <w:rsid w:val="0005196E"/>
    <w:rsid w:val="0005241F"/>
    <w:rsid w:val="00053325"/>
    <w:rsid w:val="00055243"/>
    <w:rsid w:val="00055970"/>
    <w:rsid w:val="000562CB"/>
    <w:rsid w:val="00056385"/>
    <w:rsid w:val="00056939"/>
    <w:rsid w:val="00057071"/>
    <w:rsid w:val="00057250"/>
    <w:rsid w:val="00057AE0"/>
    <w:rsid w:val="00057AF8"/>
    <w:rsid w:val="000604DD"/>
    <w:rsid w:val="000605A9"/>
    <w:rsid w:val="00061D91"/>
    <w:rsid w:val="00062423"/>
    <w:rsid w:val="00062A52"/>
    <w:rsid w:val="00063759"/>
    <w:rsid w:val="00063CF1"/>
    <w:rsid w:val="00063D2B"/>
    <w:rsid w:val="000642D2"/>
    <w:rsid w:val="00064A41"/>
    <w:rsid w:val="00065401"/>
    <w:rsid w:val="00065474"/>
    <w:rsid w:val="00065E95"/>
    <w:rsid w:val="000661AD"/>
    <w:rsid w:val="000662CE"/>
    <w:rsid w:val="000666FE"/>
    <w:rsid w:val="00066927"/>
    <w:rsid w:val="00066C86"/>
    <w:rsid w:val="00070A9D"/>
    <w:rsid w:val="00070B07"/>
    <w:rsid w:val="00071203"/>
    <w:rsid w:val="00071756"/>
    <w:rsid w:val="00072A78"/>
    <w:rsid w:val="000730C5"/>
    <w:rsid w:val="00073300"/>
    <w:rsid w:val="000738F0"/>
    <w:rsid w:val="000743AE"/>
    <w:rsid w:val="00074B18"/>
    <w:rsid w:val="00074C89"/>
    <w:rsid w:val="00076233"/>
    <w:rsid w:val="000764E3"/>
    <w:rsid w:val="000769BF"/>
    <w:rsid w:val="00076DDA"/>
    <w:rsid w:val="0007710C"/>
    <w:rsid w:val="0007718E"/>
    <w:rsid w:val="00077C9E"/>
    <w:rsid w:val="000815D3"/>
    <w:rsid w:val="00082FD9"/>
    <w:rsid w:val="000830E5"/>
    <w:rsid w:val="00085F02"/>
    <w:rsid w:val="000862FA"/>
    <w:rsid w:val="0008671D"/>
    <w:rsid w:val="0008692E"/>
    <w:rsid w:val="00087682"/>
    <w:rsid w:val="000907D4"/>
    <w:rsid w:val="0009194B"/>
    <w:rsid w:val="00092847"/>
    <w:rsid w:val="00092E87"/>
    <w:rsid w:val="0009373B"/>
    <w:rsid w:val="0009392B"/>
    <w:rsid w:val="00093B12"/>
    <w:rsid w:val="00095570"/>
    <w:rsid w:val="00097BA0"/>
    <w:rsid w:val="00097C14"/>
    <w:rsid w:val="00097D33"/>
    <w:rsid w:val="00097F58"/>
    <w:rsid w:val="000A0847"/>
    <w:rsid w:val="000A1794"/>
    <w:rsid w:val="000A1A1C"/>
    <w:rsid w:val="000A1A24"/>
    <w:rsid w:val="000A23BB"/>
    <w:rsid w:val="000A251B"/>
    <w:rsid w:val="000A3545"/>
    <w:rsid w:val="000A36CE"/>
    <w:rsid w:val="000A3DDA"/>
    <w:rsid w:val="000A44FF"/>
    <w:rsid w:val="000A4809"/>
    <w:rsid w:val="000A4C7C"/>
    <w:rsid w:val="000A4F27"/>
    <w:rsid w:val="000A502E"/>
    <w:rsid w:val="000A52D4"/>
    <w:rsid w:val="000A5393"/>
    <w:rsid w:val="000A5633"/>
    <w:rsid w:val="000A5A58"/>
    <w:rsid w:val="000A6434"/>
    <w:rsid w:val="000A6F54"/>
    <w:rsid w:val="000A73E9"/>
    <w:rsid w:val="000A7425"/>
    <w:rsid w:val="000B0863"/>
    <w:rsid w:val="000B0D06"/>
    <w:rsid w:val="000B0EDC"/>
    <w:rsid w:val="000B11E8"/>
    <w:rsid w:val="000B1908"/>
    <w:rsid w:val="000B2194"/>
    <w:rsid w:val="000B3317"/>
    <w:rsid w:val="000B36C4"/>
    <w:rsid w:val="000B44D1"/>
    <w:rsid w:val="000B498E"/>
    <w:rsid w:val="000B5960"/>
    <w:rsid w:val="000B5F14"/>
    <w:rsid w:val="000B5FE3"/>
    <w:rsid w:val="000B62F3"/>
    <w:rsid w:val="000B713A"/>
    <w:rsid w:val="000B77D6"/>
    <w:rsid w:val="000C0C9C"/>
    <w:rsid w:val="000C154D"/>
    <w:rsid w:val="000C15D4"/>
    <w:rsid w:val="000C2739"/>
    <w:rsid w:val="000C338D"/>
    <w:rsid w:val="000C363F"/>
    <w:rsid w:val="000C42EF"/>
    <w:rsid w:val="000C4F20"/>
    <w:rsid w:val="000C7BB6"/>
    <w:rsid w:val="000C7FE9"/>
    <w:rsid w:val="000D065D"/>
    <w:rsid w:val="000D16C2"/>
    <w:rsid w:val="000D2075"/>
    <w:rsid w:val="000D2B1B"/>
    <w:rsid w:val="000D324C"/>
    <w:rsid w:val="000D41E8"/>
    <w:rsid w:val="000D4569"/>
    <w:rsid w:val="000D4696"/>
    <w:rsid w:val="000D5266"/>
    <w:rsid w:val="000D542E"/>
    <w:rsid w:val="000D568F"/>
    <w:rsid w:val="000D5719"/>
    <w:rsid w:val="000D571D"/>
    <w:rsid w:val="000D6540"/>
    <w:rsid w:val="000D7624"/>
    <w:rsid w:val="000D793B"/>
    <w:rsid w:val="000E07DB"/>
    <w:rsid w:val="000E0B32"/>
    <w:rsid w:val="000E113F"/>
    <w:rsid w:val="000E1241"/>
    <w:rsid w:val="000E1F41"/>
    <w:rsid w:val="000E255F"/>
    <w:rsid w:val="000E45A2"/>
    <w:rsid w:val="000E4855"/>
    <w:rsid w:val="000E4E62"/>
    <w:rsid w:val="000E5DCE"/>
    <w:rsid w:val="000E628D"/>
    <w:rsid w:val="000E6BFD"/>
    <w:rsid w:val="000E767E"/>
    <w:rsid w:val="000F0FF8"/>
    <w:rsid w:val="000F1C69"/>
    <w:rsid w:val="000F2449"/>
    <w:rsid w:val="000F2F0F"/>
    <w:rsid w:val="000F4465"/>
    <w:rsid w:val="000F4560"/>
    <w:rsid w:val="000F48F2"/>
    <w:rsid w:val="000F49A1"/>
    <w:rsid w:val="000F4A10"/>
    <w:rsid w:val="000F6A7A"/>
    <w:rsid w:val="000F6BC2"/>
    <w:rsid w:val="000F6C8D"/>
    <w:rsid w:val="000F6E54"/>
    <w:rsid w:val="000F72C1"/>
    <w:rsid w:val="000F7401"/>
    <w:rsid w:val="000F7645"/>
    <w:rsid w:val="000F76C7"/>
    <w:rsid w:val="0010082B"/>
    <w:rsid w:val="00100857"/>
    <w:rsid w:val="00100AFC"/>
    <w:rsid w:val="001015ED"/>
    <w:rsid w:val="00101B6D"/>
    <w:rsid w:val="00102991"/>
    <w:rsid w:val="00103981"/>
    <w:rsid w:val="00104BA8"/>
    <w:rsid w:val="00105312"/>
    <w:rsid w:val="001055C9"/>
    <w:rsid w:val="00105DD2"/>
    <w:rsid w:val="00106037"/>
    <w:rsid w:val="00107736"/>
    <w:rsid w:val="00107785"/>
    <w:rsid w:val="00107ABC"/>
    <w:rsid w:val="0011028F"/>
    <w:rsid w:val="0011049C"/>
    <w:rsid w:val="00110EBD"/>
    <w:rsid w:val="0011136F"/>
    <w:rsid w:val="00112888"/>
    <w:rsid w:val="00113830"/>
    <w:rsid w:val="001146BF"/>
    <w:rsid w:val="00114750"/>
    <w:rsid w:val="00114A55"/>
    <w:rsid w:val="001150FE"/>
    <w:rsid w:val="00115ADF"/>
    <w:rsid w:val="0011649F"/>
    <w:rsid w:val="00116959"/>
    <w:rsid w:val="001201AE"/>
    <w:rsid w:val="001207D5"/>
    <w:rsid w:val="0012096C"/>
    <w:rsid w:val="00120C68"/>
    <w:rsid w:val="00121146"/>
    <w:rsid w:val="00121F74"/>
    <w:rsid w:val="00122BD0"/>
    <w:rsid w:val="00122D86"/>
    <w:rsid w:val="001239CB"/>
    <w:rsid w:val="00124424"/>
    <w:rsid w:val="001249D2"/>
    <w:rsid w:val="00124A19"/>
    <w:rsid w:val="00124D3F"/>
    <w:rsid w:val="00125A7F"/>
    <w:rsid w:val="00126187"/>
    <w:rsid w:val="001276BF"/>
    <w:rsid w:val="00127D5F"/>
    <w:rsid w:val="001302D6"/>
    <w:rsid w:val="00130B03"/>
    <w:rsid w:val="00131878"/>
    <w:rsid w:val="00131E3D"/>
    <w:rsid w:val="00131EDF"/>
    <w:rsid w:val="00133263"/>
    <w:rsid w:val="00134813"/>
    <w:rsid w:val="00134D1B"/>
    <w:rsid w:val="00134E3F"/>
    <w:rsid w:val="00135AF2"/>
    <w:rsid w:val="00137279"/>
    <w:rsid w:val="001415F1"/>
    <w:rsid w:val="001418DB"/>
    <w:rsid w:val="00142106"/>
    <w:rsid w:val="00143D6B"/>
    <w:rsid w:val="00143F8D"/>
    <w:rsid w:val="001448AE"/>
    <w:rsid w:val="00144DCA"/>
    <w:rsid w:val="00145BA3"/>
    <w:rsid w:val="00146017"/>
    <w:rsid w:val="00146357"/>
    <w:rsid w:val="00146641"/>
    <w:rsid w:val="00146C8C"/>
    <w:rsid w:val="00146E70"/>
    <w:rsid w:val="00150551"/>
    <w:rsid w:val="001515F5"/>
    <w:rsid w:val="00151A23"/>
    <w:rsid w:val="00151ED1"/>
    <w:rsid w:val="00152525"/>
    <w:rsid w:val="001529F4"/>
    <w:rsid w:val="00152BCE"/>
    <w:rsid w:val="00153935"/>
    <w:rsid w:val="00153C9E"/>
    <w:rsid w:val="001565A4"/>
    <w:rsid w:val="00156892"/>
    <w:rsid w:val="00156F04"/>
    <w:rsid w:val="001608B9"/>
    <w:rsid w:val="00160E6A"/>
    <w:rsid w:val="00160F4C"/>
    <w:rsid w:val="00161C13"/>
    <w:rsid w:val="001633EC"/>
    <w:rsid w:val="001637B2"/>
    <w:rsid w:val="00165127"/>
    <w:rsid w:val="001669DB"/>
    <w:rsid w:val="00166C3F"/>
    <w:rsid w:val="00167926"/>
    <w:rsid w:val="001709AB"/>
    <w:rsid w:val="00170D0F"/>
    <w:rsid w:val="001710FE"/>
    <w:rsid w:val="001713D8"/>
    <w:rsid w:val="00171634"/>
    <w:rsid w:val="0017308D"/>
    <w:rsid w:val="001730E3"/>
    <w:rsid w:val="00173BCF"/>
    <w:rsid w:val="00174600"/>
    <w:rsid w:val="00175A5B"/>
    <w:rsid w:val="00176952"/>
    <w:rsid w:val="00176FB8"/>
    <w:rsid w:val="001774D4"/>
    <w:rsid w:val="00177C2F"/>
    <w:rsid w:val="00180302"/>
    <w:rsid w:val="0018098C"/>
    <w:rsid w:val="00181D9E"/>
    <w:rsid w:val="00182BCB"/>
    <w:rsid w:val="00183477"/>
    <w:rsid w:val="001835FE"/>
    <w:rsid w:val="0018360B"/>
    <w:rsid w:val="001837AA"/>
    <w:rsid w:val="0018575D"/>
    <w:rsid w:val="001857FC"/>
    <w:rsid w:val="00187320"/>
    <w:rsid w:val="0018795A"/>
    <w:rsid w:val="00187A7B"/>
    <w:rsid w:val="00190653"/>
    <w:rsid w:val="00191A8F"/>
    <w:rsid w:val="001924DC"/>
    <w:rsid w:val="00193689"/>
    <w:rsid w:val="00193B49"/>
    <w:rsid w:val="00194245"/>
    <w:rsid w:val="001944BC"/>
    <w:rsid w:val="00195C2A"/>
    <w:rsid w:val="00196450"/>
    <w:rsid w:val="0019754F"/>
    <w:rsid w:val="00197D8C"/>
    <w:rsid w:val="00197DBF"/>
    <w:rsid w:val="00197F03"/>
    <w:rsid w:val="001A005A"/>
    <w:rsid w:val="001A15C4"/>
    <w:rsid w:val="001A1D8C"/>
    <w:rsid w:val="001A2194"/>
    <w:rsid w:val="001A257C"/>
    <w:rsid w:val="001A2C53"/>
    <w:rsid w:val="001A3250"/>
    <w:rsid w:val="001A33A8"/>
    <w:rsid w:val="001A3A44"/>
    <w:rsid w:val="001A3B16"/>
    <w:rsid w:val="001A468F"/>
    <w:rsid w:val="001A4B67"/>
    <w:rsid w:val="001A5867"/>
    <w:rsid w:val="001A618C"/>
    <w:rsid w:val="001A66A4"/>
    <w:rsid w:val="001A7BC4"/>
    <w:rsid w:val="001B153E"/>
    <w:rsid w:val="001B20C3"/>
    <w:rsid w:val="001B25CF"/>
    <w:rsid w:val="001B29A4"/>
    <w:rsid w:val="001B2CAF"/>
    <w:rsid w:val="001B300A"/>
    <w:rsid w:val="001B332F"/>
    <w:rsid w:val="001B3BDB"/>
    <w:rsid w:val="001B49C3"/>
    <w:rsid w:val="001B4A71"/>
    <w:rsid w:val="001B4B7E"/>
    <w:rsid w:val="001B5341"/>
    <w:rsid w:val="001B6A16"/>
    <w:rsid w:val="001B73A4"/>
    <w:rsid w:val="001B756C"/>
    <w:rsid w:val="001B7C37"/>
    <w:rsid w:val="001B7D3C"/>
    <w:rsid w:val="001C0D08"/>
    <w:rsid w:val="001C147C"/>
    <w:rsid w:val="001C1DBD"/>
    <w:rsid w:val="001C25C6"/>
    <w:rsid w:val="001C377B"/>
    <w:rsid w:val="001C3A05"/>
    <w:rsid w:val="001C3B56"/>
    <w:rsid w:val="001C4CA8"/>
    <w:rsid w:val="001C57B7"/>
    <w:rsid w:val="001C5C20"/>
    <w:rsid w:val="001C7209"/>
    <w:rsid w:val="001C792C"/>
    <w:rsid w:val="001D0617"/>
    <w:rsid w:val="001D0720"/>
    <w:rsid w:val="001D098A"/>
    <w:rsid w:val="001D0DB7"/>
    <w:rsid w:val="001D0DEF"/>
    <w:rsid w:val="001D3092"/>
    <w:rsid w:val="001D35E5"/>
    <w:rsid w:val="001D4362"/>
    <w:rsid w:val="001D4967"/>
    <w:rsid w:val="001D4A12"/>
    <w:rsid w:val="001D5235"/>
    <w:rsid w:val="001D5865"/>
    <w:rsid w:val="001D5E27"/>
    <w:rsid w:val="001D6000"/>
    <w:rsid w:val="001D6470"/>
    <w:rsid w:val="001D66B5"/>
    <w:rsid w:val="001D687A"/>
    <w:rsid w:val="001D72B0"/>
    <w:rsid w:val="001E11CC"/>
    <w:rsid w:val="001E4885"/>
    <w:rsid w:val="001E4AF0"/>
    <w:rsid w:val="001E5BE3"/>
    <w:rsid w:val="001E5F4B"/>
    <w:rsid w:val="001E6994"/>
    <w:rsid w:val="001E7D9B"/>
    <w:rsid w:val="001F050F"/>
    <w:rsid w:val="001F1294"/>
    <w:rsid w:val="001F2093"/>
    <w:rsid w:val="001F3051"/>
    <w:rsid w:val="001F4B0D"/>
    <w:rsid w:val="001F4CDF"/>
    <w:rsid w:val="001F5823"/>
    <w:rsid w:val="001F5C2C"/>
    <w:rsid w:val="001F788C"/>
    <w:rsid w:val="00200451"/>
    <w:rsid w:val="00200801"/>
    <w:rsid w:val="00200C3C"/>
    <w:rsid w:val="00200E0F"/>
    <w:rsid w:val="00201144"/>
    <w:rsid w:val="00201279"/>
    <w:rsid w:val="00201509"/>
    <w:rsid w:val="002023E9"/>
    <w:rsid w:val="00202CF0"/>
    <w:rsid w:val="002031AC"/>
    <w:rsid w:val="0020358E"/>
    <w:rsid w:val="00203A68"/>
    <w:rsid w:val="00203BC6"/>
    <w:rsid w:val="0020409B"/>
    <w:rsid w:val="00204ABF"/>
    <w:rsid w:val="0020526F"/>
    <w:rsid w:val="00207420"/>
    <w:rsid w:val="0021004F"/>
    <w:rsid w:val="00211A7F"/>
    <w:rsid w:val="00211B94"/>
    <w:rsid w:val="00212435"/>
    <w:rsid w:val="00212DA8"/>
    <w:rsid w:val="002131AA"/>
    <w:rsid w:val="00213C4A"/>
    <w:rsid w:val="00213D3A"/>
    <w:rsid w:val="00215EAD"/>
    <w:rsid w:val="00216479"/>
    <w:rsid w:val="00216DF6"/>
    <w:rsid w:val="00217387"/>
    <w:rsid w:val="002176B3"/>
    <w:rsid w:val="002200D7"/>
    <w:rsid w:val="00221BA7"/>
    <w:rsid w:val="00221F39"/>
    <w:rsid w:val="00222111"/>
    <w:rsid w:val="0022252C"/>
    <w:rsid w:val="00222626"/>
    <w:rsid w:val="00222C84"/>
    <w:rsid w:val="002240F0"/>
    <w:rsid w:val="0022450A"/>
    <w:rsid w:val="002247A7"/>
    <w:rsid w:val="00224D1C"/>
    <w:rsid w:val="002251E2"/>
    <w:rsid w:val="0022537D"/>
    <w:rsid w:val="002256D9"/>
    <w:rsid w:val="0022625A"/>
    <w:rsid w:val="00227A3B"/>
    <w:rsid w:val="00230282"/>
    <w:rsid w:val="002306DA"/>
    <w:rsid w:val="0023085B"/>
    <w:rsid w:val="00230DA7"/>
    <w:rsid w:val="00231053"/>
    <w:rsid w:val="002320CC"/>
    <w:rsid w:val="002333B4"/>
    <w:rsid w:val="00233BB7"/>
    <w:rsid w:val="002344C8"/>
    <w:rsid w:val="00234528"/>
    <w:rsid w:val="00234ABF"/>
    <w:rsid w:val="002353F2"/>
    <w:rsid w:val="0023550A"/>
    <w:rsid w:val="00235DD5"/>
    <w:rsid w:val="00236CD6"/>
    <w:rsid w:val="00236F80"/>
    <w:rsid w:val="00237084"/>
    <w:rsid w:val="00237E09"/>
    <w:rsid w:val="0024042B"/>
    <w:rsid w:val="00240685"/>
    <w:rsid w:val="00240DFC"/>
    <w:rsid w:val="00240E6D"/>
    <w:rsid w:val="00240ED4"/>
    <w:rsid w:val="0024214B"/>
    <w:rsid w:val="00242295"/>
    <w:rsid w:val="002451F0"/>
    <w:rsid w:val="00245291"/>
    <w:rsid w:val="002501DE"/>
    <w:rsid w:val="002516BF"/>
    <w:rsid w:val="00251ACC"/>
    <w:rsid w:val="00251AE6"/>
    <w:rsid w:val="002533A0"/>
    <w:rsid w:val="00253419"/>
    <w:rsid w:val="00253808"/>
    <w:rsid w:val="0025404C"/>
    <w:rsid w:val="00254080"/>
    <w:rsid w:val="00254884"/>
    <w:rsid w:val="0025536E"/>
    <w:rsid w:val="002555CF"/>
    <w:rsid w:val="0025569E"/>
    <w:rsid w:val="00255CC0"/>
    <w:rsid w:val="002568CA"/>
    <w:rsid w:val="00257DE9"/>
    <w:rsid w:val="0026049E"/>
    <w:rsid w:val="002606A7"/>
    <w:rsid w:val="00262B8E"/>
    <w:rsid w:val="002631CD"/>
    <w:rsid w:val="00263660"/>
    <w:rsid w:val="00263888"/>
    <w:rsid w:val="0026397F"/>
    <w:rsid w:val="00263E5A"/>
    <w:rsid w:val="00264106"/>
    <w:rsid w:val="00264C29"/>
    <w:rsid w:val="00264CCB"/>
    <w:rsid w:val="00265743"/>
    <w:rsid w:val="002669CD"/>
    <w:rsid w:val="00266B3D"/>
    <w:rsid w:val="00266B83"/>
    <w:rsid w:val="00266F7D"/>
    <w:rsid w:val="002672CD"/>
    <w:rsid w:val="002679D6"/>
    <w:rsid w:val="00270A90"/>
    <w:rsid w:val="00271583"/>
    <w:rsid w:val="00272235"/>
    <w:rsid w:val="002732EB"/>
    <w:rsid w:val="002738F8"/>
    <w:rsid w:val="00273C0F"/>
    <w:rsid w:val="00273C55"/>
    <w:rsid w:val="00274311"/>
    <w:rsid w:val="002744F3"/>
    <w:rsid w:val="00274F16"/>
    <w:rsid w:val="00275AD3"/>
    <w:rsid w:val="0027638A"/>
    <w:rsid w:val="00276406"/>
    <w:rsid w:val="00276AC7"/>
    <w:rsid w:val="00277E31"/>
    <w:rsid w:val="0028013A"/>
    <w:rsid w:val="00280778"/>
    <w:rsid w:val="00280A5E"/>
    <w:rsid w:val="0028176E"/>
    <w:rsid w:val="00281879"/>
    <w:rsid w:val="00281D05"/>
    <w:rsid w:val="0028226A"/>
    <w:rsid w:val="00282775"/>
    <w:rsid w:val="00282FE3"/>
    <w:rsid w:val="00283873"/>
    <w:rsid w:val="00283C4C"/>
    <w:rsid w:val="002846E2"/>
    <w:rsid w:val="00284C57"/>
    <w:rsid w:val="0028580A"/>
    <w:rsid w:val="0028599B"/>
    <w:rsid w:val="00285E69"/>
    <w:rsid w:val="00286662"/>
    <w:rsid w:val="002871D3"/>
    <w:rsid w:val="00287B01"/>
    <w:rsid w:val="00287E21"/>
    <w:rsid w:val="00290023"/>
    <w:rsid w:val="00290418"/>
    <w:rsid w:val="00290445"/>
    <w:rsid w:val="0029075C"/>
    <w:rsid w:val="0029085F"/>
    <w:rsid w:val="00290C7D"/>
    <w:rsid w:val="0029102D"/>
    <w:rsid w:val="002913DB"/>
    <w:rsid w:val="00293186"/>
    <w:rsid w:val="00293281"/>
    <w:rsid w:val="0029356F"/>
    <w:rsid w:val="002945AC"/>
    <w:rsid w:val="00295491"/>
    <w:rsid w:val="002965E9"/>
    <w:rsid w:val="00296950"/>
    <w:rsid w:val="002A0ECD"/>
    <w:rsid w:val="002A0F95"/>
    <w:rsid w:val="002A1D31"/>
    <w:rsid w:val="002A2574"/>
    <w:rsid w:val="002A296C"/>
    <w:rsid w:val="002A32F8"/>
    <w:rsid w:val="002A37D3"/>
    <w:rsid w:val="002A3A2B"/>
    <w:rsid w:val="002A3BD6"/>
    <w:rsid w:val="002A610D"/>
    <w:rsid w:val="002A77B0"/>
    <w:rsid w:val="002B01BF"/>
    <w:rsid w:val="002B033F"/>
    <w:rsid w:val="002B0516"/>
    <w:rsid w:val="002B0590"/>
    <w:rsid w:val="002B0FA3"/>
    <w:rsid w:val="002B183F"/>
    <w:rsid w:val="002B1BB2"/>
    <w:rsid w:val="002B2D00"/>
    <w:rsid w:val="002B33AE"/>
    <w:rsid w:val="002B3E83"/>
    <w:rsid w:val="002B4FE9"/>
    <w:rsid w:val="002B6328"/>
    <w:rsid w:val="002B6C21"/>
    <w:rsid w:val="002B78A2"/>
    <w:rsid w:val="002C0DB9"/>
    <w:rsid w:val="002C170D"/>
    <w:rsid w:val="002C262B"/>
    <w:rsid w:val="002C35F6"/>
    <w:rsid w:val="002C4351"/>
    <w:rsid w:val="002C6485"/>
    <w:rsid w:val="002C64FF"/>
    <w:rsid w:val="002C65DA"/>
    <w:rsid w:val="002C6EAF"/>
    <w:rsid w:val="002C6F0D"/>
    <w:rsid w:val="002C737F"/>
    <w:rsid w:val="002C7565"/>
    <w:rsid w:val="002C7585"/>
    <w:rsid w:val="002C7AD1"/>
    <w:rsid w:val="002C7C04"/>
    <w:rsid w:val="002D0220"/>
    <w:rsid w:val="002D0C4E"/>
    <w:rsid w:val="002D2C59"/>
    <w:rsid w:val="002D2DCF"/>
    <w:rsid w:val="002D35D6"/>
    <w:rsid w:val="002D3BFF"/>
    <w:rsid w:val="002D48C5"/>
    <w:rsid w:val="002D5497"/>
    <w:rsid w:val="002D5625"/>
    <w:rsid w:val="002D5F8D"/>
    <w:rsid w:val="002D69F1"/>
    <w:rsid w:val="002D7287"/>
    <w:rsid w:val="002D7900"/>
    <w:rsid w:val="002D7F26"/>
    <w:rsid w:val="002E03BE"/>
    <w:rsid w:val="002E165E"/>
    <w:rsid w:val="002E1C14"/>
    <w:rsid w:val="002E1CF4"/>
    <w:rsid w:val="002E2785"/>
    <w:rsid w:val="002E33DF"/>
    <w:rsid w:val="002E3F8C"/>
    <w:rsid w:val="002E49B0"/>
    <w:rsid w:val="002E57D5"/>
    <w:rsid w:val="002E582E"/>
    <w:rsid w:val="002E5F6F"/>
    <w:rsid w:val="002E6331"/>
    <w:rsid w:val="002E66FB"/>
    <w:rsid w:val="002E687B"/>
    <w:rsid w:val="002E7961"/>
    <w:rsid w:val="002E7C5B"/>
    <w:rsid w:val="002F0ECF"/>
    <w:rsid w:val="002F0F73"/>
    <w:rsid w:val="002F372C"/>
    <w:rsid w:val="002F486A"/>
    <w:rsid w:val="002F509F"/>
    <w:rsid w:val="002F593D"/>
    <w:rsid w:val="002F5FC6"/>
    <w:rsid w:val="002F62D6"/>
    <w:rsid w:val="002F6992"/>
    <w:rsid w:val="002F7EA8"/>
    <w:rsid w:val="00300062"/>
    <w:rsid w:val="003004C8"/>
    <w:rsid w:val="003005BC"/>
    <w:rsid w:val="0030101D"/>
    <w:rsid w:val="0030144A"/>
    <w:rsid w:val="00301CBD"/>
    <w:rsid w:val="00301F0D"/>
    <w:rsid w:val="00302376"/>
    <w:rsid w:val="003036F7"/>
    <w:rsid w:val="00303884"/>
    <w:rsid w:val="00303CC9"/>
    <w:rsid w:val="00304499"/>
    <w:rsid w:val="003056FA"/>
    <w:rsid w:val="00306958"/>
    <w:rsid w:val="0030699B"/>
    <w:rsid w:val="00306D51"/>
    <w:rsid w:val="00307131"/>
    <w:rsid w:val="003072C2"/>
    <w:rsid w:val="00310070"/>
    <w:rsid w:val="00310EB8"/>
    <w:rsid w:val="00311CA6"/>
    <w:rsid w:val="003131B7"/>
    <w:rsid w:val="00314D72"/>
    <w:rsid w:val="003169BA"/>
    <w:rsid w:val="00317312"/>
    <w:rsid w:val="00320804"/>
    <w:rsid w:val="003209F2"/>
    <w:rsid w:val="00320F5C"/>
    <w:rsid w:val="00321F82"/>
    <w:rsid w:val="00322D5C"/>
    <w:rsid w:val="00323251"/>
    <w:rsid w:val="00323550"/>
    <w:rsid w:val="00323717"/>
    <w:rsid w:val="00324613"/>
    <w:rsid w:val="00324A35"/>
    <w:rsid w:val="003250C3"/>
    <w:rsid w:val="0032669D"/>
    <w:rsid w:val="003267AD"/>
    <w:rsid w:val="00326EB8"/>
    <w:rsid w:val="0032701F"/>
    <w:rsid w:val="003276F7"/>
    <w:rsid w:val="0032771A"/>
    <w:rsid w:val="00327E5A"/>
    <w:rsid w:val="00330C11"/>
    <w:rsid w:val="00330EFD"/>
    <w:rsid w:val="0033339B"/>
    <w:rsid w:val="0033453C"/>
    <w:rsid w:val="00335C03"/>
    <w:rsid w:val="00336851"/>
    <w:rsid w:val="00336E8D"/>
    <w:rsid w:val="003403CB"/>
    <w:rsid w:val="003404CC"/>
    <w:rsid w:val="003409DA"/>
    <w:rsid w:val="00341E67"/>
    <w:rsid w:val="003438DB"/>
    <w:rsid w:val="00343CAA"/>
    <w:rsid w:val="00344099"/>
    <w:rsid w:val="003446BB"/>
    <w:rsid w:val="0034531C"/>
    <w:rsid w:val="00345CFE"/>
    <w:rsid w:val="0034683A"/>
    <w:rsid w:val="00346BEC"/>
    <w:rsid w:val="00347E3A"/>
    <w:rsid w:val="003503B8"/>
    <w:rsid w:val="0035174C"/>
    <w:rsid w:val="00354017"/>
    <w:rsid w:val="003547F0"/>
    <w:rsid w:val="00355AAD"/>
    <w:rsid w:val="00355C5C"/>
    <w:rsid w:val="0035639D"/>
    <w:rsid w:val="0035733A"/>
    <w:rsid w:val="00357E6E"/>
    <w:rsid w:val="00357F14"/>
    <w:rsid w:val="003600D5"/>
    <w:rsid w:val="0036024E"/>
    <w:rsid w:val="00361060"/>
    <w:rsid w:val="0036134C"/>
    <w:rsid w:val="00361BED"/>
    <w:rsid w:val="00361EAA"/>
    <w:rsid w:val="0036302C"/>
    <w:rsid w:val="003633D1"/>
    <w:rsid w:val="00363BE2"/>
    <w:rsid w:val="0036437B"/>
    <w:rsid w:val="00364382"/>
    <w:rsid w:val="00365827"/>
    <w:rsid w:val="00367041"/>
    <w:rsid w:val="003670BB"/>
    <w:rsid w:val="0036727C"/>
    <w:rsid w:val="00367929"/>
    <w:rsid w:val="00367C65"/>
    <w:rsid w:val="00370034"/>
    <w:rsid w:val="003703FB"/>
    <w:rsid w:val="0037058D"/>
    <w:rsid w:val="003710FB"/>
    <w:rsid w:val="003716D4"/>
    <w:rsid w:val="00371F8C"/>
    <w:rsid w:val="00372726"/>
    <w:rsid w:val="00372890"/>
    <w:rsid w:val="00372C4C"/>
    <w:rsid w:val="0037302E"/>
    <w:rsid w:val="003732B9"/>
    <w:rsid w:val="0037336E"/>
    <w:rsid w:val="003736B9"/>
    <w:rsid w:val="00374113"/>
    <w:rsid w:val="003742A1"/>
    <w:rsid w:val="003757F3"/>
    <w:rsid w:val="00375DB5"/>
    <w:rsid w:val="00375FF2"/>
    <w:rsid w:val="003767EF"/>
    <w:rsid w:val="00376933"/>
    <w:rsid w:val="00376BEF"/>
    <w:rsid w:val="00376CC9"/>
    <w:rsid w:val="00377BEC"/>
    <w:rsid w:val="00380464"/>
    <w:rsid w:val="00381222"/>
    <w:rsid w:val="0038144D"/>
    <w:rsid w:val="00381ADC"/>
    <w:rsid w:val="00382B8D"/>
    <w:rsid w:val="0038335C"/>
    <w:rsid w:val="003835D3"/>
    <w:rsid w:val="00384BF9"/>
    <w:rsid w:val="00385910"/>
    <w:rsid w:val="00385C90"/>
    <w:rsid w:val="003868A2"/>
    <w:rsid w:val="00387D0C"/>
    <w:rsid w:val="003906DD"/>
    <w:rsid w:val="0039079A"/>
    <w:rsid w:val="00390B18"/>
    <w:rsid w:val="00390B27"/>
    <w:rsid w:val="0039116D"/>
    <w:rsid w:val="003925A9"/>
    <w:rsid w:val="00392BF5"/>
    <w:rsid w:val="00393AF1"/>
    <w:rsid w:val="00394FD7"/>
    <w:rsid w:val="00396BEB"/>
    <w:rsid w:val="00396FDB"/>
    <w:rsid w:val="003A0141"/>
    <w:rsid w:val="003A1228"/>
    <w:rsid w:val="003A1CB2"/>
    <w:rsid w:val="003A1E84"/>
    <w:rsid w:val="003A2477"/>
    <w:rsid w:val="003A323C"/>
    <w:rsid w:val="003A3399"/>
    <w:rsid w:val="003A342D"/>
    <w:rsid w:val="003A39BC"/>
    <w:rsid w:val="003A428C"/>
    <w:rsid w:val="003A4726"/>
    <w:rsid w:val="003A507E"/>
    <w:rsid w:val="003A541A"/>
    <w:rsid w:val="003A5A5D"/>
    <w:rsid w:val="003A647E"/>
    <w:rsid w:val="003A6F37"/>
    <w:rsid w:val="003A78CD"/>
    <w:rsid w:val="003B048D"/>
    <w:rsid w:val="003B07BB"/>
    <w:rsid w:val="003B0CDB"/>
    <w:rsid w:val="003B0E51"/>
    <w:rsid w:val="003B17CE"/>
    <w:rsid w:val="003B309F"/>
    <w:rsid w:val="003B3139"/>
    <w:rsid w:val="003B3286"/>
    <w:rsid w:val="003B4623"/>
    <w:rsid w:val="003B46E2"/>
    <w:rsid w:val="003B5436"/>
    <w:rsid w:val="003B5753"/>
    <w:rsid w:val="003B5755"/>
    <w:rsid w:val="003B58B4"/>
    <w:rsid w:val="003B601E"/>
    <w:rsid w:val="003B60C3"/>
    <w:rsid w:val="003B71C6"/>
    <w:rsid w:val="003B7304"/>
    <w:rsid w:val="003C02DD"/>
    <w:rsid w:val="003C0B16"/>
    <w:rsid w:val="003C130C"/>
    <w:rsid w:val="003C2066"/>
    <w:rsid w:val="003C2425"/>
    <w:rsid w:val="003C34A8"/>
    <w:rsid w:val="003C52F2"/>
    <w:rsid w:val="003C5D74"/>
    <w:rsid w:val="003C61FF"/>
    <w:rsid w:val="003C762D"/>
    <w:rsid w:val="003C7948"/>
    <w:rsid w:val="003C7E44"/>
    <w:rsid w:val="003C7F01"/>
    <w:rsid w:val="003D06E5"/>
    <w:rsid w:val="003D090E"/>
    <w:rsid w:val="003D0C40"/>
    <w:rsid w:val="003D1451"/>
    <w:rsid w:val="003D1E5B"/>
    <w:rsid w:val="003D26AA"/>
    <w:rsid w:val="003D2916"/>
    <w:rsid w:val="003D2D75"/>
    <w:rsid w:val="003D3AFB"/>
    <w:rsid w:val="003D3B9D"/>
    <w:rsid w:val="003D3C90"/>
    <w:rsid w:val="003D3EF9"/>
    <w:rsid w:val="003D4A21"/>
    <w:rsid w:val="003D5B3B"/>
    <w:rsid w:val="003D5D7D"/>
    <w:rsid w:val="003D61C3"/>
    <w:rsid w:val="003D6D37"/>
    <w:rsid w:val="003D6F01"/>
    <w:rsid w:val="003D72FB"/>
    <w:rsid w:val="003D793E"/>
    <w:rsid w:val="003E007B"/>
    <w:rsid w:val="003E070B"/>
    <w:rsid w:val="003E0BC2"/>
    <w:rsid w:val="003E1224"/>
    <w:rsid w:val="003E28E0"/>
    <w:rsid w:val="003E2AFF"/>
    <w:rsid w:val="003E2C0A"/>
    <w:rsid w:val="003E2F3F"/>
    <w:rsid w:val="003E34A9"/>
    <w:rsid w:val="003E3B21"/>
    <w:rsid w:val="003E410A"/>
    <w:rsid w:val="003E51C1"/>
    <w:rsid w:val="003E5BE6"/>
    <w:rsid w:val="003E6882"/>
    <w:rsid w:val="003E74A0"/>
    <w:rsid w:val="003E7A36"/>
    <w:rsid w:val="003E7A7C"/>
    <w:rsid w:val="003E7E82"/>
    <w:rsid w:val="003F0CB3"/>
    <w:rsid w:val="003F13D9"/>
    <w:rsid w:val="003F160C"/>
    <w:rsid w:val="003F180A"/>
    <w:rsid w:val="003F187A"/>
    <w:rsid w:val="003F1DA2"/>
    <w:rsid w:val="003F2974"/>
    <w:rsid w:val="003F347D"/>
    <w:rsid w:val="003F3576"/>
    <w:rsid w:val="003F3E3E"/>
    <w:rsid w:val="003F5D19"/>
    <w:rsid w:val="003F60FC"/>
    <w:rsid w:val="003F7B67"/>
    <w:rsid w:val="0040072A"/>
    <w:rsid w:val="004011D7"/>
    <w:rsid w:val="0040218C"/>
    <w:rsid w:val="004028A5"/>
    <w:rsid w:val="00402E55"/>
    <w:rsid w:val="0040349E"/>
    <w:rsid w:val="00403A3F"/>
    <w:rsid w:val="0040494A"/>
    <w:rsid w:val="00405218"/>
    <w:rsid w:val="00405AFA"/>
    <w:rsid w:val="00410506"/>
    <w:rsid w:val="00410534"/>
    <w:rsid w:val="00410D77"/>
    <w:rsid w:val="00412915"/>
    <w:rsid w:val="00412E93"/>
    <w:rsid w:val="004134BD"/>
    <w:rsid w:val="00415047"/>
    <w:rsid w:val="0041524B"/>
    <w:rsid w:val="00415BB4"/>
    <w:rsid w:val="00416D89"/>
    <w:rsid w:val="00417132"/>
    <w:rsid w:val="00417AD9"/>
    <w:rsid w:val="00417B23"/>
    <w:rsid w:val="00420119"/>
    <w:rsid w:val="00420749"/>
    <w:rsid w:val="0042130F"/>
    <w:rsid w:val="00421BBC"/>
    <w:rsid w:val="0042301B"/>
    <w:rsid w:val="00423312"/>
    <w:rsid w:val="00423B21"/>
    <w:rsid w:val="00424353"/>
    <w:rsid w:val="004247CD"/>
    <w:rsid w:val="00425158"/>
    <w:rsid w:val="00425ED0"/>
    <w:rsid w:val="004265A1"/>
    <w:rsid w:val="00426E71"/>
    <w:rsid w:val="00427391"/>
    <w:rsid w:val="00427CFB"/>
    <w:rsid w:val="00430751"/>
    <w:rsid w:val="00430990"/>
    <w:rsid w:val="00431013"/>
    <w:rsid w:val="0043125D"/>
    <w:rsid w:val="0043270D"/>
    <w:rsid w:val="00433656"/>
    <w:rsid w:val="00434193"/>
    <w:rsid w:val="004341FC"/>
    <w:rsid w:val="00434CE2"/>
    <w:rsid w:val="004351DF"/>
    <w:rsid w:val="004358B4"/>
    <w:rsid w:val="00436012"/>
    <w:rsid w:val="00436C1D"/>
    <w:rsid w:val="00436CFB"/>
    <w:rsid w:val="00436F38"/>
    <w:rsid w:val="004371B0"/>
    <w:rsid w:val="0043729D"/>
    <w:rsid w:val="00441035"/>
    <w:rsid w:val="00441152"/>
    <w:rsid w:val="004413AD"/>
    <w:rsid w:val="0044148A"/>
    <w:rsid w:val="0044178F"/>
    <w:rsid w:val="0044182D"/>
    <w:rsid w:val="00441CD4"/>
    <w:rsid w:val="00442218"/>
    <w:rsid w:val="0044266F"/>
    <w:rsid w:val="00442838"/>
    <w:rsid w:val="00443DB9"/>
    <w:rsid w:val="0044450C"/>
    <w:rsid w:val="004447F7"/>
    <w:rsid w:val="00444DAF"/>
    <w:rsid w:val="00444FB3"/>
    <w:rsid w:val="004451B8"/>
    <w:rsid w:val="004453C0"/>
    <w:rsid w:val="004454FE"/>
    <w:rsid w:val="00445BE5"/>
    <w:rsid w:val="00446300"/>
    <w:rsid w:val="004464A3"/>
    <w:rsid w:val="004464A6"/>
    <w:rsid w:val="0044715A"/>
    <w:rsid w:val="004504DE"/>
    <w:rsid w:val="004508C3"/>
    <w:rsid w:val="004509A9"/>
    <w:rsid w:val="004513E9"/>
    <w:rsid w:val="00451597"/>
    <w:rsid w:val="004527CA"/>
    <w:rsid w:val="00453078"/>
    <w:rsid w:val="004549BA"/>
    <w:rsid w:val="004557FE"/>
    <w:rsid w:val="00455BC5"/>
    <w:rsid w:val="00455BE9"/>
    <w:rsid w:val="00455E27"/>
    <w:rsid w:val="0045616C"/>
    <w:rsid w:val="00456211"/>
    <w:rsid w:val="004567F3"/>
    <w:rsid w:val="004617C4"/>
    <w:rsid w:val="00462A03"/>
    <w:rsid w:val="00463522"/>
    <w:rsid w:val="0046376A"/>
    <w:rsid w:val="00464243"/>
    <w:rsid w:val="004646FB"/>
    <w:rsid w:val="0046524F"/>
    <w:rsid w:val="00465FB7"/>
    <w:rsid w:val="004668E1"/>
    <w:rsid w:val="00467C5C"/>
    <w:rsid w:val="00467CA4"/>
    <w:rsid w:val="004713CB"/>
    <w:rsid w:val="00472C3A"/>
    <w:rsid w:val="00474663"/>
    <w:rsid w:val="00474C81"/>
    <w:rsid w:val="00474D89"/>
    <w:rsid w:val="004755F5"/>
    <w:rsid w:val="00475CAB"/>
    <w:rsid w:val="00476A85"/>
    <w:rsid w:val="004770DE"/>
    <w:rsid w:val="00477233"/>
    <w:rsid w:val="00477741"/>
    <w:rsid w:val="004801EA"/>
    <w:rsid w:val="00480ECE"/>
    <w:rsid w:val="00482871"/>
    <w:rsid w:val="004832C7"/>
    <w:rsid w:val="004838E9"/>
    <w:rsid w:val="00483B93"/>
    <w:rsid w:val="00484633"/>
    <w:rsid w:val="00484D66"/>
    <w:rsid w:val="00486102"/>
    <w:rsid w:val="0048613A"/>
    <w:rsid w:val="00486366"/>
    <w:rsid w:val="00486A12"/>
    <w:rsid w:val="00486E14"/>
    <w:rsid w:val="004873D8"/>
    <w:rsid w:val="00487B18"/>
    <w:rsid w:val="0049017A"/>
    <w:rsid w:val="004911A8"/>
    <w:rsid w:val="004914CE"/>
    <w:rsid w:val="004914E3"/>
    <w:rsid w:val="0049187E"/>
    <w:rsid w:val="0049198A"/>
    <w:rsid w:val="004933F4"/>
    <w:rsid w:val="00493AA4"/>
    <w:rsid w:val="00494815"/>
    <w:rsid w:val="00494DEB"/>
    <w:rsid w:val="00495220"/>
    <w:rsid w:val="00495502"/>
    <w:rsid w:val="00497083"/>
    <w:rsid w:val="00497278"/>
    <w:rsid w:val="004978B1"/>
    <w:rsid w:val="00497F5E"/>
    <w:rsid w:val="004A0251"/>
    <w:rsid w:val="004A08CF"/>
    <w:rsid w:val="004A1121"/>
    <w:rsid w:val="004A1D9C"/>
    <w:rsid w:val="004A33F1"/>
    <w:rsid w:val="004A396F"/>
    <w:rsid w:val="004A4B45"/>
    <w:rsid w:val="004A6BBC"/>
    <w:rsid w:val="004B0FC9"/>
    <w:rsid w:val="004B21F1"/>
    <w:rsid w:val="004B2652"/>
    <w:rsid w:val="004B40BA"/>
    <w:rsid w:val="004B4850"/>
    <w:rsid w:val="004B5C51"/>
    <w:rsid w:val="004B5D78"/>
    <w:rsid w:val="004C01D4"/>
    <w:rsid w:val="004C0617"/>
    <w:rsid w:val="004C0760"/>
    <w:rsid w:val="004C087C"/>
    <w:rsid w:val="004C1205"/>
    <w:rsid w:val="004C3514"/>
    <w:rsid w:val="004C4655"/>
    <w:rsid w:val="004C4E9D"/>
    <w:rsid w:val="004C5A21"/>
    <w:rsid w:val="004C5D94"/>
    <w:rsid w:val="004C60F4"/>
    <w:rsid w:val="004C68FF"/>
    <w:rsid w:val="004C7353"/>
    <w:rsid w:val="004D09D8"/>
    <w:rsid w:val="004D16D6"/>
    <w:rsid w:val="004D1C19"/>
    <w:rsid w:val="004D1C3C"/>
    <w:rsid w:val="004D2775"/>
    <w:rsid w:val="004D2BF7"/>
    <w:rsid w:val="004D3C77"/>
    <w:rsid w:val="004D3E48"/>
    <w:rsid w:val="004D7906"/>
    <w:rsid w:val="004E019D"/>
    <w:rsid w:val="004E0798"/>
    <w:rsid w:val="004E0EF4"/>
    <w:rsid w:val="004E0F06"/>
    <w:rsid w:val="004E17C8"/>
    <w:rsid w:val="004E26C7"/>
    <w:rsid w:val="004E460C"/>
    <w:rsid w:val="004E4D03"/>
    <w:rsid w:val="004E5986"/>
    <w:rsid w:val="004E59B3"/>
    <w:rsid w:val="004E6095"/>
    <w:rsid w:val="004E6526"/>
    <w:rsid w:val="004F129A"/>
    <w:rsid w:val="004F14F3"/>
    <w:rsid w:val="004F18D5"/>
    <w:rsid w:val="004F2304"/>
    <w:rsid w:val="004F2828"/>
    <w:rsid w:val="004F2962"/>
    <w:rsid w:val="004F2B74"/>
    <w:rsid w:val="004F324D"/>
    <w:rsid w:val="004F3689"/>
    <w:rsid w:val="004F392F"/>
    <w:rsid w:val="004F3F27"/>
    <w:rsid w:val="004F40E2"/>
    <w:rsid w:val="004F449E"/>
    <w:rsid w:val="004F477F"/>
    <w:rsid w:val="004F4B4B"/>
    <w:rsid w:val="004F5BEB"/>
    <w:rsid w:val="004F6458"/>
    <w:rsid w:val="004F73A1"/>
    <w:rsid w:val="00500579"/>
    <w:rsid w:val="00501694"/>
    <w:rsid w:val="0050171D"/>
    <w:rsid w:val="00502764"/>
    <w:rsid w:val="00502F29"/>
    <w:rsid w:val="0050304F"/>
    <w:rsid w:val="005057F7"/>
    <w:rsid w:val="00506267"/>
    <w:rsid w:val="00506A54"/>
    <w:rsid w:val="00507489"/>
    <w:rsid w:val="005079CF"/>
    <w:rsid w:val="00507E7C"/>
    <w:rsid w:val="00507ED0"/>
    <w:rsid w:val="005102C5"/>
    <w:rsid w:val="005117FB"/>
    <w:rsid w:val="00511C02"/>
    <w:rsid w:val="0051216E"/>
    <w:rsid w:val="00512DC9"/>
    <w:rsid w:val="00513A88"/>
    <w:rsid w:val="00513F98"/>
    <w:rsid w:val="005144A9"/>
    <w:rsid w:val="005144C6"/>
    <w:rsid w:val="005151F9"/>
    <w:rsid w:val="0051572A"/>
    <w:rsid w:val="00515738"/>
    <w:rsid w:val="005159A6"/>
    <w:rsid w:val="00516C80"/>
    <w:rsid w:val="005178FD"/>
    <w:rsid w:val="005201C3"/>
    <w:rsid w:val="005204E4"/>
    <w:rsid w:val="00520D1F"/>
    <w:rsid w:val="0052131F"/>
    <w:rsid w:val="00521854"/>
    <w:rsid w:val="0052254E"/>
    <w:rsid w:val="00523A69"/>
    <w:rsid w:val="00523E73"/>
    <w:rsid w:val="00523F07"/>
    <w:rsid w:val="0052428E"/>
    <w:rsid w:val="005248A9"/>
    <w:rsid w:val="005254AB"/>
    <w:rsid w:val="005261A3"/>
    <w:rsid w:val="00526D23"/>
    <w:rsid w:val="00527304"/>
    <w:rsid w:val="00527FEF"/>
    <w:rsid w:val="005305A8"/>
    <w:rsid w:val="005309E2"/>
    <w:rsid w:val="00531624"/>
    <w:rsid w:val="00531D58"/>
    <w:rsid w:val="00532FCC"/>
    <w:rsid w:val="00533469"/>
    <w:rsid w:val="005336EA"/>
    <w:rsid w:val="00534000"/>
    <w:rsid w:val="0053423E"/>
    <w:rsid w:val="00534E55"/>
    <w:rsid w:val="005356B0"/>
    <w:rsid w:val="00536A2E"/>
    <w:rsid w:val="005374E9"/>
    <w:rsid w:val="005376F1"/>
    <w:rsid w:val="00537BCB"/>
    <w:rsid w:val="00537CAF"/>
    <w:rsid w:val="0054081C"/>
    <w:rsid w:val="00541010"/>
    <w:rsid w:val="00543414"/>
    <w:rsid w:val="00544B3D"/>
    <w:rsid w:val="00544C85"/>
    <w:rsid w:val="00546180"/>
    <w:rsid w:val="00546A4C"/>
    <w:rsid w:val="00546FA9"/>
    <w:rsid w:val="005502D2"/>
    <w:rsid w:val="0055095D"/>
    <w:rsid w:val="00550DC2"/>
    <w:rsid w:val="00550DC7"/>
    <w:rsid w:val="005516B8"/>
    <w:rsid w:val="0055196F"/>
    <w:rsid w:val="00551CC8"/>
    <w:rsid w:val="00552A53"/>
    <w:rsid w:val="00553527"/>
    <w:rsid w:val="005538CA"/>
    <w:rsid w:val="0055395E"/>
    <w:rsid w:val="005542DE"/>
    <w:rsid w:val="00554919"/>
    <w:rsid w:val="0055492B"/>
    <w:rsid w:val="005555BA"/>
    <w:rsid w:val="00555D55"/>
    <w:rsid w:val="005565E5"/>
    <w:rsid w:val="0056142A"/>
    <w:rsid w:val="00561970"/>
    <w:rsid w:val="00561BC4"/>
    <w:rsid w:val="00561EB1"/>
    <w:rsid w:val="0056220B"/>
    <w:rsid w:val="005622D7"/>
    <w:rsid w:val="005625F9"/>
    <w:rsid w:val="0056298B"/>
    <w:rsid w:val="00563B54"/>
    <w:rsid w:val="00563D18"/>
    <w:rsid w:val="00564B3D"/>
    <w:rsid w:val="00564F3B"/>
    <w:rsid w:val="00565ED8"/>
    <w:rsid w:val="00566CA3"/>
    <w:rsid w:val="005672DC"/>
    <w:rsid w:val="00567E11"/>
    <w:rsid w:val="005700D5"/>
    <w:rsid w:val="005700D6"/>
    <w:rsid w:val="00570263"/>
    <w:rsid w:val="00570757"/>
    <w:rsid w:val="005715EF"/>
    <w:rsid w:val="00571BE8"/>
    <w:rsid w:val="0057231A"/>
    <w:rsid w:val="00572453"/>
    <w:rsid w:val="00572A33"/>
    <w:rsid w:val="00572AA0"/>
    <w:rsid w:val="005736C5"/>
    <w:rsid w:val="00574229"/>
    <w:rsid w:val="005748EB"/>
    <w:rsid w:val="00574E6A"/>
    <w:rsid w:val="0057585A"/>
    <w:rsid w:val="00575F19"/>
    <w:rsid w:val="005769D4"/>
    <w:rsid w:val="005772B9"/>
    <w:rsid w:val="00580E33"/>
    <w:rsid w:val="00583EA5"/>
    <w:rsid w:val="00583FB0"/>
    <w:rsid w:val="005845ED"/>
    <w:rsid w:val="005859EE"/>
    <w:rsid w:val="0058632E"/>
    <w:rsid w:val="00586F6B"/>
    <w:rsid w:val="005907E2"/>
    <w:rsid w:val="0059084E"/>
    <w:rsid w:val="00591BC8"/>
    <w:rsid w:val="005921D0"/>
    <w:rsid w:val="00592572"/>
    <w:rsid w:val="00592F2C"/>
    <w:rsid w:val="00593209"/>
    <w:rsid w:val="0059356E"/>
    <w:rsid w:val="0059384D"/>
    <w:rsid w:val="005938E0"/>
    <w:rsid w:val="005939A7"/>
    <w:rsid w:val="00594165"/>
    <w:rsid w:val="00594C77"/>
    <w:rsid w:val="00596081"/>
    <w:rsid w:val="00596F93"/>
    <w:rsid w:val="005974A7"/>
    <w:rsid w:val="00597918"/>
    <w:rsid w:val="00597920"/>
    <w:rsid w:val="00597FCD"/>
    <w:rsid w:val="005A0CA6"/>
    <w:rsid w:val="005A144A"/>
    <w:rsid w:val="005A2A05"/>
    <w:rsid w:val="005A35AA"/>
    <w:rsid w:val="005A3FBF"/>
    <w:rsid w:val="005A445A"/>
    <w:rsid w:val="005A593E"/>
    <w:rsid w:val="005A7421"/>
    <w:rsid w:val="005B0336"/>
    <w:rsid w:val="005B0859"/>
    <w:rsid w:val="005B0A1C"/>
    <w:rsid w:val="005B10C3"/>
    <w:rsid w:val="005B1B4D"/>
    <w:rsid w:val="005B1CFB"/>
    <w:rsid w:val="005B30D1"/>
    <w:rsid w:val="005B3A75"/>
    <w:rsid w:val="005B4165"/>
    <w:rsid w:val="005B484B"/>
    <w:rsid w:val="005B4E65"/>
    <w:rsid w:val="005B54BD"/>
    <w:rsid w:val="005B5771"/>
    <w:rsid w:val="005B5851"/>
    <w:rsid w:val="005B6346"/>
    <w:rsid w:val="005B65F4"/>
    <w:rsid w:val="005B6EB8"/>
    <w:rsid w:val="005B7348"/>
    <w:rsid w:val="005B7F86"/>
    <w:rsid w:val="005C01CF"/>
    <w:rsid w:val="005C04EF"/>
    <w:rsid w:val="005C0518"/>
    <w:rsid w:val="005C0E01"/>
    <w:rsid w:val="005C196F"/>
    <w:rsid w:val="005C1CB2"/>
    <w:rsid w:val="005C2DD4"/>
    <w:rsid w:val="005C37A4"/>
    <w:rsid w:val="005C4BE9"/>
    <w:rsid w:val="005C56CC"/>
    <w:rsid w:val="005C6158"/>
    <w:rsid w:val="005C6BCF"/>
    <w:rsid w:val="005C7AD7"/>
    <w:rsid w:val="005C7CB5"/>
    <w:rsid w:val="005D0844"/>
    <w:rsid w:val="005D15E0"/>
    <w:rsid w:val="005D2648"/>
    <w:rsid w:val="005D2C8B"/>
    <w:rsid w:val="005D3D79"/>
    <w:rsid w:val="005D5AA0"/>
    <w:rsid w:val="005D6039"/>
    <w:rsid w:val="005D63BA"/>
    <w:rsid w:val="005D68B2"/>
    <w:rsid w:val="005D7775"/>
    <w:rsid w:val="005D789C"/>
    <w:rsid w:val="005D7AD2"/>
    <w:rsid w:val="005D7DCD"/>
    <w:rsid w:val="005E019F"/>
    <w:rsid w:val="005E0DCB"/>
    <w:rsid w:val="005E0E11"/>
    <w:rsid w:val="005E23DB"/>
    <w:rsid w:val="005E272D"/>
    <w:rsid w:val="005E2EA0"/>
    <w:rsid w:val="005E36E4"/>
    <w:rsid w:val="005E495C"/>
    <w:rsid w:val="005E4AED"/>
    <w:rsid w:val="005E4E92"/>
    <w:rsid w:val="005E6500"/>
    <w:rsid w:val="005F0E90"/>
    <w:rsid w:val="005F1F64"/>
    <w:rsid w:val="005F2C3A"/>
    <w:rsid w:val="005F3154"/>
    <w:rsid w:val="005F38F4"/>
    <w:rsid w:val="005F4551"/>
    <w:rsid w:val="005F4BD2"/>
    <w:rsid w:val="005F5051"/>
    <w:rsid w:val="005F669A"/>
    <w:rsid w:val="005F68D7"/>
    <w:rsid w:val="005F7D5F"/>
    <w:rsid w:val="00600565"/>
    <w:rsid w:val="006006DC"/>
    <w:rsid w:val="00600F72"/>
    <w:rsid w:val="006011E1"/>
    <w:rsid w:val="00601739"/>
    <w:rsid w:val="0060230E"/>
    <w:rsid w:val="006024F8"/>
    <w:rsid w:val="0060296D"/>
    <w:rsid w:val="006029FB"/>
    <w:rsid w:val="006039A2"/>
    <w:rsid w:val="00603E47"/>
    <w:rsid w:val="00604664"/>
    <w:rsid w:val="00604F74"/>
    <w:rsid w:val="00605184"/>
    <w:rsid w:val="00605A17"/>
    <w:rsid w:val="006068C2"/>
    <w:rsid w:val="00606E9C"/>
    <w:rsid w:val="00607083"/>
    <w:rsid w:val="0060749D"/>
    <w:rsid w:val="006077E0"/>
    <w:rsid w:val="00607CB4"/>
    <w:rsid w:val="0061041C"/>
    <w:rsid w:val="0061105A"/>
    <w:rsid w:val="00611573"/>
    <w:rsid w:val="00611896"/>
    <w:rsid w:val="006129E7"/>
    <w:rsid w:val="00612F32"/>
    <w:rsid w:val="0061321F"/>
    <w:rsid w:val="006134C0"/>
    <w:rsid w:val="00613A97"/>
    <w:rsid w:val="00614801"/>
    <w:rsid w:val="00614A7B"/>
    <w:rsid w:val="0061535D"/>
    <w:rsid w:val="0061632D"/>
    <w:rsid w:val="00616373"/>
    <w:rsid w:val="0061656B"/>
    <w:rsid w:val="00616FA5"/>
    <w:rsid w:val="00617426"/>
    <w:rsid w:val="00620CD4"/>
    <w:rsid w:val="006212C6"/>
    <w:rsid w:val="006215F8"/>
    <w:rsid w:val="00621F48"/>
    <w:rsid w:val="00622785"/>
    <w:rsid w:val="0062303E"/>
    <w:rsid w:val="00623244"/>
    <w:rsid w:val="00623595"/>
    <w:rsid w:val="0062430E"/>
    <w:rsid w:val="006245C5"/>
    <w:rsid w:val="00625131"/>
    <w:rsid w:val="006257AF"/>
    <w:rsid w:val="00625825"/>
    <w:rsid w:val="00625847"/>
    <w:rsid w:val="00625BB1"/>
    <w:rsid w:val="00626454"/>
    <w:rsid w:val="006268AE"/>
    <w:rsid w:val="00627607"/>
    <w:rsid w:val="00627A56"/>
    <w:rsid w:val="006300EE"/>
    <w:rsid w:val="0063073B"/>
    <w:rsid w:val="00630DAD"/>
    <w:rsid w:val="00630DBF"/>
    <w:rsid w:val="00632626"/>
    <w:rsid w:val="006333DA"/>
    <w:rsid w:val="00633C9C"/>
    <w:rsid w:val="00633D6C"/>
    <w:rsid w:val="00633F77"/>
    <w:rsid w:val="006347AD"/>
    <w:rsid w:val="006360D9"/>
    <w:rsid w:val="00636B0A"/>
    <w:rsid w:val="0064021C"/>
    <w:rsid w:val="006403D6"/>
    <w:rsid w:val="0064058F"/>
    <w:rsid w:val="00641E22"/>
    <w:rsid w:val="0064241C"/>
    <w:rsid w:val="00642D01"/>
    <w:rsid w:val="00642D88"/>
    <w:rsid w:val="00643D4B"/>
    <w:rsid w:val="00644131"/>
    <w:rsid w:val="006442CA"/>
    <w:rsid w:val="006449B1"/>
    <w:rsid w:val="00645B2D"/>
    <w:rsid w:val="00645B95"/>
    <w:rsid w:val="00645CDE"/>
    <w:rsid w:val="0064603A"/>
    <w:rsid w:val="0064605D"/>
    <w:rsid w:val="0064669B"/>
    <w:rsid w:val="00646992"/>
    <w:rsid w:val="00646E8E"/>
    <w:rsid w:val="006473FF"/>
    <w:rsid w:val="00650593"/>
    <w:rsid w:val="00651133"/>
    <w:rsid w:val="00651337"/>
    <w:rsid w:val="006536C4"/>
    <w:rsid w:val="006537F8"/>
    <w:rsid w:val="00653C14"/>
    <w:rsid w:val="00654842"/>
    <w:rsid w:val="00655981"/>
    <w:rsid w:val="00657ADD"/>
    <w:rsid w:val="00657AEC"/>
    <w:rsid w:val="00657F58"/>
    <w:rsid w:val="00661013"/>
    <w:rsid w:val="006616EC"/>
    <w:rsid w:val="00661C7D"/>
    <w:rsid w:val="006625F5"/>
    <w:rsid w:val="006634A1"/>
    <w:rsid w:val="00663918"/>
    <w:rsid w:val="006646CF"/>
    <w:rsid w:val="0066575C"/>
    <w:rsid w:val="006657F0"/>
    <w:rsid w:val="00665A18"/>
    <w:rsid w:val="00666239"/>
    <w:rsid w:val="00667B58"/>
    <w:rsid w:val="00667C97"/>
    <w:rsid w:val="006707EC"/>
    <w:rsid w:val="00670E63"/>
    <w:rsid w:val="00671B96"/>
    <w:rsid w:val="00671CE0"/>
    <w:rsid w:val="00672786"/>
    <w:rsid w:val="0067450C"/>
    <w:rsid w:val="00674D59"/>
    <w:rsid w:val="00675104"/>
    <w:rsid w:val="00676C86"/>
    <w:rsid w:val="006812F0"/>
    <w:rsid w:val="006813C8"/>
    <w:rsid w:val="0068283F"/>
    <w:rsid w:val="006836A3"/>
    <w:rsid w:val="00683785"/>
    <w:rsid w:val="00683D3E"/>
    <w:rsid w:val="0068576B"/>
    <w:rsid w:val="006857E4"/>
    <w:rsid w:val="00686202"/>
    <w:rsid w:val="00686BD4"/>
    <w:rsid w:val="0068753B"/>
    <w:rsid w:val="006879DA"/>
    <w:rsid w:val="006879ED"/>
    <w:rsid w:val="00690806"/>
    <w:rsid w:val="00690D42"/>
    <w:rsid w:val="00691478"/>
    <w:rsid w:val="00691CD5"/>
    <w:rsid w:val="00692D22"/>
    <w:rsid w:val="006933E1"/>
    <w:rsid w:val="00693890"/>
    <w:rsid w:val="0069395F"/>
    <w:rsid w:val="00694C93"/>
    <w:rsid w:val="00694D78"/>
    <w:rsid w:val="00694F2F"/>
    <w:rsid w:val="00695564"/>
    <w:rsid w:val="0069622B"/>
    <w:rsid w:val="006965C6"/>
    <w:rsid w:val="0069709D"/>
    <w:rsid w:val="0069714A"/>
    <w:rsid w:val="00697AF0"/>
    <w:rsid w:val="00697C63"/>
    <w:rsid w:val="006A066C"/>
    <w:rsid w:val="006A0B0E"/>
    <w:rsid w:val="006A0B4E"/>
    <w:rsid w:val="006A0CE0"/>
    <w:rsid w:val="006A115F"/>
    <w:rsid w:val="006A17E7"/>
    <w:rsid w:val="006A1A09"/>
    <w:rsid w:val="006A1B55"/>
    <w:rsid w:val="006A23B7"/>
    <w:rsid w:val="006A3A78"/>
    <w:rsid w:val="006A3FAE"/>
    <w:rsid w:val="006A476A"/>
    <w:rsid w:val="006A55DE"/>
    <w:rsid w:val="006A55EC"/>
    <w:rsid w:val="006A59F8"/>
    <w:rsid w:val="006A638F"/>
    <w:rsid w:val="006A6491"/>
    <w:rsid w:val="006B0547"/>
    <w:rsid w:val="006B0F55"/>
    <w:rsid w:val="006B134C"/>
    <w:rsid w:val="006B18F0"/>
    <w:rsid w:val="006B1DCF"/>
    <w:rsid w:val="006B2131"/>
    <w:rsid w:val="006B23C7"/>
    <w:rsid w:val="006B2D1A"/>
    <w:rsid w:val="006B3481"/>
    <w:rsid w:val="006B3C46"/>
    <w:rsid w:val="006B49B8"/>
    <w:rsid w:val="006B4FB6"/>
    <w:rsid w:val="006B5210"/>
    <w:rsid w:val="006B559C"/>
    <w:rsid w:val="006B5CFF"/>
    <w:rsid w:val="006B70CA"/>
    <w:rsid w:val="006B7F53"/>
    <w:rsid w:val="006C0A81"/>
    <w:rsid w:val="006C21B9"/>
    <w:rsid w:val="006C2763"/>
    <w:rsid w:val="006C33CC"/>
    <w:rsid w:val="006C36ED"/>
    <w:rsid w:val="006C386C"/>
    <w:rsid w:val="006C4068"/>
    <w:rsid w:val="006C4D08"/>
    <w:rsid w:val="006C4DCD"/>
    <w:rsid w:val="006C4E2C"/>
    <w:rsid w:val="006C5DF7"/>
    <w:rsid w:val="006C61E2"/>
    <w:rsid w:val="006C6C01"/>
    <w:rsid w:val="006C7953"/>
    <w:rsid w:val="006D0314"/>
    <w:rsid w:val="006D0512"/>
    <w:rsid w:val="006D0FC5"/>
    <w:rsid w:val="006D1861"/>
    <w:rsid w:val="006D1D57"/>
    <w:rsid w:val="006D31C2"/>
    <w:rsid w:val="006D323E"/>
    <w:rsid w:val="006D4671"/>
    <w:rsid w:val="006D4D86"/>
    <w:rsid w:val="006D5035"/>
    <w:rsid w:val="006D53E8"/>
    <w:rsid w:val="006D552F"/>
    <w:rsid w:val="006D5A8B"/>
    <w:rsid w:val="006D5EEF"/>
    <w:rsid w:val="006D7576"/>
    <w:rsid w:val="006D7A75"/>
    <w:rsid w:val="006E0495"/>
    <w:rsid w:val="006E0DA3"/>
    <w:rsid w:val="006E13ED"/>
    <w:rsid w:val="006E1762"/>
    <w:rsid w:val="006E2A07"/>
    <w:rsid w:val="006E2C66"/>
    <w:rsid w:val="006E3C38"/>
    <w:rsid w:val="006E57A4"/>
    <w:rsid w:val="006E5E53"/>
    <w:rsid w:val="006E6024"/>
    <w:rsid w:val="006E6D3F"/>
    <w:rsid w:val="006F0097"/>
    <w:rsid w:val="006F18C9"/>
    <w:rsid w:val="006F20B0"/>
    <w:rsid w:val="006F228E"/>
    <w:rsid w:val="006F238B"/>
    <w:rsid w:val="006F2751"/>
    <w:rsid w:val="006F27CF"/>
    <w:rsid w:val="006F2900"/>
    <w:rsid w:val="006F31E8"/>
    <w:rsid w:val="006F3564"/>
    <w:rsid w:val="006F6396"/>
    <w:rsid w:val="006F66B3"/>
    <w:rsid w:val="006F6F9D"/>
    <w:rsid w:val="006F76D0"/>
    <w:rsid w:val="006F7B0F"/>
    <w:rsid w:val="006F7F10"/>
    <w:rsid w:val="00700D4C"/>
    <w:rsid w:val="0070109C"/>
    <w:rsid w:val="00701399"/>
    <w:rsid w:val="007014C6"/>
    <w:rsid w:val="00701F22"/>
    <w:rsid w:val="007022B0"/>
    <w:rsid w:val="00702341"/>
    <w:rsid w:val="007029D8"/>
    <w:rsid w:val="0070325F"/>
    <w:rsid w:val="00703951"/>
    <w:rsid w:val="00703E9E"/>
    <w:rsid w:val="00704088"/>
    <w:rsid w:val="0070437C"/>
    <w:rsid w:val="00704817"/>
    <w:rsid w:val="00704AF5"/>
    <w:rsid w:val="00705B54"/>
    <w:rsid w:val="00706BED"/>
    <w:rsid w:val="00706CBC"/>
    <w:rsid w:val="00707924"/>
    <w:rsid w:val="007101FF"/>
    <w:rsid w:val="00711399"/>
    <w:rsid w:val="00711B6F"/>
    <w:rsid w:val="007120A6"/>
    <w:rsid w:val="0071245D"/>
    <w:rsid w:val="007124CD"/>
    <w:rsid w:val="00713144"/>
    <w:rsid w:val="007141C2"/>
    <w:rsid w:val="00714410"/>
    <w:rsid w:val="0071441D"/>
    <w:rsid w:val="0071500D"/>
    <w:rsid w:val="00716798"/>
    <w:rsid w:val="00717E93"/>
    <w:rsid w:val="00720A30"/>
    <w:rsid w:val="00720A6C"/>
    <w:rsid w:val="007213F4"/>
    <w:rsid w:val="007215F7"/>
    <w:rsid w:val="007221D4"/>
    <w:rsid w:val="0072232C"/>
    <w:rsid w:val="007223E2"/>
    <w:rsid w:val="0072417E"/>
    <w:rsid w:val="0073056E"/>
    <w:rsid w:val="00731452"/>
    <w:rsid w:val="00731F99"/>
    <w:rsid w:val="007326B1"/>
    <w:rsid w:val="007336F4"/>
    <w:rsid w:val="00733AFB"/>
    <w:rsid w:val="00734806"/>
    <w:rsid w:val="007349B6"/>
    <w:rsid w:val="00734C66"/>
    <w:rsid w:val="00734D8D"/>
    <w:rsid w:val="0073553D"/>
    <w:rsid w:val="00737516"/>
    <w:rsid w:val="00737C49"/>
    <w:rsid w:val="00740A53"/>
    <w:rsid w:val="00740B76"/>
    <w:rsid w:val="007420F6"/>
    <w:rsid w:val="00742350"/>
    <w:rsid w:val="00742D1D"/>
    <w:rsid w:val="00744CC6"/>
    <w:rsid w:val="00745037"/>
    <w:rsid w:val="0074589E"/>
    <w:rsid w:val="007463DF"/>
    <w:rsid w:val="007464E9"/>
    <w:rsid w:val="00746CAC"/>
    <w:rsid w:val="00747B81"/>
    <w:rsid w:val="00747E23"/>
    <w:rsid w:val="0075019E"/>
    <w:rsid w:val="00750305"/>
    <w:rsid w:val="007511D5"/>
    <w:rsid w:val="00751432"/>
    <w:rsid w:val="00751B6E"/>
    <w:rsid w:val="00751BE5"/>
    <w:rsid w:val="0075248D"/>
    <w:rsid w:val="00752EC7"/>
    <w:rsid w:val="00754133"/>
    <w:rsid w:val="007548B8"/>
    <w:rsid w:val="00755657"/>
    <w:rsid w:val="00757912"/>
    <w:rsid w:val="00760269"/>
    <w:rsid w:val="0076050D"/>
    <w:rsid w:val="00760C9F"/>
    <w:rsid w:val="00761849"/>
    <w:rsid w:val="00762150"/>
    <w:rsid w:val="0076262C"/>
    <w:rsid w:val="00763B75"/>
    <w:rsid w:val="00763DD3"/>
    <w:rsid w:val="00764A4E"/>
    <w:rsid w:val="007653BC"/>
    <w:rsid w:val="00765F46"/>
    <w:rsid w:val="007662DA"/>
    <w:rsid w:val="00767078"/>
    <w:rsid w:val="007671FC"/>
    <w:rsid w:val="0076721E"/>
    <w:rsid w:val="007672E9"/>
    <w:rsid w:val="007712CA"/>
    <w:rsid w:val="0077149A"/>
    <w:rsid w:val="007722E5"/>
    <w:rsid w:val="00772348"/>
    <w:rsid w:val="00775924"/>
    <w:rsid w:val="00775B62"/>
    <w:rsid w:val="00777195"/>
    <w:rsid w:val="00777C48"/>
    <w:rsid w:val="00777DB4"/>
    <w:rsid w:val="00777DE3"/>
    <w:rsid w:val="00780A1A"/>
    <w:rsid w:val="00780E93"/>
    <w:rsid w:val="0078111E"/>
    <w:rsid w:val="007831B4"/>
    <w:rsid w:val="00783CB4"/>
    <w:rsid w:val="00784EBE"/>
    <w:rsid w:val="00787450"/>
    <w:rsid w:val="00787F4C"/>
    <w:rsid w:val="0079031C"/>
    <w:rsid w:val="00790F16"/>
    <w:rsid w:val="00791A86"/>
    <w:rsid w:val="007934F4"/>
    <w:rsid w:val="007939CF"/>
    <w:rsid w:val="00793AC1"/>
    <w:rsid w:val="00793DCF"/>
    <w:rsid w:val="00793FC6"/>
    <w:rsid w:val="007954C7"/>
    <w:rsid w:val="007955B3"/>
    <w:rsid w:val="00795BD4"/>
    <w:rsid w:val="00796790"/>
    <w:rsid w:val="00796881"/>
    <w:rsid w:val="00796989"/>
    <w:rsid w:val="007A0295"/>
    <w:rsid w:val="007A041B"/>
    <w:rsid w:val="007A2326"/>
    <w:rsid w:val="007A2FE1"/>
    <w:rsid w:val="007A3BB1"/>
    <w:rsid w:val="007A3F9C"/>
    <w:rsid w:val="007A4790"/>
    <w:rsid w:val="007A4A0F"/>
    <w:rsid w:val="007A6027"/>
    <w:rsid w:val="007A6B51"/>
    <w:rsid w:val="007A6B81"/>
    <w:rsid w:val="007A79EF"/>
    <w:rsid w:val="007B0208"/>
    <w:rsid w:val="007B115F"/>
    <w:rsid w:val="007B1670"/>
    <w:rsid w:val="007B1F81"/>
    <w:rsid w:val="007B2A0C"/>
    <w:rsid w:val="007B447B"/>
    <w:rsid w:val="007B4E14"/>
    <w:rsid w:val="007B56DE"/>
    <w:rsid w:val="007B768C"/>
    <w:rsid w:val="007B7AB3"/>
    <w:rsid w:val="007C1E30"/>
    <w:rsid w:val="007C354F"/>
    <w:rsid w:val="007C3EC7"/>
    <w:rsid w:val="007C42CC"/>
    <w:rsid w:val="007C4539"/>
    <w:rsid w:val="007C53CC"/>
    <w:rsid w:val="007C5B8E"/>
    <w:rsid w:val="007C5D12"/>
    <w:rsid w:val="007C6A04"/>
    <w:rsid w:val="007D1C2A"/>
    <w:rsid w:val="007D1DDC"/>
    <w:rsid w:val="007D302F"/>
    <w:rsid w:val="007D31ED"/>
    <w:rsid w:val="007D324B"/>
    <w:rsid w:val="007D35E9"/>
    <w:rsid w:val="007D5D96"/>
    <w:rsid w:val="007D6EBC"/>
    <w:rsid w:val="007E1071"/>
    <w:rsid w:val="007E10B8"/>
    <w:rsid w:val="007E1524"/>
    <w:rsid w:val="007E1F85"/>
    <w:rsid w:val="007E2721"/>
    <w:rsid w:val="007E2F19"/>
    <w:rsid w:val="007E2FC5"/>
    <w:rsid w:val="007E3711"/>
    <w:rsid w:val="007E430B"/>
    <w:rsid w:val="007E52B8"/>
    <w:rsid w:val="007E5403"/>
    <w:rsid w:val="007E7065"/>
    <w:rsid w:val="007E75C1"/>
    <w:rsid w:val="007F08E0"/>
    <w:rsid w:val="007F08FF"/>
    <w:rsid w:val="007F0A03"/>
    <w:rsid w:val="007F1228"/>
    <w:rsid w:val="007F1910"/>
    <w:rsid w:val="007F1AA6"/>
    <w:rsid w:val="007F2F1C"/>
    <w:rsid w:val="007F3161"/>
    <w:rsid w:val="007F4EAC"/>
    <w:rsid w:val="007F5AAF"/>
    <w:rsid w:val="007F62A5"/>
    <w:rsid w:val="00800C94"/>
    <w:rsid w:val="008028FA"/>
    <w:rsid w:val="00802AFE"/>
    <w:rsid w:val="00802F90"/>
    <w:rsid w:val="00803AD7"/>
    <w:rsid w:val="00804119"/>
    <w:rsid w:val="00804C57"/>
    <w:rsid w:val="00804DCA"/>
    <w:rsid w:val="00805228"/>
    <w:rsid w:val="0080543F"/>
    <w:rsid w:val="00807505"/>
    <w:rsid w:val="008076B9"/>
    <w:rsid w:val="00807EC4"/>
    <w:rsid w:val="008106BA"/>
    <w:rsid w:val="00810DFE"/>
    <w:rsid w:val="00813029"/>
    <w:rsid w:val="00813A72"/>
    <w:rsid w:val="00814414"/>
    <w:rsid w:val="00814E20"/>
    <w:rsid w:val="00815AC8"/>
    <w:rsid w:val="00815CEF"/>
    <w:rsid w:val="00816C8F"/>
    <w:rsid w:val="008202A3"/>
    <w:rsid w:val="008206FB"/>
    <w:rsid w:val="00820A15"/>
    <w:rsid w:val="00820B47"/>
    <w:rsid w:val="0082147C"/>
    <w:rsid w:val="00821596"/>
    <w:rsid w:val="00821A99"/>
    <w:rsid w:val="008228B7"/>
    <w:rsid w:val="008231D2"/>
    <w:rsid w:val="00823E84"/>
    <w:rsid w:val="00824640"/>
    <w:rsid w:val="00825A08"/>
    <w:rsid w:val="00825D90"/>
    <w:rsid w:val="00826FF4"/>
    <w:rsid w:val="0083081B"/>
    <w:rsid w:val="008315FF"/>
    <w:rsid w:val="008316D8"/>
    <w:rsid w:val="00832817"/>
    <w:rsid w:val="00832CA1"/>
    <w:rsid w:val="00832E59"/>
    <w:rsid w:val="00833077"/>
    <w:rsid w:val="00833749"/>
    <w:rsid w:val="00833A38"/>
    <w:rsid w:val="00834237"/>
    <w:rsid w:val="00834FAA"/>
    <w:rsid w:val="0083612B"/>
    <w:rsid w:val="0083687F"/>
    <w:rsid w:val="00840241"/>
    <w:rsid w:val="008405EE"/>
    <w:rsid w:val="00840CAC"/>
    <w:rsid w:val="00841A0C"/>
    <w:rsid w:val="00841AEE"/>
    <w:rsid w:val="00845592"/>
    <w:rsid w:val="008455DD"/>
    <w:rsid w:val="008460E0"/>
    <w:rsid w:val="00846BDC"/>
    <w:rsid w:val="0084767B"/>
    <w:rsid w:val="00847789"/>
    <w:rsid w:val="00850A1E"/>
    <w:rsid w:val="0085115C"/>
    <w:rsid w:val="008518B1"/>
    <w:rsid w:val="00851C47"/>
    <w:rsid w:val="008539C2"/>
    <w:rsid w:val="00855C01"/>
    <w:rsid w:val="00856273"/>
    <w:rsid w:val="0085628C"/>
    <w:rsid w:val="00856A0D"/>
    <w:rsid w:val="00857ED5"/>
    <w:rsid w:val="00860262"/>
    <w:rsid w:val="00860DF8"/>
    <w:rsid w:val="008616A4"/>
    <w:rsid w:val="00861944"/>
    <w:rsid w:val="00861C7C"/>
    <w:rsid w:val="00861D66"/>
    <w:rsid w:val="00861DBF"/>
    <w:rsid w:val="0086493B"/>
    <w:rsid w:val="00864BAE"/>
    <w:rsid w:val="00870472"/>
    <w:rsid w:val="00870560"/>
    <w:rsid w:val="00871512"/>
    <w:rsid w:val="00871FF4"/>
    <w:rsid w:val="00872202"/>
    <w:rsid w:val="0087295C"/>
    <w:rsid w:val="00872975"/>
    <w:rsid w:val="00872B2B"/>
    <w:rsid w:val="008731A1"/>
    <w:rsid w:val="00873777"/>
    <w:rsid w:val="0087410C"/>
    <w:rsid w:val="008744AE"/>
    <w:rsid w:val="0087466C"/>
    <w:rsid w:val="0087490B"/>
    <w:rsid w:val="00874B1C"/>
    <w:rsid w:val="00874E60"/>
    <w:rsid w:val="00874FB8"/>
    <w:rsid w:val="008750BD"/>
    <w:rsid w:val="008768CB"/>
    <w:rsid w:val="00876DEA"/>
    <w:rsid w:val="008773B6"/>
    <w:rsid w:val="00877D79"/>
    <w:rsid w:val="008806E6"/>
    <w:rsid w:val="00880925"/>
    <w:rsid w:val="0088099F"/>
    <w:rsid w:val="00881085"/>
    <w:rsid w:val="00881BB4"/>
    <w:rsid w:val="00881EDB"/>
    <w:rsid w:val="008820EB"/>
    <w:rsid w:val="00882FD7"/>
    <w:rsid w:val="008838C9"/>
    <w:rsid w:val="00884398"/>
    <w:rsid w:val="00884CD2"/>
    <w:rsid w:val="00884FB9"/>
    <w:rsid w:val="008857AF"/>
    <w:rsid w:val="008858C4"/>
    <w:rsid w:val="008858E4"/>
    <w:rsid w:val="00887710"/>
    <w:rsid w:val="00890BEE"/>
    <w:rsid w:val="00890D89"/>
    <w:rsid w:val="00891C50"/>
    <w:rsid w:val="00892812"/>
    <w:rsid w:val="0089285F"/>
    <w:rsid w:val="00892A15"/>
    <w:rsid w:val="00892BBD"/>
    <w:rsid w:val="00892F4B"/>
    <w:rsid w:val="0089399A"/>
    <w:rsid w:val="00894773"/>
    <w:rsid w:val="00894B1A"/>
    <w:rsid w:val="00895F90"/>
    <w:rsid w:val="00896107"/>
    <w:rsid w:val="00896454"/>
    <w:rsid w:val="008969E4"/>
    <w:rsid w:val="00896D60"/>
    <w:rsid w:val="00897490"/>
    <w:rsid w:val="0089794B"/>
    <w:rsid w:val="00897F9F"/>
    <w:rsid w:val="008A11DC"/>
    <w:rsid w:val="008A1505"/>
    <w:rsid w:val="008A27B3"/>
    <w:rsid w:val="008A3660"/>
    <w:rsid w:val="008A3B8C"/>
    <w:rsid w:val="008A45AA"/>
    <w:rsid w:val="008A495B"/>
    <w:rsid w:val="008A4BE1"/>
    <w:rsid w:val="008A58D4"/>
    <w:rsid w:val="008A5C48"/>
    <w:rsid w:val="008A7DAA"/>
    <w:rsid w:val="008B01AF"/>
    <w:rsid w:val="008B0DD6"/>
    <w:rsid w:val="008B13A6"/>
    <w:rsid w:val="008B15F7"/>
    <w:rsid w:val="008B1BE5"/>
    <w:rsid w:val="008B3694"/>
    <w:rsid w:val="008B3797"/>
    <w:rsid w:val="008B4C8B"/>
    <w:rsid w:val="008B4CAC"/>
    <w:rsid w:val="008B51DB"/>
    <w:rsid w:val="008B58F3"/>
    <w:rsid w:val="008B5AC1"/>
    <w:rsid w:val="008B6480"/>
    <w:rsid w:val="008B778D"/>
    <w:rsid w:val="008B7920"/>
    <w:rsid w:val="008C02ED"/>
    <w:rsid w:val="008C0351"/>
    <w:rsid w:val="008C049B"/>
    <w:rsid w:val="008C0694"/>
    <w:rsid w:val="008C18FD"/>
    <w:rsid w:val="008C19F6"/>
    <w:rsid w:val="008C1C0A"/>
    <w:rsid w:val="008C1F09"/>
    <w:rsid w:val="008C3419"/>
    <w:rsid w:val="008C34D0"/>
    <w:rsid w:val="008C3C1F"/>
    <w:rsid w:val="008C40F7"/>
    <w:rsid w:val="008C42F0"/>
    <w:rsid w:val="008C4A19"/>
    <w:rsid w:val="008C5113"/>
    <w:rsid w:val="008C58F8"/>
    <w:rsid w:val="008C682E"/>
    <w:rsid w:val="008C6FAB"/>
    <w:rsid w:val="008D0754"/>
    <w:rsid w:val="008D0796"/>
    <w:rsid w:val="008D10DD"/>
    <w:rsid w:val="008D1103"/>
    <w:rsid w:val="008D18E0"/>
    <w:rsid w:val="008D24DD"/>
    <w:rsid w:val="008D31A5"/>
    <w:rsid w:val="008D4E7A"/>
    <w:rsid w:val="008D5081"/>
    <w:rsid w:val="008D53F7"/>
    <w:rsid w:val="008D5BEA"/>
    <w:rsid w:val="008D61CC"/>
    <w:rsid w:val="008D6A9B"/>
    <w:rsid w:val="008D6D9E"/>
    <w:rsid w:val="008D6FF5"/>
    <w:rsid w:val="008E0446"/>
    <w:rsid w:val="008E0998"/>
    <w:rsid w:val="008E0AFA"/>
    <w:rsid w:val="008E0D52"/>
    <w:rsid w:val="008E16B1"/>
    <w:rsid w:val="008E1789"/>
    <w:rsid w:val="008E1975"/>
    <w:rsid w:val="008E1FFA"/>
    <w:rsid w:val="008E23C8"/>
    <w:rsid w:val="008E23F4"/>
    <w:rsid w:val="008E263A"/>
    <w:rsid w:val="008E26BF"/>
    <w:rsid w:val="008E2C46"/>
    <w:rsid w:val="008E3D46"/>
    <w:rsid w:val="008E48FD"/>
    <w:rsid w:val="008E4E9E"/>
    <w:rsid w:val="008E59A5"/>
    <w:rsid w:val="008E5D09"/>
    <w:rsid w:val="008E6625"/>
    <w:rsid w:val="008E703D"/>
    <w:rsid w:val="008E79A0"/>
    <w:rsid w:val="008E7B01"/>
    <w:rsid w:val="008F08CD"/>
    <w:rsid w:val="008F0B35"/>
    <w:rsid w:val="008F190E"/>
    <w:rsid w:val="008F1B08"/>
    <w:rsid w:val="008F2BE8"/>
    <w:rsid w:val="008F32AD"/>
    <w:rsid w:val="008F3FB0"/>
    <w:rsid w:val="008F4BA8"/>
    <w:rsid w:val="008F52DF"/>
    <w:rsid w:val="008F55A3"/>
    <w:rsid w:val="008F5C83"/>
    <w:rsid w:val="008F600C"/>
    <w:rsid w:val="008F737E"/>
    <w:rsid w:val="008F7A58"/>
    <w:rsid w:val="00900937"/>
    <w:rsid w:val="009009FF"/>
    <w:rsid w:val="00900A60"/>
    <w:rsid w:val="00900F20"/>
    <w:rsid w:val="009015DD"/>
    <w:rsid w:val="00901611"/>
    <w:rsid w:val="00901E3F"/>
    <w:rsid w:val="00901FAA"/>
    <w:rsid w:val="0090209B"/>
    <w:rsid w:val="009021BA"/>
    <w:rsid w:val="00902FB9"/>
    <w:rsid w:val="009030B4"/>
    <w:rsid w:val="009035BA"/>
    <w:rsid w:val="00903E1F"/>
    <w:rsid w:val="009046BC"/>
    <w:rsid w:val="00904D98"/>
    <w:rsid w:val="009051ED"/>
    <w:rsid w:val="00905AA1"/>
    <w:rsid w:val="00905F81"/>
    <w:rsid w:val="00906F36"/>
    <w:rsid w:val="00907017"/>
    <w:rsid w:val="00907771"/>
    <w:rsid w:val="00911C4D"/>
    <w:rsid w:val="00912957"/>
    <w:rsid w:val="009143A7"/>
    <w:rsid w:val="0091520D"/>
    <w:rsid w:val="009152ED"/>
    <w:rsid w:val="009155A5"/>
    <w:rsid w:val="00915742"/>
    <w:rsid w:val="00915B75"/>
    <w:rsid w:val="009165D5"/>
    <w:rsid w:val="0091684D"/>
    <w:rsid w:val="009204AB"/>
    <w:rsid w:val="0092077C"/>
    <w:rsid w:val="009214E4"/>
    <w:rsid w:val="00922C66"/>
    <w:rsid w:val="009234C3"/>
    <w:rsid w:val="00924358"/>
    <w:rsid w:val="00925376"/>
    <w:rsid w:val="00925919"/>
    <w:rsid w:val="00926F4A"/>
    <w:rsid w:val="009276E1"/>
    <w:rsid w:val="00930704"/>
    <w:rsid w:val="00930DDA"/>
    <w:rsid w:val="00931C08"/>
    <w:rsid w:val="00931EE2"/>
    <w:rsid w:val="00932695"/>
    <w:rsid w:val="00933482"/>
    <w:rsid w:val="009334D4"/>
    <w:rsid w:val="00933567"/>
    <w:rsid w:val="00933D48"/>
    <w:rsid w:val="009349FF"/>
    <w:rsid w:val="0093569D"/>
    <w:rsid w:val="00935B6A"/>
    <w:rsid w:val="00936547"/>
    <w:rsid w:val="00936B94"/>
    <w:rsid w:val="00936FF5"/>
    <w:rsid w:val="00942018"/>
    <w:rsid w:val="00942B22"/>
    <w:rsid w:val="00942CB4"/>
    <w:rsid w:val="0094483A"/>
    <w:rsid w:val="00945B35"/>
    <w:rsid w:val="00945C1D"/>
    <w:rsid w:val="009462BD"/>
    <w:rsid w:val="00947071"/>
    <w:rsid w:val="009471D5"/>
    <w:rsid w:val="00950DF7"/>
    <w:rsid w:val="0095125F"/>
    <w:rsid w:val="00951FDF"/>
    <w:rsid w:val="0095236A"/>
    <w:rsid w:val="00952838"/>
    <w:rsid w:val="00952927"/>
    <w:rsid w:val="00952E81"/>
    <w:rsid w:val="00952FFF"/>
    <w:rsid w:val="00954C8B"/>
    <w:rsid w:val="0095598E"/>
    <w:rsid w:val="00955FA0"/>
    <w:rsid w:val="00956968"/>
    <w:rsid w:val="009570D4"/>
    <w:rsid w:val="00957853"/>
    <w:rsid w:val="00957858"/>
    <w:rsid w:val="00960821"/>
    <w:rsid w:val="00961429"/>
    <w:rsid w:val="00962B0B"/>
    <w:rsid w:val="00962D8D"/>
    <w:rsid w:val="0096337C"/>
    <w:rsid w:val="009638A6"/>
    <w:rsid w:val="0096392A"/>
    <w:rsid w:val="0096410E"/>
    <w:rsid w:val="0096450D"/>
    <w:rsid w:val="0096539E"/>
    <w:rsid w:val="00965E4B"/>
    <w:rsid w:val="00965F35"/>
    <w:rsid w:val="00966001"/>
    <w:rsid w:val="0096668C"/>
    <w:rsid w:val="00966911"/>
    <w:rsid w:val="00966BDD"/>
    <w:rsid w:val="0096700B"/>
    <w:rsid w:val="009679A0"/>
    <w:rsid w:val="009704D3"/>
    <w:rsid w:val="00970BC6"/>
    <w:rsid w:val="0097169A"/>
    <w:rsid w:val="00971C74"/>
    <w:rsid w:val="00971FD8"/>
    <w:rsid w:val="00972518"/>
    <w:rsid w:val="00972E1A"/>
    <w:rsid w:val="009732A7"/>
    <w:rsid w:val="00973A16"/>
    <w:rsid w:val="009752E7"/>
    <w:rsid w:val="00976934"/>
    <w:rsid w:val="00976B6A"/>
    <w:rsid w:val="00976C13"/>
    <w:rsid w:val="00977FE7"/>
    <w:rsid w:val="00980823"/>
    <w:rsid w:val="0098128F"/>
    <w:rsid w:val="00981752"/>
    <w:rsid w:val="00982130"/>
    <w:rsid w:val="00982D09"/>
    <w:rsid w:val="00983764"/>
    <w:rsid w:val="00983E2E"/>
    <w:rsid w:val="00983F9A"/>
    <w:rsid w:val="009847A8"/>
    <w:rsid w:val="00985A5F"/>
    <w:rsid w:val="00985B63"/>
    <w:rsid w:val="00985E66"/>
    <w:rsid w:val="00987640"/>
    <w:rsid w:val="0098790D"/>
    <w:rsid w:val="0098793D"/>
    <w:rsid w:val="00990A1C"/>
    <w:rsid w:val="00990C33"/>
    <w:rsid w:val="0099148F"/>
    <w:rsid w:val="0099184B"/>
    <w:rsid w:val="00991ABA"/>
    <w:rsid w:val="00991DCA"/>
    <w:rsid w:val="00991E73"/>
    <w:rsid w:val="00992602"/>
    <w:rsid w:val="00993704"/>
    <w:rsid w:val="00993864"/>
    <w:rsid w:val="00994392"/>
    <w:rsid w:val="009945BF"/>
    <w:rsid w:val="009947A8"/>
    <w:rsid w:val="00994B42"/>
    <w:rsid w:val="00994F12"/>
    <w:rsid w:val="00995D4D"/>
    <w:rsid w:val="00995EA9"/>
    <w:rsid w:val="00996014"/>
    <w:rsid w:val="009967A0"/>
    <w:rsid w:val="009970B6"/>
    <w:rsid w:val="00997125"/>
    <w:rsid w:val="009975A0"/>
    <w:rsid w:val="00997800"/>
    <w:rsid w:val="00997FAE"/>
    <w:rsid w:val="009A0CE3"/>
    <w:rsid w:val="009A4A0A"/>
    <w:rsid w:val="009A4EB3"/>
    <w:rsid w:val="009A63E3"/>
    <w:rsid w:val="009A771A"/>
    <w:rsid w:val="009B02C1"/>
    <w:rsid w:val="009B0BD8"/>
    <w:rsid w:val="009B0FEF"/>
    <w:rsid w:val="009B2145"/>
    <w:rsid w:val="009B3A57"/>
    <w:rsid w:val="009B3E29"/>
    <w:rsid w:val="009B41D0"/>
    <w:rsid w:val="009B4FB0"/>
    <w:rsid w:val="009B5BDF"/>
    <w:rsid w:val="009B7393"/>
    <w:rsid w:val="009B746D"/>
    <w:rsid w:val="009C03DF"/>
    <w:rsid w:val="009C080C"/>
    <w:rsid w:val="009C1D6D"/>
    <w:rsid w:val="009C23FE"/>
    <w:rsid w:val="009C2E00"/>
    <w:rsid w:val="009C45CE"/>
    <w:rsid w:val="009C6A05"/>
    <w:rsid w:val="009C6F9E"/>
    <w:rsid w:val="009C7090"/>
    <w:rsid w:val="009D09D2"/>
    <w:rsid w:val="009D09FC"/>
    <w:rsid w:val="009D150D"/>
    <w:rsid w:val="009D188A"/>
    <w:rsid w:val="009D2732"/>
    <w:rsid w:val="009D432B"/>
    <w:rsid w:val="009D48F3"/>
    <w:rsid w:val="009D4F54"/>
    <w:rsid w:val="009D6757"/>
    <w:rsid w:val="009D71C8"/>
    <w:rsid w:val="009D73E9"/>
    <w:rsid w:val="009D77D4"/>
    <w:rsid w:val="009D7F1B"/>
    <w:rsid w:val="009E011C"/>
    <w:rsid w:val="009E19C3"/>
    <w:rsid w:val="009E1E12"/>
    <w:rsid w:val="009E2294"/>
    <w:rsid w:val="009E2918"/>
    <w:rsid w:val="009E36FF"/>
    <w:rsid w:val="009E3D1C"/>
    <w:rsid w:val="009E3DAE"/>
    <w:rsid w:val="009E435B"/>
    <w:rsid w:val="009E5490"/>
    <w:rsid w:val="009E6039"/>
    <w:rsid w:val="009E6317"/>
    <w:rsid w:val="009E637D"/>
    <w:rsid w:val="009E706C"/>
    <w:rsid w:val="009F0656"/>
    <w:rsid w:val="009F152A"/>
    <w:rsid w:val="009F2811"/>
    <w:rsid w:val="009F32AF"/>
    <w:rsid w:val="009F3D9D"/>
    <w:rsid w:val="009F4126"/>
    <w:rsid w:val="009F4589"/>
    <w:rsid w:val="009F4940"/>
    <w:rsid w:val="009F4C0C"/>
    <w:rsid w:val="009F4C59"/>
    <w:rsid w:val="009F68EB"/>
    <w:rsid w:val="009F693C"/>
    <w:rsid w:val="009F6C42"/>
    <w:rsid w:val="009F73EE"/>
    <w:rsid w:val="00A00623"/>
    <w:rsid w:val="00A011FC"/>
    <w:rsid w:val="00A0166F"/>
    <w:rsid w:val="00A01A3B"/>
    <w:rsid w:val="00A02912"/>
    <w:rsid w:val="00A03649"/>
    <w:rsid w:val="00A039BA"/>
    <w:rsid w:val="00A04550"/>
    <w:rsid w:val="00A04B05"/>
    <w:rsid w:val="00A04D4E"/>
    <w:rsid w:val="00A04F87"/>
    <w:rsid w:val="00A0574C"/>
    <w:rsid w:val="00A05AAD"/>
    <w:rsid w:val="00A065DD"/>
    <w:rsid w:val="00A0693D"/>
    <w:rsid w:val="00A06948"/>
    <w:rsid w:val="00A06A15"/>
    <w:rsid w:val="00A073FF"/>
    <w:rsid w:val="00A1053D"/>
    <w:rsid w:val="00A10C6F"/>
    <w:rsid w:val="00A1137D"/>
    <w:rsid w:val="00A114BC"/>
    <w:rsid w:val="00A11C51"/>
    <w:rsid w:val="00A1265B"/>
    <w:rsid w:val="00A12804"/>
    <w:rsid w:val="00A12DC6"/>
    <w:rsid w:val="00A12F1D"/>
    <w:rsid w:val="00A14E3A"/>
    <w:rsid w:val="00A1554B"/>
    <w:rsid w:val="00A15556"/>
    <w:rsid w:val="00A1592E"/>
    <w:rsid w:val="00A17391"/>
    <w:rsid w:val="00A17DA0"/>
    <w:rsid w:val="00A219C6"/>
    <w:rsid w:val="00A21A9F"/>
    <w:rsid w:val="00A21DC0"/>
    <w:rsid w:val="00A2287E"/>
    <w:rsid w:val="00A22915"/>
    <w:rsid w:val="00A2348A"/>
    <w:rsid w:val="00A23E04"/>
    <w:rsid w:val="00A245F0"/>
    <w:rsid w:val="00A257DE"/>
    <w:rsid w:val="00A26BE3"/>
    <w:rsid w:val="00A26EDD"/>
    <w:rsid w:val="00A2705C"/>
    <w:rsid w:val="00A271B6"/>
    <w:rsid w:val="00A27516"/>
    <w:rsid w:val="00A27716"/>
    <w:rsid w:val="00A27C38"/>
    <w:rsid w:val="00A27F90"/>
    <w:rsid w:val="00A3007B"/>
    <w:rsid w:val="00A303F2"/>
    <w:rsid w:val="00A308E6"/>
    <w:rsid w:val="00A30C28"/>
    <w:rsid w:val="00A30FF5"/>
    <w:rsid w:val="00A3103C"/>
    <w:rsid w:val="00A310A6"/>
    <w:rsid w:val="00A313DB"/>
    <w:rsid w:val="00A3140C"/>
    <w:rsid w:val="00A318DE"/>
    <w:rsid w:val="00A329A2"/>
    <w:rsid w:val="00A32F40"/>
    <w:rsid w:val="00A33450"/>
    <w:rsid w:val="00A34C5E"/>
    <w:rsid w:val="00A35462"/>
    <w:rsid w:val="00A35585"/>
    <w:rsid w:val="00A36108"/>
    <w:rsid w:val="00A36CE3"/>
    <w:rsid w:val="00A37966"/>
    <w:rsid w:val="00A405A2"/>
    <w:rsid w:val="00A40DB3"/>
    <w:rsid w:val="00A42638"/>
    <w:rsid w:val="00A44692"/>
    <w:rsid w:val="00A44E85"/>
    <w:rsid w:val="00A450CF"/>
    <w:rsid w:val="00A46119"/>
    <w:rsid w:val="00A4678D"/>
    <w:rsid w:val="00A469F1"/>
    <w:rsid w:val="00A46F4B"/>
    <w:rsid w:val="00A508A1"/>
    <w:rsid w:val="00A50AE2"/>
    <w:rsid w:val="00A514BC"/>
    <w:rsid w:val="00A52C71"/>
    <w:rsid w:val="00A52F95"/>
    <w:rsid w:val="00A5339F"/>
    <w:rsid w:val="00A53432"/>
    <w:rsid w:val="00A54250"/>
    <w:rsid w:val="00A54D2A"/>
    <w:rsid w:val="00A54F10"/>
    <w:rsid w:val="00A562D4"/>
    <w:rsid w:val="00A56804"/>
    <w:rsid w:val="00A568E8"/>
    <w:rsid w:val="00A60FBA"/>
    <w:rsid w:val="00A61C3D"/>
    <w:rsid w:val="00A62244"/>
    <w:rsid w:val="00A6275E"/>
    <w:rsid w:val="00A63190"/>
    <w:rsid w:val="00A63D1D"/>
    <w:rsid w:val="00A64A4E"/>
    <w:rsid w:val="00A66791"/>
    <w:rsid w:val="00A6770B"/>
    <w:rsid w:val="00A67EE4"/>
    <w:rsid w:val="00A70BA7"/>
    <w:rsid w:val="00A71586"/>
    <w:rsid w:val="00A71800"/>
    <w:rsid w:val="00A718AD"/>
    <w:rsid w:val="00A721E3"/>
    <w:rsid w:val="00A729A9"/>
    <w:rsid w:val="00A7472C"/>
    <w:rsid w:val="00A74AAA"/>
    <w:rsid w:val="00A752EF"/>
    <w:rsid w:val="00A76164"/>
    <w:rsid w:val="00A771BB"/>
    <w:rsid w:val="00A7737C"/>
    <w:rsid w:val="00A774CB"/>
    <w:rsid w:val="00A77897"/>
    <w:rsid w:val="00A77C2F"/>
    <w:rsid w:val="00A77F09"/>
    <w:rsid w:val="00A80BE8"/>
    <w:rsid w:val="00A8136C"/>
    <w:rsid w:val="00A81685"/>
    <w:rsid w:val="00A81A58"/>
    <w:rsid w:val="00A8365A"/>
    <w:rsid w:val="00A847CC"/>
    <w:rsid w:val="00A84CAC"/>
    <w:rsid w:val="00A8519E"/>
    <w:rsid w:val="00A855DE"/>
    <w:rsid w:val="00A87A06"/>
    <w:rsid w:val="00A905F0"/>
    <w:rsid w:val="00A90917"/>
    <w:rsid w:val="00A90BE0"/>
    <w:rsid w:val="00A910A4"/>
    <w:rsid w:val="00A919A0"/>
    <w:rsid w:val="00A92A88"/>
    <w:rsid w:val="00A92B18"/>
    <w:rsid w:val="00A92BD9"/>
    <w:rsid w:val="00A92CB0"/>
    <w:rsid w:val="00A93649"/>
    <w:rsid w:val="00A93BB4"/>
    <w:rsid w:val="00A9471E"/>
    <w:rsid w:val="00A95078"/>
    <w:rsid w:val="00A9547F"/>
    <w:rsid w:val="00A95BA4"/>
    <w:rsid w:val="00A95F87"/>
    <w:rsid w:val="00A966F2"/>
    <w:rsid w:val="00A970B2"/>
    <w:rsid w:val="00A97F1B"/>
    <w:rsid w:val="00AA087F"/>
    <w:rsid w:val="00AA1377"/>
    <w:rsid w:val="00AA1508"/>
    <w:rsid w:val="00AA168D"/>
    <w:rsid w:val="00AA18BA"/>
    <w:rsid w:val="00AA25B9"/>
    <w:rsid w:val="00AA2E1D"/>
    <w:rsid w:val="00AA3674"/>
    <w:rsid w:val="00AA3CE1"/>
    <w:rsid w:val="00AA42D5"/>
    <w:rsid w:val="00AA51C8"/>
    <w:rsid w:val="00AA560F"/>
    <w:rsid w:val="00AA61AE"/>
    <w:rsid w:val="00AA6344"/>
    <w:rsid w:val="00AB1D96"/>
    <w:rsid w:val="00AB253D"/>
    <w:rsid w:val="00AB25F0"/>
    <w:rsid w:val="00AB3742"/>
    <w:rsid w:val="00AB451E"/>
    <w:rsid w:val="00AB477E"/>
    <w:rsid w:val="00AB48B4"/>
    <w:rsid w:val="00AB4A6D"/>
    <w:rsid w:val="00AB4C2A"/>
    <w:rsid w:val="00AB5CC7"/>
    <w:rsid w:val="00AB6254"/>
    <w:rsid w:val="00AB6528"/>
    <w:rsid w:val="00AB6D19"/>
    <w:rsid w:val="00AB737F"/>
    <w:rsid w:val="00AC1D66"/>
    <w:rsid w:val="00AC219A"/>
    <w:rsid w:val="00AC2780"/>
    <w:rsid w:val="00AC27DF"/>
    <w:rsid w:val="00AC30C4"/>
    <w:rsid w:val="00AC3700"/>
    <w:rsid w:val="00AC4574"/>
    <w:rsid w:val="00AC4DB7"/>
    <w:rsid w:val="00AC5B78"/>
    <w:rsid w:val="00AC5E43"/>
    <w:rsid w:val="00AC6DBE"/>
    <w:rsid w:val="00AC7196"/>
    <w:rsid w:val="00AC79BD"/>
    <w:rsid w:val="00AC7E62"/>
    <w:rsid w:val="00AD04DC"/>
    <w:rsid w:val="00AD07D4"/>
    <w:rsid w:val="00AD1254"/>
    <w:rsid w:val="00AD183E"/>
    <w:rsid w:val="00AD316B"/>
    <w:rsid w:val="00AD38E6"/>
    <w:rsid w:val="00AD4955"/>
    <w:rsid w:val="00AD4A88"/>
    <w:rsid w:val="00AD4B39"/>
    <w:rsid w:val="00AD5690"/>
    <w:rsid w:val="00AD6032"/>
    <w:rsid w:val="00AD6DD7"/>
    <w:rsid w:val="00AD74C6"/>
    <w:rsid w:val="00AD762C"/>
    <w:rsid w:val="00AE0178"/>
    <w:rsid w:val="00AE0200"/>
    <w:rsid w:val="00AE042A"/>
    <w:rsid w:val="00AE1319"/>
    <w:rsid w:val="00AE2C05"/>
    <w:rsid w:val="00AE3002"/>
    <w:rsid w:val="00AE30B2"/>
    <w:rsid w:val="00AE31FA"/>
    <w:rsid w:val="00AE38A6"/>
    <w:rsid w:val="00AE3AE8"/>
    <w:rsid w:val="00AE3CCF"/>
    <w:rsid w:val="00AE41D7"/>
    <w:rsid w:val="00AE6730"/>
    <w:rsid w:val="00AE67FB"/>
    <w:rsid w:val="00AE6D9E"/>
    <w:rsid w:val="00AE6DE5"/>
    <w:rsid w:val="00AE7457"/>
    <w:rsid w:val="00AE74F0"/>
    <w:rsid w:val="00AE7721"/>
    <w:rsid w:val="00AE7DDD"/>
    <w:rsid w:val="00AE7EBE"/>
    <w:rsid w:val="00AF1BB1"/>
    <w:rsid w:val="00AF20CE"/>
    <w:rsid w:val="00AF2E83"/>
    <w:rsid w:val="00AF2FB0"/>
    <w:rsid w:val="00AF3107"/>
    <w:rsid w:val="00AF359C"/>
    <w:rsid w:val="00AF3A24"/>
    <w:rsid w:val="00AF4C33"/>
    <w:rsid w:val="00AF4C8C"/>
    <w:rsid w:val="00AF4EAA"/>
    <w:rsid w:val="00AF6437"/>
    <w:rsid w:val="00AF6E1C"/>
    <w:rsid w:val="00AF6EFA"/>
    <w:rsid w:val="00B0184F"/>
    <w:rsid w:val="00B030B4"/>
    <w:rsid w:val="00B0328B"/>
    <w:rsid w:val="00B03A62"/>
    <w:rsid w:val="00B047B9"/>
    <w:rsid w:val="00B048FC"/>
    <w:rsid w:val="00B04FF5"/>
    <w:rsid w:val="00B06593"/>
    <w:rsid w:val="00B0667D"/>
    <w:rsid w:val="00B06CD5"/>
    <w:rsid w:val="00B10406"/>
    <w:rsid w:val="00B11D41"/>
    <w:rsid w:val="00B11EA5"/>
    <w:rsid w:val="00B12274"/>
    <w:rsid w:val="00B12EB2"/>
    <w:rsid w:val="00B13AF9"/>
    <w:rsid w:val="00B14B8E"/>
    <w:rsid w:val="00B160DF"/>
    <w:rsid w:val="00B1660C"/>
    <w:rsid w:val="00B17B72"/>
    <w:rsid w:val="00B200A8"/>
    <w:rsid w:val="00B203DC"/>
    <w:rsid w:val="00B21F5B"/>
    <w:rsid w:val="00B2239E"/>
    <w:rsid w:val="00B22FCE"/>
    <w:rsid w:val="00B2354E"/>
    <w:rsid w:val="00B23EE5"/>
    <w:rsid w:val="00B24A06"/>
    <w:rsid w:val="00B2593F"/>
    <w:rsid w:val="00B25B9E"/>
    <w:rsid w:val="00B25C22"/>
    <w:rsid w:val="00B25C2A"/>
    <w:rsid w:val="00B260CF"/>
    <w:rsid w:val="00B264D6"/>
    <w:rsid w:val="00B26E86"/>
    <w:rsid w:val="00B26EE4"/>
    <w:rsid w:val="00B26F2F"/>
    <w:rsid w:val="00B27107"/>
    <w:rsid w:val="00B30495"/>
    <w:rsid w:val="00B306EE"/>
    <w:rsid w:val="00B30CC3"/>
    <w:rsid w:val="00B31A31"/>
    <w:rsid w:val="00B31D9D"/>
    <w:rsid w:val="00B3220C"/>
    <w:rsid w:val="00B325A1"/>
    <w:rsid w:val="00B32CC2"/>
    <w:rsid w:val="00B3367B"/>
    <w:rsid w:val="00B352B4"/>
    <w:rsid w:val="00B36CE3"/>
    <w:rsid w:val="00B3785A"/>
    <w:rsid w:val="00B40B47"/>
    <w:rsid w:val="00B4155A"/>
    <w:rsid w:val="00B416F2"/>
    <w:rsid w:val="00B4249C"/>
    <w:rsid w:val="00B4266A"/>
    <w:rsid w:val="00B45826"/>
    <w:rsid w:val="00B47A22"/>
    <w:rsid w:val="00B47D21"/>
    <w:rsid w:val="00B47EAC"/>
    <w:rsid w:val="00B516D6"/>
    <w:rsid w:val="00B519AC"/>
    <w:rsid w:val="00B51B4D"/>
    <w:rsid w:val="00B51D95"/>
    <w:rsid w:val="00B51DB3"/>
    <w:rsid w:val="00B527F2"/>
    <w:rsid w:val="00B52D8B"/>
    <w:rsid w:val="00B53E6E"/>
    <w:rsid w:val="00B54501"/>
    <w:rsid w:val="00B54B73"/>
    <w:rsid w:val="00B54BA9"/>
    <w:rsid w:val="00B54BB2"/>
    <w:rsid w:val="00B555B7"/>
    <w:rsid w:val="00B6000F"/>
    <w:rsid w:val="00B6072E"/>
    <w:rsid w:val="00B60A98"/>
    <w:rsid w:val="00B630F0"/>
    <w:rsid w:val="00B633B8"/>
    <w:rsid w:val="00B633EA"/>
    <w:rsid w:val="00B63444"/>
    <w:rsid w:val="00B636F8"/>
    <w:rsid w:val="00B63851"/>
    <w:rsid w:val="00B63D44"/>
    <w:rsid w:val="00B64952"/>
    <w:rsid w:val="00B64B44"/>
    <w:rsid w:val="00B64C53"/>
    <w:rsid w:val="00B64E05"/>
    <w:rsid w:val="00B650E8"/>
    <w:rsid w:val="00B6511D"/>
    <w:rsid w:val="00B65F4E"/>
    <w:rsid w:val="00B67825"/>
    <w:rsid w:val="00B70B79"/>
    <w:rsid w:val="00B72391"/>
    <w:rsid w:val="00B73D2F"/>
    <w:rsid w:val="00B7468E"/>
    <w:rsid w:val="00B74FAF"/>
    <w:rsid w:val="00B751DA"/>
    <w:rsid w:val="00B7576C"/>
    <w:rsid w:val="00B7623A"/>
    <w:rsid w:val="00B77972"/>
    <w:rsid w:val="00B77A4A"/>
    <w:rsid w:val="00B77E64"/>
    <w:rsid w:val="00B77FEF"/>
    <w:rsid w:val="00B803ED"/>
    <w:rsid w:val="00B80702"/>
    <w:rsid w:val="00B80A26"/>
    <w:rsid w:val="00B80E47"/>
    <w:rsid w:val="00B81E76"/>
    <w:rsid w:val="00B8279F"/>
    <w:rsid w:val="00B8289B"/>
    <w:rsid w:val="00B828A8"/>
    <w:rsid w:val="00B831CF"/>
    <w:rsid w:val="00B8395D"/>
    <w:rsid w:val="00B851C2"/>
    <w:rsid w:val="00B8546F"/>
    <w:rsid w:val="00B85D3B"/>
    <w:rsid w:val="00B85D54"/>
    <w:rsid w:val="00B85E87"/>
    <w:rsid w:val="00B86D6D"/>
    <w:rsid w:val="00B872D1"/>
    <w:rsid w:val="00B8759D"/>
    <w:rsid w:val="00B87CBB"/>
    <w:rsid w:val="00B87E4B"/>
    <w:rsid w:val="00B90C35"/>
    <w:rsid w:val="00B90E40"/>
    <w:rsid w:val="00B91787"/>
    <w:rsid w:val="00B918E3"/>
    <w:rsid w:val="00B91F6E"/>
    <w:rsid w:val="00B92E57"/>
    <w:rsid w:val="00B92FC7"/>
    <w:rsid w:val="00B94B79"/>
    <w:rsid w:val="00B95050"/>
    <w:rsid w:val="00B95DC6"/>
    <w:rsid w:val="00B970C8"/>
    <w:rsid w:val="00B9775D"/>
    <w:rsid w:val="00BA08AE"/>
    <w:rsid w:val="00BA0909"/>
    <w:rsid w:val="00BA0A82"/>
    <w:rsid w:val="00BA0B4F"/>
    <w:rsid w:val="00BA212C"/>
    <w:rsid w:val="00BA39B9"/>
    <w:rsid w:val="00BA3BA9"/>
    <w:rsid w:val="00BA3FE3"/>
    <w:rsid w:val="00BA4383"/>
    <w:rsid w:val="00BA49E9"/>
    <w:rsid w:val="00BA4C78"/>
    <w:rsid w:val="00BA4EAE"/>
    <w:rsid w:val="00BA5541"/>
    <w:rsid w:val="00BA5D25"/>
    <w:rsid w:val="00BA5EF3"/>
    <w:rsid w:val="00BA61F7"/>
    <w:rsid w:val="00BA6872"/>
    <w:rsid w:val="00BA7DA4"/>
    <w:rsid w:val="00BB083A"/>
    <w:rsid w:val="00BB11FB"/>
    <w:rsid w:val="00BB13CE"/>
    <w:rsid w:val="00BB20F9"/>
    <w:rsid w:val="00BB270A"/>
    <w:rsid w:val="00BB2EF9"/>
    <w:rsid w:val="00BB3055"/>
    <w:rsid w:val="00BB397C"/>
    <w:rsid w:val="00BB3FD4"/>
    <w:rsid w:val="00BB426A"/>
    <w:rsid w:val="00BB47A3"/>
    <w:rsid w:val="00BB4B2E"/>
    <w:rsid w:val="00BB62BF"/>
    <w:rsid w:val="00BB6784"/>
    <w:rsid w:val="00BB6A2C"/>
    <w:rsid w:val="00BB745B"/>
    <w:rsid w:val="00BB7A66"/>
    <w:rsid w:val="00BB7AC5"/>
    <w:rsid w:val="00BC1739"/>
    <w:rsid w:val="00BC1ECF"/>
    <w:rsid w:val="00BC253D"/>
    <w:rsid w:val="00BC26A0"/>
    <w:rsid w:val="00BC2997"/>
    <w:rsid w:val="00BC3645"/>
    <w:rsid w:val="00BC3CBE"/>
    <w:rsid w:val="00BC4128"/>
    <w:rsid w:val="00BC4276"/>
    <w:rsid w:val="00BC495A"/>
    <w:rsid w:val="00BC49F1"/>
    <w:rsid w:val="00BC4F94"/>
    <w:rsid w:val="00BC5E93"/>
    <w:rsid w:val="00BC629D"/>
    <w:rsid w:val="00BC6AA8"/>
    <w:rsid w:val="00BC6C1A"/>
    <w:rsid w:val="00BD0770"/>
    <w:rsid w:val="00BD118C"/>
    <w:rsid w:val="00BD19BE"/>
    <w:rsid w:val="00BD1B09"/>
    <w:rsid w:val="00BD2CC9"/>
    <w:rsid w:val="00BD2E78"/>
    <w:rsid w:val="00BD4AEC"/>
    <w:rsid w:val="00BD53F5"/>
    <w:rsid w:val="00BD55E3"/>
    <w:rsid w:val="00BD5EB2"/>
    <w:rsid w:val="00BD74CF"/>
    <w:rsid w:val="00BD7503"/>
    <w:rsid w:val="00BE07A6"/>
    <w:rsid w:val="00BE0F89"/>
    <w:rsid w:val="00BE149C"/>
    <w:rsid w:val="00BE15E5"/>
    <w:rsid w:val="00BE3776"/>
    <w:rsid w:val="00BE39E4"/>
    <w:rsid w:val="00BE3F00"/>
    <w:rsid w:val="00BE4662"/>
    <w:rsid w:val="00BE5C61"/>
    <w:rsid w:val="00BE5CDB"/>
    <w:rsid w:val="00BE629A"/>
    <w:rsid w:val="00BE638E"/>
    <w:rsid w:val="00BE7288"/>
    <w:rsid w:val="00BE760E"/>
    <w:rsid w:val="00BE7D34"/>
    <w:rsid w:val="00BF07FA"/>
    <w:rsid w:val="00BF0DCD"/>
    <w:rsid w:val="00BF145B"/>
    <w:rsid w:val="00BF1A37"/>
    <w:rsid w:val="00BF2C9F"/>
    <w:rsid w:val="00BF2D94"/>
    <w:rsid w:val="00BF36C6"/>
    <w:rsid w:val="00BF4469"/>
    <w:rsid w:val="00BF4E7F"/>
    <w:rsid w:val="00BF5155"/>
    <w:rsid w:val="00BF55DD"/>
    <w:rsid w:val="00BF5CFE"/>
    <w:rsid w:val="00BF7D17"/>
    <w:rsid w:val="00C00C95"/>
    <w:rsid w:val="00C01833"/>
    <w:rsid w:val="00C022E4"/>
    <w:rsid w:val="00C034E9"/>
    <w:rsid w:val="00C03531"/>
    <w:rsid w:val="00C061AC"/>
    <w:rsid w:val="00C07261"/>
    <w:rsid w:val="00C100C1"/>
    <w:rsid w:val="00C1039E"/>
    <w:rsid w:val="00C1063A"/>
    <w:rsid w:val="00C107EE"/>
    <w:rsid w:val="00C10BA1"/>
    <w:rsid w:val="00C112C3"/>
    <w:rsid w:val="00C11C7D"/>
    <w:rsid w:val="00C12124"/>
    <w:rsid w:val="00C12620"/>
    <w:rsid w:val="00C12C40"/>
    <w:rsid w:val="00C132B2"/>
    <w:rsid w:val="00C1398B"/>
    <w:rsid w:val="00C13B7F"/>
    <w:rsid w:val="00C143ED"/>
    <w:rsid w:val="00C146D0"/>
    <w:rsid w:val="00C14750"/>
    <w:rsid w:val="00C14851"/>
    <w:rsid w:val="00C14F1D"/>
    <w:rsid w:val="00C1528F"/>
    <w:rsid w:val="00C1595F"/>
    <w:rsid w:val="00C170E1"/>
    <w:rsid w:val="00C17379"/>
    <w:rsid w:val="00C175F2"/>
    <w:rsid w:val="00C17801"/>
    <w:rsid w:val="00C202B5"/>
    <w:rsid w:val="00C2055B"/>
    <w:rsid w:val="00C20DD3"/>
    <w:rsid w:val="00C2192B"/>
    <w:rsid w:val="00C21B45"/>
    <w:rsid w:val="00C22E1D"/>
    <w:rsid w:val="00C230A9"/>
    <w:rsid w:val="00C247BE"/>
    <w:rsid w:val="00C25673"/>
    <w:rsid w:val="00C2581F"/>
    <w:rsid w:val="00C26151"/>
    <w:rsid w:val="00C309A2"/>
    <w:rsid w:val="00C30C8C"/>
    <w:rsid w:val="00C31689"/>
    <w:rsid w:val="00C31EB6"/>
    <w:rsid w:val="00C32491"/>
    <w:rsid w:val="00C324B1"/>
    <w:rsid w:val="00C32547"/>
    <w:rsid w:val="00C326BC"/>
    <w:rsid w:val="00C336CC"/>
    <w:rsid w:val="00C33A95"/>
    <w:rsid w:val="00C34323"/>
    <w:rsid w:val="00C34971"/>
    <w:rsid w:val="00C34DBC"/>
    <w:rsid w:val="00C355CD"/>
    <w:rsid w:val="00C36918"/>
    <w:rsid w:val="00C37085"/>
    <w:rsid w:val="00C375FC"/>
    <w:rsid w:val="00C40539"/>
    <w:rsid w:val="00C406C7"/>
    <w:rsid w:val="00C41703"/>
    <w:rsid w:val="00C42BE3"/>
    <w:rsid w:val="00C42F7B"/>
    <w:rsid w:val="00C43020"/>
    <w:rsid w:val="00C439E0"/>
    <w:rsid w:val="00C455C4"/>
    <w:rsid w:val="00C45710"/>
    <w:rsid w:val="00C4608B"/>
    <w:rsid w:val="00C46650"/>
    <w:rsid w:val="00C46A97"/>
    <w:rsid w:val="00C47629"/>
    <w:rsid w:val="00C47771"/>
    <w:rsid w:val="00C5072C"/>
    <w:rsid w:val="00C51018"/>
    <w:rsid w:val="00C5179B"/>
    <w:rsid w:val="00C51D59"/>
    <w:rsid w:val="00C52BD2"/>
    <w:rsid w:val="00C54BD6"/>
    <w:rsid w:val="00C54D34"/>
    <w:rsid w:val="00C54EC7"/>
    <w:rsid w:val="00C54F65"/>
    <w:rsid w:val="00C55645"/>
    <w:rsid w:val="00C55C0D"/>
    <w:rsid w:val="00C55DC0"/>
    <w:rsid w:val="00C56526"/>
    <w:rsid w:val="00C56571"/>
    <w:rsid w:val="00C56D9C"/>
    <w:rsid w:val="00C5758B"/>
    <w:rsid w:val="00C6005A"/>
    <w:rsid w:val="00C601E8"/>
    <w:rsid w:val="00C61205"/>
    <w:rsid w:val="00C621EC"/>
    <w:rsid w:val="00C62C68"/>
    <w:rsid w:val="00C62DF3"/>
    <w:rsid w:val="00C63663"/>
    <w:rsid w:val="00C64711"/>
    <w:rsid w:val="00C65BC1"/>
    <w:rsid w:val="00C6633B"/>
    <w:rsid w:val="00C66568"/>
    <w:rsid w:val="00C679DC"/>
    <w:rsid w:val="00C7001F"/>
    <w:rsid w:val="00C70B16"/>
    <w:rsid w:val="00C70B62"/>
    <w:rsid w:val="00C71FEE"/>
    <w:rsid w:val="00C723D6"/>
    <w:rsid w:val="00C726D6"/>
    <w:rsid w:val="00C738A6"/>
    <w:rsid w:val="00C73E4B"/>
    <w:rsid w:val="00C74966"/>
    <w:rsid w:val="00C74975"/>
    <w:rsid w:val="00C74DFD"/>
    <w:rsid w:val="00C75166"/>
    <w:rsid w:val="00C754CF"/>
    <w:rsid w:val="00C760A3"/>
    <w:rsid w:val="00C764BB"/>
    <w:rsid w:val="00C77218"/>
    <w:rsid w:val="00C80187"/>
    <w:rsid w:val="00C8032B"/>
    <w:rsid w:val="00C81835"/>
    <w:rsid w:val="00C81E69"/>
    <w:rsid w:val="00C82321"/>
    <w:rsid w:val="00C8250C"/>
    <w:rsid w:val="00C826B0"/>
    <w:rsid w:val="00C838FA"/>
    <w:rsid w:val="00C83BD2"/>
    <w:rsid w:val="00C83C20"/>
    <w:rsid w:val="00C841C4"/>
    <w:rsid w:val="00C8462E"/>
    <w:rsid w:val="00C84751"/>
    <w:rsid w:val="00C849AE"/>
    <w:rsid w:val="00C856B3"/>
    <w:rsid w:val="00C87011"/>
    <w:rsid w:val="00C87C99"/>
    <w:rsid w:val="00C87CE1"/>
    <w:rsid w:val="00C900B9"/>
    <w:rsid w:val="00C903FF"/>
    <w:rsid w:val="00C908C8"/>
    <w:rsid w:val="00C90AB8"/>
    <w:rsid w:val="00C90D2A"/>
    <w:rsid w:val="00C9275D"/>
    <w:rsid w:val="00C9276C"/>
    <w:rsid w:val="00C9363C"/>
    <w:rsid w:val="00C94099"/>
    <w:rsid w:val="00C944B0"/>
    <w:rsid w:val="00C94DB8"/>
    <w:rsid w:val="00C96227"/>
    <w:rsid w:val="00C967CA"/>
    <w:rsid w:val="00C97BDF"/>
    <w:rsid w:val="00C97C68"/>
    <w:rsid w:val="00CA03A4"/>
    <w:rsid w:val="00CA126B"/>
    <w:rsid w:val="00CA17FC"/>
    <w:rsid w:val="00CA2517"/>
    <w:rsid w:val="00CA2E7D"/>
    <w:rsid w:val="00CA302D"/>
    <w:rsid w:val="00CA3141"/>
    <w:rsid w:val="00CA35D7"/>
    <w:rsid w:val="00CA3637"/>
    <w:rsid w:val="00CA3DE6"/>
    <w:rsid w:val="00CA4D8F"/>
    <w:rsid w:val="00CA53CF"/>
    <w:rsid w:val="00CA64DE"/>
    <w:rsid w:val="00CA66E4"/>
    <w:rsid w:val="00CA6852"/>
    <w:rsid w:val="00CA69FA"/>
    <w:rsid w:val="00CA7A63"/>
    <w:rsid w:val="00CB046F"/>
    <w:rsid w:val="00CB0772"/>
    <w:rsid w:val="00CB14E4"/>
    <w:rsid w:val="00CB25F7"/>
    <w:rsid w:val="00CB2DF0"/>
    <w:rsid w:val="00CB33BA"/>
    <w:rsid w:val="00CB417D"/>
    <w:rsid w:val="00CB5DCA"/>
    <w:rsid w:val="00CB5DF8"/>
    <w:rsid w:val="00CB5E83"/>
    <w:rsid w:val="00CB72B5"/>
    <w:rsid w:val="00CB7402"/>
    <w:rsid w:val="00CC00BD"/>
    <w:rsid w:val="00CC068E"/>
    <w:rsid w:val="00CC0A19"/>
    <w:rsid w:val="00CC0CD2"/>
    <w:rsid w:val="00CC1591"/>
    <w:rsid w:val="00CC1944"/>
    <w:rsid w:val="00CC3CD7"/>
    <w:rsid w:val="00CC51DA"/>
    <w:rsid w:val="00CC58B5"/>
    <w:rsid w:val="00CC6E6F"/>
    <w:rsid w:val="00CC7650"/>
    <w:rsid w:val="00CC79FE"/>
    <w:rsid w:val="00CD0F58"/>
    <w:rsid w:val="00CD1AAD"/>
    <w:rsid w:val="00CD1CF3"/>
    <w:rsid w:val="00CD23D6"/>
    <w:rsid w:val="00CD28EB"/>
    <w:rsid w:val="00CD36A0"/>
    <w:rsid w:val="00CD37D2"/>
    <w:rsid w:val="00CD386F"/>
    <w:rsid w:val="00CD3C21"/>
    <w:rsid w:val="00CD4D80"/>
    <w:rsid w:val="00CD515C"/>
    <w:rsid w:val="00CD571C"/>
    <w:rsid w:val="00CD5F30"/>
    <w:rsid w:val="00CD5F9A"/>
    <w:rsid w:val="00CD6A48"/>
    <w:rsid w:val="00CD6F2D"/>
    <w:rsid w:val="00CD7282"/>
    <w:rsid w:val="00CE00E4"/>
    <w:rsid w:val="00CE0766"/>
    <w:rsid w:val="00CE0E04"/>
    <w:rsid w:val="00CE0F08"/>
    <w:rsid w:val="00CE17A7"/>
    <w:rsid w:val="00CE1B15"/>
    <w:rsid w:val="00CE1BFA"/>
    <w:rsid w:val="00CE2494"/>
    <w:rsid w:val="00CE2A43"/>
    <w:rsid w:val="00CE395B"/>
    <w:rsid w:val="00CE39C8"/>
    <w:rsid w:val="00CE43A5"/>
    <w:rsid w:val="00CE4407"/>
    <w:rsid w:val="00CE59A1"/>
    <w:rsid w:val="00CE5D95"/>
    <w:rsid w:val="00CF07C0"/>
    <w:rsid w:val="00CF0FB7"/>
    <w:rsid w:val="00CF17CA"/>
    <w:rsid w:val="00CF1D39"/>
    <w:rsid w:val="00CF3610"/>
    <w:rsid w:val="00CF5871"/>
    <w:rsid w:val="00CF60F8"/>
    <w:rsid w:val="00D004A3"/>
    <w:rsid w:val="00D00955"/>
    <w:rsid w:val="00D00B82"/>
    <w:rsid w:val="00D02748"/>
    <w:rsid w:val="00D02833"/>
    <w:rsid w:val="00D030E5"/>
    <w:rsid w:val="00D03A2D"/>
    <w:rsid w:val="00D04ED7"/>
    <w:rsid w:val="00D050C2"/>
    <w:rsid w:val="00D0553B"/>
    <w:rsid w:val="00D062D8"/>
    <w:rsid w:val="00D07767"/>
    <w:rsid w:val="00D10E87"/>
    <w:rsid w:val="00D10F13"/>
    <w:rsid w:val="00D1142C"/>
    <w:rsid w:val="00D115C7"/>
    <w:rsid w:val="00D135C2"/>
    <w:rsid w:val="00D13CBF"/>
    <w:rsid w:val="00D144AA"/>
    <w:rsid w:val="00D16254"/>
    <w:rsid w:val="00D162A9"/>
    <w:rsid w:val="00D16433"/>
    <w:rsid w:val="00D16A29"/>
    <w:rsid w:val="00D16F43"/>
    <w:rsid w:val="00D1773A"/>
    <w:rsid w:val="00D22F72"/>
    <w:rsid w:val="00D236ED"/>
    <w:rsid w:val="00D24080"/>
    <w:rsid w:val="00D268F8"/>
    <w:rsid w:val="00D26928"/>
    <w:rsid w:val="00D26B9A"/>
    <w:rsid w:val="00D30577"/>
    <w:rsid w:val="00D320A9"/>
    <w:rsid w:val="00D3212A"/>
    <w:rsid w:val="00D32808"/>
    <w:rsid w:val="00D333EF"/>
    <w:rsid w:val="00D3375A"/>
    <w:rsid w:val="00D33BEA"/>
    <w:rsid w:val="00D34363"/>
    <w:rsid w:val="00D34B1A"/>
    <w:rsid w:val="00D352BF"/>
    <w:rsid w:val="00D35458"/>
    <w:rsid w:val="00D3567A"/>
    <w:rsid w:val="00D35858"/>
    <w:rsid w:val="00D35B4F"/>
    <w:rsid w:val="00D35CEA"/>
    <w:rsid w:val="00D3669F"/>
    <w:rsid w:val="00D36897"/>
    <w:rsid w:val="00D37305"/>
    <w:rsid w:val="00D37F34"/>
    <w:rsid w:val="00D40502"/>
    <w:rsid w:val="00D4061D"/>
    <w:rsid w:val="00D40ED5"/>
    <w:rsid w:val="00D410F6"/>
    <w:rsid w:val="00D411A9"/>
    <w:rsid w:val="00D42E59"/>
    <w:rsid w:val="00D42E6F"/>
    <w:rsid w:val="00D43794"/>
    <w:rsid w:val="00D44BBF"/>
    <w:rsid w:val="00D465B9"/>
    <w:rsid w:val="00D465E8"/>
    <w:rsid w:val="00D4684C"/>
    <w:rsid w:val="00D47C3E"/>
    <w:rsid w:val="00D501CA"/>
    <w:rsid w:val="00D5060E"/>
    <w:rsid w:val="00D5073B"/>
    <w:rsid w:val="00D512F8"/>
    <w:rsid w:val="00D518A8"/>
    <w:rsid w:val="00D51D20"/>
    <w:rsid w:val="00D51FC7"/>
    <w:rsid w:val="00D52629"/>
    <w:rsid w:val="00D52BA1"/>
    <w:rsid w:val="00D53719"/>
    <w:rsid w:val="00D5483F"/>
    <w:rsid w:val="00D560B0"/>
    <w:rsid w:val="00D5642B"/>
    <w:rsid w:val="00D56FCC"/>
    <w:rsid w:val="00D57624"/>
    <w:rsid w:val="00D5775F"/>
    <w:rsid w:val="00D57862"/>
    <w:rsid w:val="00D600C1"/>
    <w:rsid w:val="00D62511"/>
    <w:rsid w:val="00D632DE"/>
    <w:rsid w:val="00D6370E"/>
    <w:rsid w:val="00D63E0C"/>
    <w:rsid w:val="00D6480D"/>
    <w:rsid w:val="00D6516F"/>
    <w:rsid w:val="00D66E9F"/>
    <w:rsid w:val="00D6716A"/>
    <w:rsid w:val="00D67A34"/>
    <w:rsid w:val="00D710A7"/>
    <w:rsid w:val="00D71107"/>
    <w:rsid w:val="00D716C9"/>
    <w:rsid w:val="00D71BBC"/>
    <w:rsid w:val="00D71BE5"/>
    <w:rsid w:val="00D71BE8"/>
    <w:rsid w:val="00D72146"/>
    <w:rsid w:val="00D72395"/>
    <w:rsid w:val="00D73435"/>
    <w:rsid w:val="00D734D2"/>
    <w:rsid w:val="00D75112"/>
    <w:rsid w:val="00D75319"/>
    <w:rsid w:val="00D76061"/>
    <w:rsid w:val="00D763F5"/>
    <w:rsid w:val="00D7664B"/>
    <w:rsid w:val="00D77F65"/>
    <w:rsid w:val="00D80B62"/>
    <w:rsid w:val="00D810D8"/>
    <w:rsid w:val="00D81505"/>
    <w:rsid w:val="00D836B4"/>
    <w:rsid w:val="00D83B43"/>
    <w:rsid w:val="00D84850"/>
    <w:rsid w:val="00D84853"/>
    <w:rsid w:val="00D850E5"/>
    <w:rsid w:val="00D85F33"/>
    <w:rsid w:val="00D861A1"/>
    <w:rsid w:val="00D8657C"/>
    <w:rsid w:val="00D86705"/>
    <w:rsid w:val="00D87086"/>
    <w:rsid w:val="00D870D8"/>
    <w:rsid w:val="00D875E8"/>
    <w:rsid w:val="00D90839"/>
    <w:rsid w:val="00D920F2"/>
    <w:rsid w:val="00D92898"/>
    <w:rsid w:val="00D949FA"/>
    <w:rsid w:val="00D95152"/>
    <w:rsid w:val="00D953AA"/>
    <w:rsid w:val="00D955ED"/>
    <w:rsid w:val="00D959FB"/>
    <w:rsid w:val="00D95F95"/>
    <w:rsid w:val="00D9645B"/>
    <w:rsid w:val="00DA1188"/>
    <w:rsid w:val="00DA32E4"/>
    <w:rsid w:val="00DA32FF"/>
    <w:rsid w:val="00DA417C"/>
    <w:rsid w:val="00DA5065"/>
    <w:rsid w:val="00DA5373"/>
    <w:rsid w:val="00DA69CD"/>
    <w:rsid w:val="00DA714F"/>
    <w:rsid w:val="00DA770B"/>
    <w:rsid w:val="00DB12F9"/>
    <w:rsid w:val="00DB1E6A"/>
    <w:rsid w:val="00DB233B"/>
    <w:rsid w:val="00DB2748"/>
    <w:rsid w:val="00DB3407"/>
    <w:rsid w:val="00DB392B"/>
    <w:rsid w:val="00DB3AC9"/>
    <w:rsid w:val="00DB3AF2"/>
    <w:rsid w:val="00DB3CD5"/>
    <w:rsid w:val="00DB4501"/>
    <w:rsid w:val="00DB48C9"/>
    <w:rsid w:val="00DB48F6"/>
    <w:rsid w:val="00DB59FB"/>
    <w:rsid w:val="00DB7020"/>
    <w:rsid w:val="00DB79B1"/>
    <w:rsid w:val="00DC05EB"/>
    <w:rsid w:val="00DC0682"/>
    <w:rsid w:val="00DC0A5A"/>
    <w:rsid w:val="00DC2231"/>
    <w:rsid w:val="00DC29D9"/>
    <w:rsid w:val="00DC2AAB"/>
    <w:rsid w:val="00DC331A"/>
    <w:rsid w:val="00DC3945"/>
    <w:rsid w:val="00DC4424"/>
    <w:rsid w:val="00DC4E02"/>
    <w:rsid w:val="00DC5689"/>
    <w:rsid w:val="00DC5D60"/>
    <w:rsid w:val="00DC6542"/>
    <w:rsid w:val="00DC770D"/>
    <w:rsid w:val="00DD02C0"/>
    <w:rsid w:val="00DD0395"/>
    <w:rsid w:val="00DD04BC"/>
    <w:rsid w:val="00DD10EC"/>
    <w:rsid w:val="00DD130B"/>
    <w:rsid w:val="00DD22F2"/>
    <w:rsid w:val="00DD3065"/>
    <w:rsid w:val="00DD3367"/>
    <w:rsid w:val="00DD3A00"/>
    <w:rsid w:val="00DD3BD2"/>
    <w:rsid w:val="00DD4A62"/>
    <w:rsid w:val="00DD52A2"/>
    <w:rsid w:val="00DD52D4"/>
    <w:rsid w:val="00DD54A1"/>
    <w:rsid w:val="00DD5B1E"/>
    <w:rsid w:val="00DD6632"/>
    <w:rsid w:val="00DD6B3F"/>
    <w:rsid w:val="00DD72E5"/>
    <w:rsid w:val="00DD7D1F"/>
    <w:rsid w:val="00DE062D"/>
    <w:rsid w:val="00DE082F"/>
    <w:rsid w:val="00DE08A9"/>
    <w:rsid w:val="00DE0F96"/>
    <w:rsid w:val="00DE126D"/>
    <w:rsid w:val="00DE12E2"/>
    <w:rsid w:val="00DE1407"/>
    <w:rsid w:val="00DE18A7"/>
    <w:rsid w:val="00DE1DAA"/>
    <w:rsid w:val="00DE1EE9"/>
    <w:rsid w:val="00DE2563"/>
    <w:rsid w:val="00DE2EFA"/>
    <w:rsid w:val="00DE2F14"/>
    <w:rsid w:val="00DE4720"/>
    <w:rsid w:val="00DE56A3"/>
    <w:rsid w:val="00DE5F57"/>
    <w:rsid w:val="00DE66A7"/>
    <w:rsid w:val="00DF175E"/>
    <w:rsid w:val="00DF2C15"/>
    <w:rsid w:val="00DF3160"/>
    <w:rsid w:val="00DF3687"/>
    <w:rsid w:val="00DF47C4"/>
    <w:rsid w:val="00DF51FE"/>
    <w:rsid w:val="00DF571F"/>
    <w:rsid w:val="00DF6507"/>
    <w:rsid w:val="00DF7C47"/>
    <w:rsid w:val="00E0056C"/>
    <w:rsid w:val="00E005E4"/>
    <w:rsid w:val="00E026B3"/>
    <w:rsid w:val="00E045FF"/>
    <w:rsid w:val="00E05B60"/>
    <w:rsid w:val="00E05D90"/>
    <w:rsid w:val="00E0667F"/>
    <w:rsid w:val="00E06AFC"/>
    <w:rsid w:val="00E06F59"/>
    <w:rsid w:val="00E10D57"/>
    <w:rsid w:val="00E113A9"/>
    <w:rsid w:val="00E11996"/>
    <w:rsid w:val="00E12CE0"/>
    <w:rsid w:val="00E12EB2"/>
    <w:rsid w:val="00E136CF"/>
    <w:rsid w:val="00E13E9B"/>
    <w:rsid w:val="00E14463"/>
    <w:rsid w:val="00E14C22"/>
    <w:rsid w:val="00E14D1F"/>
    <w:rsid w:val="00E14DDA"/>
    <w:rsid w:val="00E1507C"/>
    <w:rsid w:val="00E1775C"/>
    <w:rsid w:val="00E1776C"/>
    <w:rsid w:val="00E178C5"/>
    <w:rsid w:val="00E17DEE"/>
    <w:rsid w:val="00E17E1F"/>
    <w:rsid w:val="00E201F8"/>
    <w:rsid w:val="00E20294"/>
    <w:rsid w:val="00E21454"/>
    <w:rsid w:val="00E216F5"/>
    <w:rsid w:val="00E21ECC"/>
    <w:rsid w:val="00E233BD"/>
    <w:rsid w:val="00E23834"/>
    <w:rsid w:val="00E24AF3"/>
    <w:rsid w:val="00E253F0"/>
    <w:rsid w:val="00E2544E"/>
    <w:rsid w:val="00E25B8C"/>
    <w:rsid w:val="00E26226"/>
    <w:rsid w:val="00E26A1C"/>
    <w:rsid w:val="00E26B50"/>
    <w:rsid w:val="00E27449"/>
    <w:rsid w:val="00E27A93"/>
    <w:rsid w:val="00E27CF5"/>
    <w:rsid w:val="00E30803"/>
    <w:rsid w:val="00E30F3C"/>
    <w:rsid w:val="00E317D2"/>
    <w:rsid w:val="00E31A11"/>
    <w:rsid w:val="00E31A6D"/>
    <w:rsid w:val="00E321A2"/>
    <w:rsid w:val="00E32228"/>
    <w:rsid w:val="00E32510"/>
    <w:rsid w:val="00E32689"/>
    <w:rsid w:val="00E33F46"/>
    <w:rsid w:val="00E33FAE"/>
    <w:rsid w:val="00E34A1E"/>
    <w:rsid w:val="00E34E42"/>
    <w:rsid w:val="00E355F3"/>
    <w:rsid w:val="00E358A6"/>
    <w:rsid w:val="00E375C0"/>
    <w:rsid w:val="00E37B58"/>
    <w:rsid w:val="00E4028E"/>
    <w:rsid w:val="00E40C73"/>
    <w:rsid w:val="00E4104F"/>
    <w:rsid w:val="00E41AFD"/>
    <w:rsid w:val="00E41C26"/>
    <w:rsid w:val="00E420AA"/>
    <w:rsid w:val="00E42518"/>
    <w:rsid w:val="00E42FDD"/>
    <w:rsid w:val="00E43E01"/>
    <w:rsid w:val="00E44796"/>
    <w:rsid w:val="00E44826"/>
    <w:rsid w:val="00E459AC"/>
    <w:rsid w:val="00E46DB8"/>
    <w:rsid w:val="00E46FAD"/>
    <w:rsid w:val="00E4705B"/>
    <w:rsid w:val="00E478E1"/>
    <w:rsid w:val="00E50756"/>
    <w:rsid w:val="00E50822"/>
    <w:rsid w:val="00E50BB8"/>
    <w:rsid w:val="00E50D11"/>
    <w:rsid w:val="00E51ED7"/>
    <w:rsid w:val="00E5235F"/>
    <w:rsid w:val="00E53862"/>
    <w:rsid w:val="00E53C59"/>
    <w:rsid w:val="00E547A4"/>
    <w:rsid w:val="00E54ABD"/>
    <w:rsid w:val="00E551F7"/>
    <w:rsid w:val="00E559EE"/>
    <w:rsid w:val="00E563DC"/>
    <w:rsid w:val="00E576CF"/>
    <w:rsid w:val="00E60034"/>
    <w:rsid w:val="00E60276"/>
    <w:rsid w:val="00E61E3B"/>
    <w:rsid w:val="00E625DB"/>
    <w:rsid w:val="00E63942"/>
    <w:rsid w:val="00E639C1"/>
    <w:rsid w:val="00E63D3A"/>
    <w:rsid w:val="00E65B41"/>
    <w:rsid w:val="00E66ACF"/>
    <w:rsid w:val="00E71031"/>
    <w:rsid w:val="00E710AE"/>
    <w:rsid w:val="00E713D8"/>
    <w:rsid w:val="00E71F85"/>
    <w:rsid w:val="00E72442"/>
    <w:rsid w:val="00E728E6"/>
    <w:rsid w:val="00E7314B"/>
    <w:rsid w:val="00E73204"/>
    <w:rsid w:val="00E73277"/>
    <w:rsid w:val="00E7433B"/>
    <w:rsid w:val="00E74F32"/>
    <w:rsid w:val="00E75E29"/>
    <w:rsid w:val="00E75E87"/>
    <w:rsid w:val="00E7690D"/>
    <w:rsid w:val="00E76D6C"/>
    <w:rsid w:val="00E771FB"/>
    <w:rsid w:val="00E773C6"/>
    <w:rsid w:val="00E80044"/>
    <w:rsid w:val="00E81572"/>
    <w:rsid w:val="00E818FF"/>
    <w:rsid w:val="00E81A66"/>
    <w:rsid w:val="00E81DC2"/>
    <w:rsid w:val="00E8269F"/>
    <w:rsid w:val="00E82C12"/>
    <w:rsid w:val="00E830FB"/>
    <w:rsid w:val="00E834F3"/>
    <w:rsid w:val="00E838FC"/>
    <w:rsid w:val="00E83A64"/>
    <w:rsid w:val="00E83E0E"/>
    <w:rsid w:val="00E842F0"/>
    <w:rsid w:val="00E846B8"/>
    <w:rsid w:val="00E84F9A"/>
    <w:rsid w:val="00E8531A"/>
    <w:rsid w:val="00E858CD"/>
    <w:rsid w:val="00E8623E"/>
    <w:rsid w:val="00E86548"/>
    <w:rsid w:val="00E86810"/>
    <w:rsid w:val="00E87747"/>
    <w:rsid w:val="00E9080D"/>
    <w:rsid w:val="00E92127"/>
    <w:rsid w:val="00E946AF"/>
    <w:rsid w:val="00E946C7"/>
    <w:rsid w:val="00E94B34"/>
    <w:rsid w:val="00E94F77"/>
    <w:rsid w:val="00E9591F"/>
    <w:rsid w:val="00E96461"/>
    <w:rsid w:val="00E9659C"/>
    <w:rsid w:val="00E97BD1"/>
    <w:rsid w:val="00E97D23"/>
    <w:rsid w:val="00EA1782"/>
    <w:rsid w:val="00EA2555"/>
    <w:rsid w:val="00EA266D"/>
    <w:rsid w:val="00EA271D"/>
    <w:rsid w:val="00EA2A58"/>
    <w:rsid w:val="00EA2B48"/>
    <w:rsid w:val="00EA2FF8"/>
    <w:rsid w:val="00EA4D17"/>
    <w:rsid w:val="00EA50F5"/>
    <w:rsid w:val="00EA5696"/>
    <w:rsid w:val="00EA5C71"/>
    <w:rsid w:val="00EA6A98"/>
    <w:rsid w:val="00EA6DF5"/>
    <w:rsid w:val="00EA6FD9"/>
    <w:rsid w:val="00EB0279"/>
    <w:rsid w:val="00EB1439"/>
    <w:rsid w:val="00EB3032"/>
    <w:rsid w:val="00EB3B2A"/>
    <w:rsid w:val="00EB458F"/>
    <w:rsid w:val="00EB4AB7"/>
    <w:rsid w:val="00EB5023"/>
    <w:rsid w:val="00EB5BCA"/>
    <w:rsid w:val="00EB5CE9"/>
    <w:rsid w:val="00EB609D"/>
    <w:rsid w:val="00EB60E0"/>
    <w:rsid w:val="00EB78E1"/>
    <w:rsid w:val="00EC0AB4"/>
    <w:rsid w:val="00EC163A"/>
    <w:rsid w:val="00EC173A"/>
    <w:rsid w:val="00EC2109"/>
    <w:rsid w:val="00EC2C4A"/>
    <w:rsid w:val="00EC3045"/>
    <w:rsid w:val="00EC30BF"/>
    <w:rsid w:val="00EC3EDD"/>
    <w:rsid w:val="00EC3EF2"/>
    <w:rsid w:val="00EC4D2A"/>
    <w:rsid w:val="00EC5A52"/>
    <w:rsid w:val="00EC6897"/>
    <w:rsid w:val="00ED10B9"/>
    <w:rsid w:val="00ED14B4"/>
    <w:rsid w:val="00ED1838"/>
    <w:rsid w:val="00ED1BD8"/>
    <w:rsid w:val="00ED1F1F"/>
    <w:rsid w:val="00ED2729"/>
    <w:rsid w:val="00ED27A9"/>
    <w:rsid w:val="00ED37E4"/>
    <w:rsid w:val="00ED47FE"/>
    <w:rsid w:val="00ED4A3E"/>
    <w:rsid w:val="00ED4EE0"/>
    <w:rsid w:val="00ED6C3B"/>
    <w:rsid w:val="00EE0A44"/>
    <w:rsid w:val="00EE1141"/>
    <w:rsid w:val="00EE15EF"/>
    <w:rsid w:val="00EE2D92"/>
    <w:rsid w:val="00EE2F46"/>
    <w:rsid w:val="00EE3754"/>
    <w:rsid w:val="00EE386C"/>
    <w:rsid w:val="00EE39F7"/>
    <w:rsid w:val="00EE3ACF"/>
    <w:rsid w:val="00EE46D4"/>
    <w:rsid w:val="00EE588D"/>
    <w:rsid w:val="00EE6567"/>
    <w:rsid w:val="00EE68CD"/>
    <w:rsid w:val="00EE6AEB"/>
    <w:rsid w:val="00EE7AFA"/>
    <w:rsid w:val="00EE7C3F"/>
    <w:rsid w:val="00EE7C8C"/>
    <w:rsid w:val="00EF1808"/>
    <w:rsid w:val="00EF2995"/>
    <w:rsid w:val="00EF3CBD"/>
    <w:rsid w:val="00EF45CC"/>
    <w:rsid w:val="00EF515E"/>
    <w:rsid w:val="00EF51A6"/>
    <w:rsid w:val="00EF5AA9"/>
    <w:rsid w:val="00EF5CDB"/>
    <w:rsid w:val="00EF6491"/>
    <w:rsid w:val="00EF64F2"/>
    <w:rsid w:val="00EF7496"/>
    <w:rsid w:val="00EF7EDE"/>
    <w:rsid w:val="00F002B8"/>
    <w:rsid w:val="00F00849"/>
    <w:rsid w:val="00F01955"/>
    <w:rsid w:val="00F024BB"/>
    <w:rsid w:val="00F024C1"/>
    <w:rsid w:val="00F025BC"/>
    <w:rsid w:val="00F03D7C"/>
    <w:rsid w:val="00F061EF"/>
    <w:rsid w:val="00F06924"/>
    <w:rsid w:val="00F06B39"/>
    <w:rsid w:val="00F06C97"/>
    <w:rsid w:val="00F07616"/>
    <w:rsid w:val="00F07635"/>
    <w:rsid w:val="00F10A1E"/>
    <w:rsid w:val="00F11864"/>
    <w:rsid w:val="00F11F34"/>
    <w:rsid w:val="00F123BD"/>
    <w:rsid w:val="00F12CD2"/>
    <w:rsid w:val="00F1332D"/>
    <w:rsid w:val="00F13C5F"/>
    <w:rsid w:val="00F13EA1"/>
    <w:rsid w:val="00F1406F"/>
    <w:rsid w:val="00F14378"/>
    <w:rsid w:val="00F14E88"/>
    <w:rsid w:val="00F16FED"/>
    <w:rsid w:val="00F20231"/>
    <w:rsid w:val="00F20356"/>
    <w:rsid w:val="00F204F0"/>
    <w:rsid w:val="00F20647"/>
    <w:rsid w:val="00F2111B"/>
    <w:rsid w:val="00F218A6"/>
    <w:rsid w:val="00F21BB7"/>
    <w:rsid w:val="00F21E4D"/>
    <w:rsid w:val="00F21EA4"/>
    <w:rsid w:val="00F244D4"/>
    <w:rsid w:val="00F24D68"/>
    <w:rsid w:val="00F2551F"/>
    <w:rsid w:val="00F25AD8"/>
    <w:rsid w:val="00F2652D"/>
    <w:rsid w:val="00F26918"/>
    <w:rsid w:val="00F26D96"/>
    <w:rsid w:val="00F27DD6"/>
    <w:rsid w:val="00F3032B"/>
    <w:rsid w:val="00F304D5"/>
    <w:rsid w:val="00F30AC3"/>
    <w:rsid w:val="00F30D48"/>
    <w:rsid w:val="00F317E7"/>
    <w:rsid w:val="00F31AF2"/>
    <w:rsid w:val="00F321E6"/>
    <w:rsid w:val="00F32695"/>
    <w:rsid w:val="00F32FFA"/>
    <w:rsid w:val="00F33242"/>
    <w:rsid w:val="00F3429C"/>
    <w:rsid w:val="00F350B6"/>
    <w:rsid w:val="00F360B9"/>
    <w:rsid w:val="00F372CB"/>
    <w:rsid w:val="00F37517"/>
    <w:rsid w:val="00F405C3"/>
    <w:rsid w:val="00F412E7"/>
    <w:rsid w:val="00F41658"/>
    <w:rsid w:val="00F41793"/>
    <w:rsid w:val="00F41D7F"/>
    <w:rsid w:val="00F41E12"/>
    <w:rsid w:val="00F41EAC"/>
    <w:rsid w:val="00F433F7"/>
    <w:rsid w:val="00F435F4"/>
    <w:rsid w:val="00F43B9D"/>
    <w:rsid w:val="00F445B3"/>
    <w:rsid w:val="00F4498E"/>
    <w:rsid w:val="00F4513E"/>
    <w:rsid w:val="00F452E4"/>
    <w:rsid w:val="00F504FC"/>
    <w:rsid w:val="00F519B9"/>
    <w:rsid w:val="00F520F5"/>
    <w:rsid w:val="00F53037"/>
    <w:rsid w:val="00F53D6C"/>
    <w:rsid w:val="00F53E14"/>
    <w:rsid w:val="00F54C8C"/>
    <w:rsid w:val="00F552F4"/>
    <w:rsid w:val="00F562CB"/>
    <w:rsid w:val="00F56392"/>
    <w:rsid w:val="00F56C0C"/>
    <w:rsid w:val="00F57220"/>
    <w:rsid w:val="00F6040A"/>
    <w:rsid w:val="00F6074F"/>
    <w:rsid w:val="00F612D9"/>
    <w:rsid w:val="00F6147C"/>
    <w:rsid w:val="00F61FC8"/>
    <w:rsid w:val="00F62DAD"/>
    <w:rsid w:val="00F62ED7"/>
    <w:rsid w:val="00F64383"/>
    <w:rsid w:val="00F6533F"/>
    <w:rsid w:val="00F65E27"/>
    <w:rsid w:val="00F6652B"/>
    <w:rsid w:val="00F66943"/>
    <w:rsid w:val="00F66D40"/>
    <w:rsid w:val="00F67003"/>
    <w:rsid w:val="00F67ADA"/>
    <w:rsid w:val="00F67AE0"/>
    <w:rsid w:val="00F67F0F"/>
    <w:rsid w:val="00F71184"/>
    <w:rsid w:val="00F71755"/>
    <w:rsid w:val="00F71C2E"/>
    <w:rsid w:val="00F721BD"/>
    <w:rsid w:val="00F728A8"/>
    <w:rsid w:val="00F72C50"/>
    <w:rsid w:val="00F73A6B"/>
    <w:rsid w:val="00F73B7D"/>
    <w:rsid w:val="00F73C07"/>
    <w:rsid w:val="00F763CD"/>
    <w:rsid w:val="00F7682E"/>
    <w:rsid w:val="00F76A3E"/>
    <w:rsid w:val="00F76DEC"/>
    <w:rsid w:val="00F77152"/>
    <w:rsid w:val="00F777CF"/>
    <w:rsid w:val="00F80061"/>
    <w:rsid w:val="00F80682"/>
    <w:rsid w:val="00F80883"/>
    <w:rsid w:val="00F80E4D"/>
    <w:rsid w:val="00F81028"/>
    <w:rsid w:val="00F813F3"/>
    <w:rsid w:val="00F823A4"/>
    <w:rsid w:val="00F8244F"/>
    <w:rsid w:val="00F82636"/>
    <w:rsid w:val="00F83197"/>
    <w:rsid w:val="00F83350"/>
    <w:rsid w:val="00F833D2"/>
    <w:rsid w:val="00F83462"/>
    <w:rsid w:val="00F8431A"/>
    <w:rsid w:val="00F84686"/>
    <w:rsid w:val="00F847C4"/>
    <w:rsid w:val="00F85D0A"/>
    <w:rsid w:val="00F868E9"/>
    <w:rsid w:val="00F8777B"/>
    <w:rsid w:val="00F87A93"/>
    <w:rsid w:val="00F902C8"/>
    <w:rsid w:val="00F90B2D"/>
    <w:rsid w:val="00F90F1D"/>
    <w:rsid w:val="00F92CD6"/>
    <w:rsid w:val="00F93D5C"/>
    <w:rsid w:val="00F93FC5"/>
    <w:rsid w:val="00F9446B"/>
    <w:rsid w:val="00F94BB7"/>
    <w:rsid w:val="00F94CC0"/>
    <w:rsid w:val="00F94CFD"/>
    <w:rsid w:val="00F96131"/>
    <w:rsid w:val="00F962DD"/>
    <w:rsid w:val="00F962F8"/>
    <w:rsid w:val="00F96F94"/>
    <w:rsid w:val="00F97D46"/>
    <w:rsid w:val="00FA027D"/>
    <w:rsid w:val="00FA036B"/>
    <w:rsid w:val="00FA0EDD"/>
    <w:rsid w:val="00FA14A0"/>
    <w:rsid w:val="00FA168D"/>
    <w:rsid w:val="00FA3604"/>
    <w:rsid w:val="00FA4223"/>
    <w:rsid w:val="00FA48EF"/>
    <w:rsid w:val="00FA4B88"/>
    <w:rsid w:val="00FA52FA"/>
    <w:rsid w:val="00FA54CD"/>
    <w:rsid w:val="00FA65A3"/>
    <w:rsid w:val="00FA7C0C"/>
    <w:rsid w:val="00FB0414"/>
    <w:rsid w:val="00FB0B7B"/>
    <w:rsid w:val="00FB201E"/>
    <w:rsid w:val="00FB3A64"/>
    <w:rsid w:val="00FB3DDE"/>
    <w:rsid w:val="00FB4912"/>
    <w:rsid w:val="00FB6855"/>
    <w:rsid w:val="00FB6F72"/>
    <w:rsid w:val="00FB7B10"/>
    <w:rsid w:val="00FC03F2"/>
    <w:rsid w:val="00FC0F8D"/>
    <w:rsid w:val="00FC108D"/>
    <w:rsid w:val="00FC1B35"/>
    <w:rsid w:val="00FC2CC5"/>
    <w:rsid w:val="00FC4464"/>
    <w:rsid w:val="00FC4B0E"/>
    <w:rsid w:val="00FC5F32"/>
    <w:rsid w:val="00FC6796"/>
    <w:rsid w:val="00FC7235"/>
    <w:rsid w:val="00FC7352"/>
    <w:rsid w:val="00FC7F9D"/>
    <w:rsid w:val="00FD06A2"/>
    <w:rsid w:val="00FD109B"/>
    <w:rsid w:val="00FD1578"/>
    <w:rsid w:val="00FD175C"/>
    <w:rsid w:val="00FD1952"/>
    <w:rsid w:val="00FD3667"/>
    <w:rsid w:val="00FD3DCC"/>
    <w:rsid w:val="00FD4506"/>
    <w:rsid w:val="00FD4E0A"/>
    <w:rsid w:val="00FD5596"/>
    <w:rsid w:val="00FD58E7"/>
    <w:rsid w:val="00FD5AD5"/>
    <w:rsid w:val="00FD5C91"/>
    <w:rsid w:val="00FD62B2"/>
    <w:rsid w:val="00FD6ACF"/>
    <w:rsid w:val="00FD6CC6"/>
    <w:rsid w:val="00FD70FC"/>
    <w:rsid w:val="00FD7251"/>
    <w:rsid w:val="00FE09ED"/>
    <w:rsid w:val="00FE0BA4"/>
    <w:rsid w:val="00FE0BD0"/>
    <w:rsid w:val="00FE0F54"/>
    <w:rsid w:val="00FE12C2"/>
    <w:rsid w:val="00FE2229"/>
    <w:rsid w:val="00FE2CEC"/>
    <w:rsid w:val="00FE2D81"/>
    <w:rsid w:val="00FE2E35"/>
    <w:rsid w:val="00FE30C2"/>
    <w:rsid w:val="00FE3ADE"/>
    <w:rsid w:val="00FE3B99"/>
    <w:rsid w:val="00FE4285"/>
    <w:rsid w:val="00FE5313"/>
    <w:rsid w:val="00FE62E9"/>
    <w:rsid w:val="00FE6914"/>
    <w:rsid w:val="00FE6AA0"/>
    <w:rsid w:val="00FE71F1"/>
    <w:rsid w:val="00FE7233"/>
    <w:rsid w:val="00FE779F"/>
    <w:rsid w:val="00FF0E14"/>
    <w:rsid w:val="00FF1812"/>
    <w:rsid w:val="00FF349A"/>
    <w:rsid w:val="00FF4243"/>
    <w:rsid w:val="00FF4681"/>
    <w:rsid w:val="00FF4981"/>
    <w:rsid w:val="00FF4C1A"/>
    <w:rsid w:val="00FF5091"/>
    <w:rsid w:val="00FF50C2"/>
    <w:rsid w:val="00FF58DD"/>
    <w:rsid w:val="00FF6445"/>
    <w:rsid w:val="00FF6891"/>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59E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3311"/>
    <w:pPr>
      <w:spacing w:before="120" w:after="0" w:line="480" w:lineRule="auto"/>
      <w:jc w:val="both"/>
    </w:pPr>
    <w:rPr>
      <w:rFonts w:ascii="Arial" w:eastAsia="Times New Roman" w:hAnsi="Arial" w:cs="Times New Roman"/>
      <w:szCs w:val="24"/>
    </w:rPr>
  </w:style>
  <w:style w:type="paragraph" w:styleId="Heading1">
    <w:name w:val="heading 1"/>
    <w:aliases w:val="Fiona's Heading 1"/>
    <w:basedOn w:val="Normal"/>
    <w:next w:val="Normal"/>
    <w:link w:val="Heading1Char"/>
    <w:uiPriority w:val="9"/>
    <w:qFormat/>
    <w:rsid w:val="00043311"/>
    <w:pPr>
      <w:keepNext/>
      <w:pageBreakBefore/>
      <w:numPr>
        <w:numId w:val="8"/>
      </w:numPr>
      <w:outlineLvl w:val="0"/>
    </w:pPr>
    <w:rPr>
      <w:rFonts w:ascii="Arial Bold" w:hAnsi="Arial Bold"/>
      <w:b/>
      <w:caps/>
      <w:color w:val="1F497D"/>
      <w:sz w:val="26"/>
    </w:rPr>
  </w:style>
  <w:style w:type="paragraph" w:styleId="Heading2">
    <w:name w:val="heading 2"/>
    <w:aliases w:val="Fiona's Heading 2"/>
    <w:basedOn w:val="Normal"/>
    <w:next w:val="Normal"/>
    <w:link w:val="Heading2Char"/>
    <w:autoRedefine/>
    <w:uiPriority w:val="9"/>
    <w:qFormat/>
    <w:rsid w:val="00F061EF"/>
    <w:pPr>
      <w:keepNext/>
      <w:numPr>
        <w:ilvl w:val="1"/>
        <w:numId w:val="8"/>
      </w:numPr>
      <w:spacing w:before="0" w:after="200" w:line="276" w:lineRule="auto"/>
      <w:jc w:val="left"/>
      <w:outlineLvl w:val="1"/>
    </w:pPr>
    <w:rPr>
      <w:rFonts w:asciiTheme="minorHAnsi" w:hAnsiTheme="minorHAnsi" w:cstheme="minorHAnsi"/>
      <w:b/>
      <w:bCs/>
      <w:iCs/>
      <w:color w:val="1F497D"/>
      <w:szCs w:val="22"/>
    </w:rPr>
  </w:style>
  <w:style w:type="paragraph" w:styleId="Heading3">
    <w:name w:val="heading 3"/>
    <w:aliases w:val="Fiona's Heading 3 v2"/>
    <w:basedOn w:val="StyleHeading212pt"/>
    <w:next w:val="Normal"/>
    <w:link w:val="Heading3Char"/>
    <w:uiPriority w:val="9"/>
    <w:qFormat/>
    <w:rsid w:val="00043311"/>
    <w:pPr>
      <w:numPr>
        <w:ilvl w:val="2"/>
        <w:numId w:val="8"/>
      </w:numPr>
      <w:spacing w:before="240"/>
      <w:outlineLvl w:val="2"/>
    </w:pPr>
    <w:rPr>
      <w:bCs w:val="0"/>
      <w:szCs w:val="26"/>
    </w:rPr>
  </w:style>
  <w:style w:type="paragraph" w:styleId="Heading4">
    <w:name w:val="heading 4"/>
    <w:aliases w:val="Fiona Heading four"/>
    <w:basedOn w:val="StyleParagraph11pt"/>
    <w:next w:val="Normal"/>
    <w:link w:val="Heading4Char"/>
    <w:uiPriority w:val="99"/>
    <w:qFormat/>
    <w:rsid w:val="00600F72"/>
    <w:pPr>
      <w:keepNext/>
      <w:numPr>
        <w:ilvl w:val="3"/>
        <w:numId w:val="8"/>
      </w:numPr>
      <w:spacing w:before="240" w:after="60"/>
      <w:outlineLvl w:val="3"/>
    </w:pPr>
    <w:rPr>
      <w:rFonts w:asciiTheme="minorHAnsi" w:hAnsiTheme="minorHAnsi"/>
      <w:b/>
      <w:bCs/>
      <w:color w:val="1F497D"/>
      <w:szCs w:val="28"/>
    </w:rPr>
  </w:style>
  <w:style w:type="paragraph" w:styleId="Heading5">
    <w:name w:val="heading 5"/>
    <w:basedOn w:val="Normal"/>
    <w:next w:val="Normal"/>
    <w:link w:val="Heading5Char"/>
    <w:uiPriority w:val="99"/>
    <w:qFormat/>
    <w:rsid w:val="00043311"/>
    <w:pPr>
      <w:numPr>
        <w:ilvl w:val="4"/>
        <w:numId w:val="8"/>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9"/>
    <w:qFormat/>
    <w:rsid w:val="00043311"/>
    <w:pPr>
      <w:numPr>
        <w:ilvl w:val="5"/>
        <w:numId w:val="8"/>
      </w:numPr>
      <w:spacing w:before="240" w:after="60"/>
      <w:outlineLvl w:val="5"/>
    </w:pPr>
    <w:rPr>
      <w:rFonts w:ascii="Calibri" w:hAnsi="Calibri"/>
      <w:b/>
      <w:bCs/>
      <w:szCs w:val="22"/>
    </w:rPr>
  </w:style>
  <w:style w:type="paragraph" w:styleId="Heading7">
    <w:name w:val="heading 7"/>
    <w:basedOn w:val="Normal"/>
    <w:next w:val="Normal"/>
    <w:link w:val="Heading7Char"/>
    <w:uiPriority w:val="99"/>
    <w:qFormat/>
    <w:rsid w:val="00043311"/>
    <w:pPr>
      <w:numPr>
        <w:ilvl w:val="6"/>
        <w:numId w:val="8"/>
      </w:numPr>
      <w:spacing w:before="240" w:after="60"/>
      <w:outlineLvl w:val="6"/>
    </w:pPr>
    <w:rPr>
      <w:rFonts w:ascii="Calibri" w:hAnsi="Calibri"/>
    </w:rPr>
  </w:style>
  <w:style w:type="paragraph" w:styleId="Heading8">
    <w:name w:val="heading 8"/>
    <w:basedOn w:val="Normal"/>
    <w:next w:val="Normal"/>
    <w:link w:val="Heading8Char"/>
    <w:uiPriority w:val="99"/>
    <w:qFormat/>
    <w:rsid w:val="00043311"/>
    <w:pPr>
      <w:numPr>
        <w:ilvl w:val="7"/>
        <w:numId w:val="8"/>
      </w:numPr>
      <w:spacing w:before="240" w:after="60"/>
      <w:outlineLvl w:val="7"/>
    </w:pPr>
    <w:rPr>
      <w:rFonts w:ascii="Calibri" w:hAnsi="Calibri"/>
      <w:i/>
      <w:iCs/>
    </w:rPr>
  </w:style>
  <w:style w:type="paragraph" w:styleId="Heading9">
    <w:name w:val="heading 9"/>
    <w:basedOn w:val="Normal"/>
    <w:next w:val="Normal"/>
    <w:link w:val="Heading9Char"/>
    <w:uiPriority w:val="99"/>
    <w:qFormat/>
    <w:rsid w:val="00043311"/>
    <w:pPr>
      <w:numPr>
        <w:ilvl w:val="8"/>
        <w:numId w:val="8"/>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Fiona's Heading 1 Char"/>
    <w:basedOn w:val="DefaultParagraphFont"/>
    <w:link w:val="Heading1"/>
    <w:uiPriority w:val="9"/>
    <w:rsid w:val="00043311"/>
    <w:rPr>
      <w:rFonts w:ascii="Arial Bold" w:eastAsia="Times New Roman" w:hAnsi="Arial Bold" w:cs="Times New Roman"/>
      <w:b/>
      <w:caps/>
      <w:color w:val="1F497D"/>
      <w:sz w:val="26"/>
      <w:szCs w:val="24"/>
    </w:rPr>
  </w:style>
  <w:style w:type="character" w:customStyle="1" w:styleId="Heading2Char">
    <w:name w:val="Heading 2 Char"/>
    <w:aliases w:val="Fiona's Heading 2 Char"/>
    <w:basedOn w:val="DefaultParagraphFont"/>
    <w:link w:val="Heading2"/>
    <w:uiPriority w:val="9"/>
    <w:rsid w:val="00F061EF"/>
    <w:rPr>
      <w:rFonts w:eastAsia="Times New Roman" w:cstheme="minorHAnsi"/>
      <w:b/>
      <w:bCs/>
      <w:iCs/>
      <w:color w:val="1F497D"/>
    </w:rPr>
  </w:style>
  <w:style w:type="character" w:customStyle="1" w:styleId="Heading3Char">
    <w:name w:val="Heading 3 Char"/>
    <w:aliases w:val="Fiona's Heading 3 v2 Char"/>
    <w:basedOn w:val="DefaultParagraphFont"/>
    <w:link w:val="Heading3"/>
    <w:uiPriority w:val="9"/>
    <w:rsid w:val="00043311"/>
    <w:rPr>
      <w:rFonts w:eastAsia="Times New Roman" w:cstheme="minorHAnsi"/>
      <w:b/>
      <w:iCs/>
      <w:color w:val="1F497D"/>
      <w:szCs w:val="26"/>
    </w:rPr>
  </w:style>
  <w:style w:type="character" w:customStyle="1" w:styleId="Heading4Char">
    <w:name w:val="Heading 4 Char"/>
    <w:aliases w:val="Fiona Heading four Char"/>
    <w:basedOn w:val="DefaultParagraphFont"/>
    <w:link w:val="Heading4"/>
    <w:uiPriority w:val="99"/>
    <w:rsid w:val="00600F72"/>
    <w:rPr>
      <w:rFonts w:eastAsia="Times New Roman" w:cs="Times New Roman"/>
      <w:b/>
      <w:bCs/>
      <w:color w:val="1F497D"/>
      <w:szCs w:val="28"/>
    </w:rPr>
  </w:style>
  <w:style w:type="character" w:customStyle="1" w:styleId="Heading5Char">
    <w:name w:val="Heading 5 Char"/>
    <w:basedOn w:val="DefaultParagraphFont"/>
    <w:link w:val="Heading5"/>
    <w:uiPriority w:val="99"/>
    <w:rsid w:val="00043311"/>
    <w:rPr>
      <w:rFonts w:ascii="Calibri" w:eastAsia="Times New Roman" w:hAnsi="Calibri" w:cs="Times New Roman"/>
      <w:b/>
      <w:bCs/>
      <w:i/>
      <w:iCs/>
      <w:sz w:val="26"/>
      <w:szCs w:val="26"/>
    </w:rPr>
  </w:style>
  <w:style w:type="character" w:customStyle="1" w:styleId="Heading6Char">
    <w:name w:val="Heading 6 Char"/>
    <w:basedOn w:val="DefaultParagraphFont"/>
    <w:link w:val="Heading6"/>
    <w:uiPriority w:val="99"/>
    <w:rsid w:val="00043311"/>
    <w:rPr>
      <w:rFonts w:ascii="Calibri" w:eastAsia="Times New Roman" w:hAnsi="Calibri" w:cs="Times New Roman"/>
      <w:b/>
      <w:bCs/>
    </w:rPr>
  </w:style>
  <w:style w:type="character" w:customStyle="1" w:styleId="Heading7Char">
    <w:name w:val="Heading 7 Char"/>
    <w:basedOn w:val="DefaultParagraphFont"/>
    <w:link w:val="Heading7"/>
    <w:uiPriority w:val="99"/>
    <w:rsid w:val="00043311"/>
    <w:rPr>
      <w:rFonts w:ascii="Calibri" w:eastAsia="Times New Roman" w:hAnsi="Calibri" w:cs="Times New Roman"/>
      <w:szCs w:val="24"/>
    </w:rPr>
  </w:style>
  <w:style w:type="character" w:customStyle="1" w:styleId="Heading8Char">
    <w:name w:val="Heading 8 Char"/>
    <w:basedOn w:val="DefaultParagraphFont"/>
    <w:link w:val="Heading8"/>
    <w:uiPriority w:val="99"/>
    <w:rsid w:val="00043311"/>
    <w:rPr>
      <w:rFonts w:ascii="Calibri" w:eastAsia="Times New Roman" w:hAnsi="Calibri" w:cs="Times New Roman"/>
      <w:i/>
      <w:iCs/>
      <w:szCs w:val="24"/>
    </w:rPr>
  </w:style>
  <w:style w:type="character" w:customStyle="1" w:styleId="Heading9Char">
    <w:name w:val="Heading 9 Char"/>
    <w:basedOn w:val="DefaultParagraphFont"/>
    <w:link w:val="Heading9"/>
    <w:uiPriority w:val="99"/>
    <w:rsid w:val="00043311"/>
    <w:rPr>
      <w:rFonts w:ascii="Cambria" w:eastAsia="Times New Roman" w:hAnsi="Cambria" w:cs="Times New Roman"/>
    </w:rPr>
  </w:style>
  <w:style w:type="paragraph" w:customStyle="1" w:styleId="StyleHeading212pt">
    <w:name w:val="Style Heading 2 + 12 pt"/>
    <w:basedOn w:val="Heading2"/>
    <w:next w:val="Normal"/>
    <w:link w:val="StyleHeading212ptChar"/>
    <w:uiPriority w:val="99"/>
    <w:rsid w:val="00043311"/>
    <w:pPr>
      <w:numPr>
        <w:numId w:val="1"/>
      </w:numPr>
      <w:tabs>
        <w:tab w:val="left" w:pos="851"/>
      </w:tabs>
      <w:spacing w:before="360"/>
    </w:pPr>
  </w:style>
  <w:style w:type="character" w:customStyle="1" w:styleId="StyleHeading212ptChar">
    <w:name w:val="Style Heading 2 + 12 pt Char"/>
    <w:basedOn w:val="Heading2Char"/>
    <w:link w:val="StyleHeading212pt"/>
    <w:uiPriority w:val="99"/>
    <w:rsid w:val="00043311"/>
    <w:rPr>
      <w:rFonts w:eastAsia="Times New Roman" w:cstheme="minorHAnsi"/>
      <w:b/>
      <w:bCs/>
      <w:iCs/>
      <w:color w:val="1F497D"/>
    </w:rPr>
  </w:style>
  <w:style w:type="paragraph" w:customStyle="1" w:styleId="StyleParagraph11pt">
    <w:name w:val="Style Paragraph + 11 pt"/>
    <w:basedOn w:val="Paragraph"/>
    <w:rsid w:val="00043311"/>
    <w:pPr>
      <w:spacing w:before="120" w:after="120"/>
    </w:pPr>
  </w:style>
  <w:style w:type="paragraph" w:customStyle="1" w:styleId="Paragraph">
    <w:name w:val="Paragraph"/>
    <w:basedOn w:val="Normal"/>
    <w:link w:val="ParagraphChar"/>
    <w:qFormat/>
    <w:rsid w:val="00043311"/>
    <w:pPr>
      <w:spacing w:before="0"/>
    </w:pPr>
  </w:style>
  <w:style w:type="character" w:customStyle="1" w:styleId="ParagraphChar">
    <w:name w:val="Paragraph Char"/>
    <w:basedOn w:val="DefaultParagraphFont"/>
    <w:link w:val="Paragraph"/>
    <w:rsid w:val="00043311"/>
    <w:rPr>
      <w:rFonts w:ascii="Arial" w:eastAsia="Times New Roman" w:hAnsi="Arial" w:cs="Times New Roman"/>
      <w:szCs w:val="24"/>
    </w:rPr>
  </w:style>
  <w:style w:type="paragraph" w:styleId="Footer">
    <w:name w:val="footer"/>
    <w:basedOn w:val="Normal"/>
    <w:link w:val="FooterChar"/>
    <w:uiPriority w:val="99"/>
    <w:rsid w:val="00043311"/>
    <w:pPr>
      <w:tabs>
        <w:tab w:val="center" w:pos="4153"/>
        <w:tab w:val="right" w:pos="8306"/>
      </w:tabs>
    </w:pPr>
    <w:rPr>
      <w:szCs w:val="20"/>
    </w:rPr>
  </w:style>
  <w:style w:type="character" w:customStyle="1" w:styleId="FooterChar">
    <w:name w:val="Footer Char"/>
    <w:basedOn w:val="DefaultParagraphFont"/>
    <w:link w:val="Footer"/>
    <w:uiPriority w:val="99"/>
    <w:rsid w:val="00043311"/>
    <w:rPr>
      <w:rFonts w:ascii="Arial" w:eastAsia="Times New Roman" w:hAnsi="Arial" w:cs="Times New Roman"/>
      <w:szCs w:val="20"/>
    </w:rPr>
  </w:style>
  <w:style w:type="paragraph" w:styleId="Header">
    <w:name w:val="header"/>
    <w:basedOn w:val="Normal"/>
    <w:link w:val="HeaderChar"/>
    <w:uiPriority w:val="99"/>
    <w:rsid w:val="00043311"/>
    <w:pPr>
      <w:tabs>
        <w:tab w:val="center" w:pos="4320"/>
        <w:tab w:val="right" w:pos="8640"/>
      </w:tabs>
    </w:pPr>
  </w:style>
  <w:style w:type="character" w:customStyle="1" w:styleId="HeaderChar">
    <w:name w:val="Header Char"/>
    <w:basedOn w:val="DefaultParagraphFont"/>
    <w:link w:val="Header"/>
    <w:uiPriority w:val="99"/>
    <w:rsid w:val="00043311"/>
    <w:rPr>
      <w:rFonts w:ascii="Arial" w:eastAsia="Times New Roman" w:hAnsi="Arial" w:cs="Times New Roman"/>
      <w:szCs w:val="24"/>
    </w:rPr>
  </w:style>
  <w:style w:type="character" w:styleId="PageNumber">
    <w:name w:val="page number"/>
    <w:basedOn w:val="DefaultParagraphFont"/>
    <w:uiPriority w:val="99"/>
    <w:rsid w:val="00043311"/>
    <w:rPr>
      <w:rFonts w:cs="Times New Roman"/>
    </w:rPr>
  </w:style>
  <w:style w:type="paragraph" w:styleId="BodyText">
    <w:name w:val="Body Text"/>
    <w:basedOn w:val="Normal"/>
    <w:link w:val="BodyTextChar"/>
    <w:uiPriority w:val="99"/>
    <w:rsid w:val="00043311"/>
    <w:pPr>
      <w:autoSpaceDE w:val="0"/>
      <w:autoSpaceDN w:val="0"/>
      <w:spacing w:after="120" w:line="360" w:lineRule="auto"/>
    </w:pPr>
    <w:rPr>
      <w:rFonts w:asciiTheme="minorHAnsi" w:hAnsiTheme="minorHAnsi" w:cstheme="minorHAnsi"/>
      <w:lang w:val="en-GB"/>
    </w:rPr>
  </w:style>
  <w:style w:type="character" w:customStyle="1" w:styleId="BodyTextChar">
    <w:name w:val="Body Text Char"/>
    <w:basedOn w:val="DefaultParagraphFont"/>
    <w:link w:val="BodyText"/>
    <w:uiPriority w:val="99"/>
    <w:rsid w:val="00043311"/>
    <w:rPr>
      <w:rFonts w:eastAsia="Times New Roman" w:cstheme="minorHAnsi"/>
      <w:szCs w:val="24"/>
      <w:lang w:val="en-GB"/>
    </w:rPr>
  </w:style>
  <w:style w:type="paragraph" w:styleId="TOC1">
    <w:name w:val="toc 1"/>
    <w:basedOn w:val="Normal"/>
    <w:next w:val="Normal"/>
    <w:autoRedefine/>
    <w:uiPriority w:val="39"/>
    <w:rsid w:val="00BA7DA4"/>
    <w:pPr>
      <w:tabs>
        <w:tab w:val="left" w:pos="426"/>
        <w:tab w:val="right" w:leader="dot" w:pos="9498"/>
      </w:tabs>
      <w:spacing w:before="100" w:beforeAutospacing="1" w:after="100" w:afterAutospacing="1" w:line="240" w:lineRule="auto"/>
      <w:ind w:left="709" w:hanging="709"/>
    </w:pPr>
    <w:rPr>
      <w:rFonts w:asciiTheme="minorHAnsi" w:hAnsiTheme="minorHAnsi"/>
    </w:rPr>
  </w:style>
  <w:style w:type="paragraph" w:styleId="TOC2">
    <w:name w:val="toc 2"/>
    <w:basedOn w:val="Normal"/>
    <w:next w:val="Normal"/>
    <w:autoRedefine/>
    <w:uiPriority w:val="39"/>
    <w:rsid w:val="00C94DB8"/>
    <w:pPr>
      <w:tabs>
        <w:tab w:val="left" w:pos="1418"/>
        <w:tab w:val="right" w:leader="dot" w:pos="9498"/>
      </w:tabs>
      <w:spacing w:line="240" w:lineRule="auto"/>
      <w:ind w:left="851" w:right="2125" w:hanging="611"/>
    </w:pPr>
    <w:rPr>
      <w:rFonts w:asciiTheme="minorHAnsi" w:hAnsiTheme="minorHAnsi"/>
      <w:noProof/>
    </w:rPr>
  </w:style>
  <w:style w:type="paragraph" w:styleId="TOC3">
    <w:name w:val="toc 3"/>
    <w:basedOn w:val="Normal"/>
    <w:next w:val="Normal"/>
    <w:autoRedefine/>
    <w:uiPriority w:val="39"/>
    <w:rsid w:val="00BA7DA4"/>
    <w:pPr>
      <w:tabs>
        <w:tab w:val="left" w:pos="1134"/>
        <w:tab w:val="right" w:leader="dot" w:pos="9498"/>
      </w:tabs>
      <w:spacing w:line="240" w:lineRule="auto"/>
      <w:ind w:left="1134" w:right="1559" w:hanging="654"/>
    </w:pPr>
    <w:rPr>
      <w:rFonts w:ascii="Arial Narrow" w:hAnsi="Arial Narrow"/>
    </w:rPr>
  </w:style>
  <w:style w:type="table" w:styleId="TableGrid">
    <w:name w:val="Table Grid"/>
    <w:basedOn w:val="TableNormal"/>
    <w:uiPriority w:val="59"/>
    <w:rsid w:val="0004331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043311"/>
    <w:rPr>
      <w:rFonts w:cs="Times New Roman"/>
      <w:sz w:val="16"/>
      <w:szCs w:val="16"/>
    </w:rPr>
  </w:style>
  <w:style w:type="paragraph" w:styleId="CommentText">
    <w:name w:val="annotation text"/>
    <w:basedOn w:val="Normal"/>
    <w:link w:val="CommentTextChar1"/>
    <w:uiPriority w:val="99"/>
    <w:rsid w:val="00043311"/>
    <w:rPr>
      <w:sz w:val="20"/>
      <w:szCs w:val="20"/>
    </w:rPr>
  </w:style>
  <w:style w:type="character" w:customStyle="1" w:styleId="CommentTextChar">
    <w:name w:val="Comment Text Char"/>
    <w:basedOn w:val="DefaultParagraphFont"/>
    <w:uiPriority w:val="99"/>
    <w:rsid w:val="00043311"/>
    <w:rPr>
      <w:rFonts w:ascii="Arial" w:hAnsi="Arial" w:cs="Arial"/>
      <w:sz w:val="20"/>
      <w:szCs w:val="20"/>
      <w:lang w:val="en-NZ"/>
    </w:rPr>
  </w:style>
  <w:style w:type="character" w:customStyle="1" w:styleId="CommentTextChar1">
    <w:name w:val="Comment Text Char1"/>
    <w:basedOn w:val="DefaultParagraphFont"/>
    <w:link w:val="CommentText"/>
    <w:uiPriority w:val="99"/>
    <w:locked/>
    <w:rsid w:val="00043311"/>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rsid w:val="00043311"/>
    <w:rPr>
      <w:b/>
      <w:bCs/>
    </w:rPr>
  </w:style>
  <w:style w:type="character" w:customStyle="1" w:styleId="CommentSubjectChar">
    <w:name w:val="Comment Subject Char"/>
    <w:basedOn w:val="CommentTextChar1"/>
    <w:link w:val="CommentSubject"/>
    <w:uiPriority w:val="99"/>
    <w:semiHidden/>
    <w:rsid w:val="00043311"/>
    <w:rPr>
      <w:rFonts w:ascii="Arial" w:eastAsia="Times New Roman" w:hAnsi="Arial" w:cs="Times New Roman"/>
      <w:b/>
      <w:bCs/>
      <w:sz w:val="20"/>
      <w:szCs w:val="20"/>
    </w:rPr>
  </w:style>
  <w:style w:type="paragraph" w:styleId="BalloonText">
    <w:name w:val="Balloon Text"/>
    <w:basedOn w:val="Normal"/>
    <w:link w:val="BalloonTextChar"/>
    <w:uiPriority w:val="99"/>
    <w:semiHidden/>
    <w:rsid w:val="00043311"/>
    <w:rPr>
      <w:rFonts w:ascii="Tahoma" w:hAnsi="Tahoma" w:cs="Tahoma"/>
      <w:sz w:val="16"/>
      <w:szCs w:val="16"/>
    </w:rPr>
  </w:style>
  <w:style w:type="character" w:customStyle="1" w:styleId="BalloonTextChar">
    <w:name w:val="Balloon Text Char"/>
    <w:basedOn w:val="DefaultParagraphFont"/>
    <w:link w:val="BalloonText"/>
    <w:uiPriority w:val="99"/>
    <w:semiHidden/>
    <w:rsid w:val="00043311"/>
    <w:rPr>
      <w:rFonts w:ascii="Tahoma" w:eastAsia="Times New Roman" w:hAnsi="Tahoma" w:cs="Tahoma"/>
      <w:sz w:val="16"/>
      <w:szCs w:val="16"/>
    </w:rPr>
  </w:style>
  <w:style w:type="paragraph" w:styleId="Caption">
    <w:name w:val="caption"/>
    <w:basedOn w:val="Normal"/>
    <w:next w:val="Normal"/>
    <w:uiPriority w:val="35"/>
    <w:qFormat/>
    <w:rsid w:val="00043311"/>
    <w:pPr>
      <w:spacing w:after="120"/>
    </w:pPr>
    <w:rPr>
      <w:b/>
      <w:bCs/>
      <w:sz w:val="20"/>
      <w:szCs w:val="20"/>
    </w:rPr>
  </w:style>
  <w:style w:type="paragraph" w:styleId="FootnoteText">
    <w:name w:val="footnote text"/>
    <w:basedOn w:val="Normal"/>
    <w:link w:val="FootnoteTextChar"/>
    <w:uiPriority w:val="99"/>
    <w:semiHidden/>
    <w:rsid w:val="00043311"/>
    <w:rPr>
      <w:sz w:val="20"/>
      <w:szCs w:val="20"/>
    </w:rPr>
  </w:style>
  <w:style w:type="character" w:customStyle="1" w:styleId="FootnoteTextChar">
    <w:name w:val="Footnote Text Char"/>
    <w:basedOn w:val="DefaultParagraphFont"/>
    <w:link w:val="FootnoteText"/>
    <w:uiPriority w:val="99"/>
    <w:semiHidden/>
    <w:rsid w:val="00043311"/>
    <w:rPr>
      <w:rFonts w:ascii="Arial" w:eastAsia="Times New Roman" w:hAnsi="Arial" w:cs="Times New Roman"/>
      <w:sz w:val="20"/>
      <w:szCs w:val="20"/>
    </w:rPr>
  </w:style>
  <w:style w:type="character" w:styleId="FootnoteReference">
    <w:name w:val="footnote reference"/>
    <w:basedOn w:val="DefaultParagraphFont"/>
    <w:uiPriority w:val="99"/>
    <w:semiHidden/>
    <w:rsid w:val="00043311"/>
    <w:rPr>
      <w:rFonts w:cs="Times New Roman"/>
      <w:vertAlign w:val="superscript"/>
    </w:rPr>
  </w:style>
  <w:style w:type="paragraph" w:customStyle="1" w:styleId="Default">
    <w:name w:val="Default"/>
    <w:rsid w:val="00043311"/>
    <w:pPr>
      <w:autoSpaceDE w:val="0"/>
      <w:autoSpaceDN w:val="0"/>
      <w:adjustRightInd w:val="0"/>
      <w:spacing w:after="0" w:line="240" w:lineRule="auto"/>
    </w:pPr>
    <w:rPr>
      <w:rFonts w:ascii="Arial" w:eastAsia="Times New Roman" w:hAnsi="Arial" w:cs="Arial"/>
      <w:color w:val="000000"/>
      <w:sz w:val="24"/>
      <w:szCs w:val="24"/>
      <w:lang w:val="en-GB" w:eastAsia="en-GB"/>
    </w:rPr>
  </w:style>
  <w:style w:type="character" w:styleId="Hyperlink">
    <w:name w:val="Hyperlink"/>
    <w:basedOn w:val="DefaultParagraphFont"/>
    <w:uiPriority w:val="99"/>
    <w:rsid w:val="00043311"/>
    <w:rPr>
      <w:rFonts w:cs="Times New Roman"/>
      <w:color w:val="0000FF"/>
      <w:u w:val="single"/>
    </w:rPr>
  </w:style>
  <w:style w:type="character" w:customStyle="1" w:styleId="Normal3">
    <w:name w:val="Normal3"/>
    <w:basedOn w:val="DefaultParagraphFont"/>
    <w:uiPriority w:val="99"/>
    <w:rsid w:val="00043311"/>
    <w:rPr>
      <w:rFonts w:ascii="Times New Roman" w:hAnsi="Times New Roman" w:cs="Times New Roman"/>
      <w:bCs/>
      <w:position w:val="6"/>
      <w:sz w:val="22"/>
      <w:szCs w:val="22"/>
    </w:rPr>
  </w:style>
  <w:style w:type="paragraph" w:customStyle="1" w:styleId="StyleHeading1ArialNarrow12ptBefore6ptAfter6pt">
    <w:name w:val="Style Heading 1 + Arial Narrow 12 pt Before:  6 pt After:  6 pt..."/>
    <w:basedOn w:val="Heading1"/>
    <w:uiPriority w:val="99"/>
    <w:rsid w:val="00043311"/>
    <w:pPr>
      <w:spacing w:after="120"/>
    </w:pPr>
    <w:rPr>
      <w:rFonts w:ascii="Arial Narrow" w:hAnsi="Arial Narrow"/>
      <w:bCs/>
      <w:sz w:val="24"/>
      <w:szCs w:val="20"/>
    </w:rPr>
  </w:style>
  <w:style w:type="paragraph" w:customStyle="1" w:styleId="StyleBodyTextArialNarrow11ptBoldJustifiedBefore6">
    <w:name w:val="Style Body Text + Arial Narrow 11 pt Bold Justified Before:  6 ..."/>
    <w:basedOn w:val="BodyText"/>
    <w:uiPriority w:val="99"/>
    <w:rsid w:val="00043311"/>
    <w:rPr>
      <w:rFonts w:cs="Times New Roman"/>
      <w:b/>
      <w:bCs/>
      <w:szCs w:val="20"/>
    </w:rPr>
  </w:style>
  <w:style w:type="paragraph" w:customStyle="1" w:styleId="StyleHeading114pt">
    <w:name w:val="Style Heading 1 + 14 pt"/>
    <w:basedOn w:val="Heading1"/>
    <w:uiPriority w:val="99"/>
    <w:rsid w:val="00043311"/>
    <w:pPr>
      <w:numPr>
        <w:numId w:val="1"/>
      </w:numPr>
    </w:pPr>
    <w:rPr>
      <w:bCs/>
      <w:sz w:val="28"/>
    </w:rPr>
  </w:style>
  <w:style w:type="paragraph" w:customStyle="1" w:styleId="StyleHeading3Left02cmFirstline0cm">
    <w:name w:val="Style Heading 3 + Left:  0.2 cm First line:  0 cm"/>
    <w:basedOn w:val="Heading3"/>
    <w:next w:val="Normal"/>
    <w:link w:val="StyleHeading3Left02cmFirstline0cmChar"/>
    <w:uiPriority w:val="99"/>
    <w:rsid w:val="00043311"/>
    <w:pPr>
      <w:numPr>
        <w:numId w:val="1"/>
      </w:numPr>
    </w:pPr>
    <w:rPr>
      <w:rFonts w:cs="Times New Roman"/>
      <w:sz w:val="24"/>
      <w:szCs w:val="24"/>
    </w:rPr>
  </w:style>
  <w:style w:type="character" w:customStyle="1" w:styleId="StyleHeading3Left02cmFirstline0cmChar">
    <w:name w:val="Style Heading 3 + Left:  0.2 cm First line:  0 cm Char"/>
    <w:basedOn w:val="Heading3Char"/>
    <w:link w:val="StyleHeading3Left02cmFirstline0cm"/>
    <w:uiPriority w:val="99"/>
    <w:rsid w:val="00043311"/>
    <w:rPr>
      <w:rFonts w:eastAsia="Times New Roman" w:cs="Times New Roman"/>
      <w:b/>
      <w:iCs/>
      <w:color w:val="1F497D"/>
      <w:sz w:val="24"/>
      <w:szCs w:val="24"/>
    </w:rPr>
  </w:style>
  <w:style w:type="paragraph" w:styleId="BodyTextIndent2">
    <w:name w:val="Body Text Indent 2"/>
    <w:basedOn w:val="Normal"/>
    <w:link w:val="BodyTextIndent2Char"/>
    <w:uiPriority w:val="99"/>
    <w:rsid w:val="00043311"/>
    <w:pPr>
      <w:spacing w:after="120"/>
      <w:ind w:left="283"/>
    </w:pPr>
  </w:style>
  <w:style w:type="character" w:customStyle="1" w:styleId="BodyTextIndent2Char">
    <w:name w:val="Body Text Indent 2 Char"/>
    <w:basedOn w:val="DefaultParagraphFont"/>
    <w:link w:val="BodyTextIndent2"/>
    <w:uiPriority w:val="99"/>
    <w:rsid w:val="00043311"/>
    <w:rPr>
      <w:rFonts w:ascii="Arial" w:eastAsia="Times New Roman" w:hAnsi="Arial" w:cs="Times New Roman"/>
      <w:szCs w:val="24"/>
    </w:rPr>
  </w:style>
  <w:style w:type="paragraph" w:customStyle="1" w:styleId="default0">
    <w:name w:val="default"/>
    <w:basedOn w:val="Normal"/>
    <w:uiPriority w:val="99"/>
    <w:rsid w:val="00043311"/>
    <w:pPr>
      <w:autoSpaceDE w:val="0"/>
      <w:autoSpaceDN w:val="0"/>
      <w:spacing w:before="0" w:line="240" w:lineRule="auto"/>
      <w:jc w:val="left"/>
    </w:pPr>
    <w:rPr>
      <w:rFonts w:cs="Arial"/>
      <w:color w:val="000000"/>
      <w:lang w:val="en-GB" w:eastAsia="en-GB"/>
    </w:rPr>
  </w:style>
  <w:style w:type="paragraph" w:styleId="NormalWeb">
    <w:name w:val="Normal (Web)"/>
    <w:basedOn w:val="Normal"/>
    <w:uiPriority w:val="99"/>
    <w:rsid w:val="00043311"/>
    <w:pPr>
      <w:spacing w:before="100" w:beforeAutospacing="1" w:after="100" w:afterAutospacing="1" w:line="240" w:lineRule="auto"/>
      <w:jc w:val="left"/>
    </w:pPr>
    <w:rPr>
      <w:rFonts w:ascii="Times New Roman" w:hAnsi="Times New Roman"/>
      <w:lang w:val="en-GB" w:eastAsia="en-GB"/>
    </w:rPr>
  </w:style>
  <w:style w:type="character" w:customStyle="1" w:styleId="mw-headline">
    <w:name w:val="mw-headline"/>
    <w:basedOn w:val="DefaultParagraphFont"/>
    <w:uiPriority w:val="99"/>
    <w:rsid w:val="00043311"/>
    <w:rPr>
      <w:rFonts w:cs="Times New Roman"/>
    </w:rPr>
  </w:style>
  <w:style w:type="character" w:styleId="FollowedHyperlink">
    <w:name w:val="FollowedHyperlink"/>
    <w:basedOn w:val="DefaultParagraphFont"/>
    <w:uiPriority w:val="99"/>
    <w:rsid w:val="00043311"/>
    <w:rPr>
      <w:rFonts w:cs="Times New Roman"/>
      <w:color w:val="800080"/>
      <w:u w:val="single"/>
    </w:rPr>
  </w:style>
  <w:style w:type="paragraph" w:customStyle="1" w:styleId="Proposalbody">
    <w:name w:val="Proposal body"/>
    <w:basedOn w:val="Normal"/>
    <w:link w:val="ProposalbodyChar"/>
    <w:qFormat/>
    <w:rsid w:val="00043311"/>
    <w:pPr>
      <w:spacing w:before="240" w:after="240" w:line="300" w:lineRule="auto"/>
    </w:pPr>
    <w:rPr>
      <w:rFonts w:ascii="Tahoma" w:hAnsi="Tahoma" w:cs="Arial"/>
      <w:sz w:val="20"/>
      <w:lang w:val="en-GB" w:eastAsia="en-GB"/>
    </w:rPr>
  </w:style>
  <w:style w:type="character" w:customStyle="1" w:styleId="ProposalbodyChar">
    <w:name w:val="Proposal body Char"/>
    <w:basedOn w:val="DefaultParagraphFont"/>
    <w:link w:val="Proposalbody"/>
    <w:locked/>
    <w:rsid w:val="00043311"/>
    <w:rPr>
      <w:rFonts w:ascii="Tahoma" w:eastAsia="Times New Roman" w:hAnsi="Tahoma" w:cs="Arial"/>
      <w:sz w:val="20"/>
      <w:szCs w:val="24"/>
      <w:lang w:val="en-GB" w:eastAsia="en-GB"/>
    </w:rPr>
  </w:style>
  <w:style w:type="paragraph" w:customStyle="1" w:styleId="References">
    <w:name w:val="References"/>
    <w:basedOn w:val="Normal"/>
    <w:qFormat/>
    <w:rsid w:val="00043311"/>
    <w:pPr>
      <w:spacing w:before="0" w:line="276" w:lineRule="auto"/>
      <w:ind w:left="851" w:hanging="851"/>
    </w:pPr>
  </w:style>
  <w:style w:type="paragraph" w:styleId="NoSpacing">
    <w:name w:val="No Spacing"/>
    <w:qFormat/>
    <w:rsid w:val="00043311"/>
    <w:pPr>
      <w:spacing w:after="0" w:line="240" w:lineRule="auto"/>
    </w:pPr>
    <w:rPr>
      <w:rFonts w:ascii="Calibri" w:eastAsia="Calibri" w:hAnsi="Calibri" w:cs="Times New Roman"/>
      <w:lang w:val="en-US"/>
    </w:rPr>
  </w:style>
  <w:style w:type="paragraph" w:styleId="ListParagraph">
    <w:name w:val="List Paragraph"/>
    <w:basedOn w:val="Normal"/>
    <w:uiPriority w:val="34"/>
    <w:qFormat/>
    <w:rsid w:val="00043311"/>
    <w:pPr>
      <w:spacing w:before="0"/>
      <w:ind w:left="720"/>
      <w:contextualSpacing/>
    </w:pPr>
    <w:rPr>
      <w:rFonts w:eastAsia="Calibri"/>
      <w:szCs w:val="22"/>
    </w:rPr>
  </w:style>
  <w:style w:type="paragraph" w:customStyle="1" w:styleId="Chapterheading">
    <w:name w:val="Chapter heading"/>
    <w:basedOn w:val="Heading1"/>
    <w:uiPriority w:val="99"/>
    <w:rsid w:val="00043311"/>
    <w:pPr>
      <w:numPr>
        <w:numId w:val="0"/>
      </w:numPr>
      <w:tabs>
        <w:tab w:val="num" w:pos="359"/>
      </w:tabs>
      <w:ind w:left="359" w:hanging="360"/>
    </w:pPr>
    <w:rPr>
      <w:bCs/>
      <w:sz w:val="28"/>
    </w:rPr>
  </w:style>
  <w:style w:type="paragraph" w:styleId="Quote">
    <w:name w:val="Quote"/>
    <w:basedOn w:val="Normal"/>
    <w:next w:val="Normal"/>
    <w:link w:val="QuoteChar"/>
    <w:uiPriority w:val="29"/>
    <w:qFormat/>
    <w:rsid w:val="00043311"/>
    <w:pPr>
      <w:spacing w:after="240" w:line="240" w:lineRule="auto"/>
      <w:ind w:left="709" w:right="714"/>
    </w:pPr>
    <w:rPr>
      <w:rFonts w:eastAsia="Calibri" w:cs="Arial"/>
      <w:iCs/>
      <w:color w:val="000000"/>
      <w:sz w:val="20"/>
      <w:szCs w:val="22"/>
    </w:rPr>
  </w:style>
  <w:style w:type="character" w:customStyle="1" w:styleId="QuoteChar">
    <w:name w:val="Quote Char"/>
    <w:basedOn w:val="DefaultParagraphFont"/>
    <w:link w:val="Quote"/>
    <w:uiPriority w:val="29"/>
    <w:rsid w:val="00043311"/>
    <w:rPr>
      <w:rFonts w:ascii="Arial" w:eastAsia="Calibri" w:hAnsi="Arial" w:cs="Arial"/>
      <w:iCs/>
      <w:color w:val="000000"/>
      <w:sz w:val="20"/>
    </w:rPr>
  </w:style>
  <w:style w:type="paragraph" w:customStyle="1" w:styleId="Subhead1">
    <w:name w:val="Subhead 1"/>
    <w:basedOn w:val="Normal"/>
    <w:link w:val="Subhead1Char"/>
    <w:qFormat/>
    <w:rsid w:val="00043311"/>
    <w:pPr>
      <w:spacing w:before="0" w:after="240"/>
      <w:ind w:left="567" w:hanging="567"/>
    </w:pPr>
    <w:rPr>
      <w:rFonts w:eastAsia="Calibri" w:cs="Arial"/>
      <w:b/>
      <w:szCs w:val="22"/>
    </w:rPr>
  </w:style>
  <w:style w:type="character" w:customStyle="1" w:styleId="Subhead1Char">
    <w:name w:val="Subhead 1 Char"/>
    <w:basedOn w:val="DefaultParagraphFont"/>
    <w:link w:val="Subhead1"/>
    <w:rsid w:val="00043311"/>
    <w:rPr>
      <w:rFonts w:ascii="Arial" w:eastAsia="Calibri" w:hAnsi="Arial" w:cs="Arial"/>
      <w:b/>
    </w:rPr>
  </w:style>
  <w:style w:type="paragraph" w:customStyle="1" w:styleId="Subhead2a">
    <w:name w:val="Subhead 2a"/>
    <w:basedOn w:val="Normal"/>
    <w:link w:val="Subhead2aChar"/>
    <w:qFormat/>
    <w:rsid w:val="00043311"/>
    <w:pPr>
      <w:tabs>
        <w:tab w:val="left" w:pos="709"/>
      </w:tabs>
      <w:spacing w:before="0"/>
      <w:ind w:left="720" w:hanging="720"/>
    </w:pPr>
    <w:rPr>
      <w:rFonts w:eastAsia="Calibri" w:cs="Arial"/>
      <w:b/>
      <w:szCs w:val="22"/>
    </w:rPr>
  </w:style>
  <w:style w:type="character" w:customStyle="1" w:styleId="Subhead2aChar">
    <w:name w:val="Subhead 2a Char"/>
    <w:basedOn w:val="DefaultParagraphFont"/>
    <w:link w:val="Subhead2a"/>
    <w:rsid w:val="00043311"/>
    <w:rPr>
      <w:rFonts w:ascii="Arial" w:eastAsia="Calibri" w:hAnsi="Arial" w:cs="Arial"/>
      <w:b/>
    </w:rPr>
  </w:style>
  <w:style w:type="paragraph" w:customStyle="1" w:styleId="Subhead3">
    <w:name w:val="Subhead 3"/>
    <w:basedOn w:val="Normal"/>
    <w:link w:val="Subhead3Char"/>
    <w:qFormat/>
    <w:rsid w:val="00043311"/>
    <w:pPr>
      <w:spacing w:before="0" w:after="240"/>
    </w:pPr>
    <w:rPr>
      <w:rFonts w:eastAsia="Calibri" w:cs="Arial"/>
      <w:b/>
      <w:i/>
      <w:szCs w:val="22"/>
    </w:rPr>
  </w:style>
  <w:style w:type="character" w:customStyle="1" w:styleId="Subhead3Char">
    <w:name w:val="Subhead 3 Char"/>
    <w:basedOn w:val="DefaultParagraphFont"/>
    <w:link w:val="Subhead3"/>
    <w:rsid w:val="00043311"/>
    <w:rPr>
      <w:rFonts w:ascii="Arial" w:eastAsia="Calibri" w:hAnsi="Arial" w:cs="Arial"/>
      <w:b/>
      <w:i/>
    </w:rPr>
  </w:style>
  <w:style w:type="paragraph" w:customStyle="1" w:styleId="Subhead2b">
    <w:name w:val="Subhead 2b"/>
    <w:basedOn w:val="Normal"/>
    <w:link w:val="Subhead2bChar"/>
    <w:qFormat/>
    <w:rsid w:val="00043311"/>
    <w:pPr>
      <w:spacing w:before="0" w:after="240"/>
    </w:pPr>
    <w:rPr>
      <w:rFonts w:eastAsia="Calibri" w:cs="Arial"/>
      <w:b/>
      <w:szCs w:val="22"/>
    </w:rPr>
  </w:style>
  <w:style w:type="character" w:customStyle="1" w:styleId="Subhead2bChar">
    <w:name w:val="Subhead 2b Char"/>
    <w:basedOn w:val="DefaultParagraphFont"/>
    <w:link w:val="Subhead2b"/>
    <w:rsid w:val="00043311"/>
    <w:rPr>
      <w:rFonts w:ascii="Arial" w:eastAsia="Calibri" w:hAnsi="Arial" w:cs="Arial"/>
      <w:b/>
    </w:rPr>
  </w:style>
  <w:style w:type="paragraph" w:customStyle="1" w:styleId="Subhead4">
    <w:name w:val="Subhead 4"/>
    <w:basedOn w:val="Normal"/>
    <w:link w:val="Subhead4Char"/>
    <w:qFormat/>
    <w:rsid w:val="00043311"/>
    <w:pPr>
      <w:spacing w:before="0" w:after="240"/>
    </w:pPr>
    <w:rPr>
      <w:rFonts w:eastAsia="Calibri" w:cs="Arial"/>
      <w:i/>
      <w:szCs w:val="22"/>
      <w:lang w:val="en-GB" w:eastAsia="en-GB"/>
    </w:rPr>
  </w:style>
  <w:style w:type="character" w:customStyle="1" w:styleId="Subhead4Char">
    <w:name w:val="Subhead 4 Char"/>
    <w:basedOn w:val="DefaultParagraphFont"/>
    <w:link w:val="Subhead4"/>
    <w:rsid w:val="00043311"/>
    <w:rPr>
      <w:rFonts w:ascii="Arial" w:eastAsia="Calibri" w:hAnsi="Arial" w:cs="Arial"/>
      <w:i/>
      <w:lang w:val="en-GB" w:eastAsia="en-GB"/>
    </w:rPr>
  </w:style>
  <w:style w:type="character" w:styleId="Strong">
    <w:name w:val="Strong"/>
    <w:basedOn w:val="DefaultParagraphFont"/>
    <w:uiPriority w:val="22"/>
    <w:qFormat/>
    <w:rsid w:val="00043311"/>
    <w:rPr>
      <w:b/>
      <w:bCs/>
    </w:rPr>
  </w:style>
  <w:style w:type="paragraph" w:customStyle="1" w:styleId="TableData">
    <w:name w:val="Table Data"/>
    <w:basedOn w:val="Normal"/>
    <w:link w:val="TableDataChar"/>
    <w:qFormat/>
    <w:rsid w:val="00043311"/>
    <w:pPr>
      <w:spacing w:before="0" w:line="240" w:lineRule="auto"/>
    </w:pPr>
    <w:rPr>
      <w:rFonts w:eastAsia="Calibri" w:cs="Arial"/>
      <w:sz w:val="20"/>
      <w:szCs w:val="20"/>
    </w:rPr>
  </w:style>
  <w:style w:type="character" w:customStyle="1" w:styleId="TableDataChar">
    <w:name w:val="Table Data Char"/>
    <w:basedOn w:val="DefaultParagraphFont"/>
    <w:link w:val="TableData"/>
    <w:rsid w:val="00043311"/>
    <w:rPr>
      <w:rFonts w:ascii="Arial" w:eastAsia="Calibri" w:hAnsi="Arial" w:cs="Arial"/>
      <w:sz w:val="20"/>
      <w:szCs w:val="20"/>
    </w:rPr>
  </w:style>
  <w:style w:type="paragraph" w:styleId="IntenseQuote">
    <w:name w:val="Intense Quote"/>
    <w:basedOn w:val="Normal"/>
    <w:next w:val="Normal"/>
    <w:link w:val="IntenseQuoteChar"/>
    <w:uiPriority w:val="30"/>
    <w:qFormat/>
    <w:rsid w:val="00043311"/>
    <w:pPr>
      <w:pBdr>
        <w:bottom w:val="single" w:sz="4" w:space="4" w:color="4F81BD"/>
      </w:pBdr>
      <w:spacing w:before="200" w:after="280"/>
      <w:ind w:left="936" w:right="936"/>
    </w:pPr>
    <w:rPr>
      <w:rFonts w:eastAsia="Calibri" w:cs="Arial"/>
      <w:b/>
      <w:bCs/>
      <w:i/>
      <w:iCs/>
      <w:color w:val="4F81BD"/>
      <w:szCs w:val="22"/>
    </w:rPr>
  </w:style>
  <w:style w:type="character" w:customStyle="1" w:styleId="IntenseQuoteChar">
    <w:name w:val="Intense Quote Char"/>
    <w:basedOn w:val="DefaultParagraphFont"/>
    <w:link w:val="IntenseQuote"/>
    <w:uiPriority w:val="30"/>
    <w:rsid w:val="00043311"/>
    <w:rPr>
      <w:rFonts w:ascii="Arial" w:eastAsia="Calibri" w:hAnsi="Arial" w:cs="Arial"/>
      <w:b/>
      <w:bCs/>
      <w:i/>
      <w:iCs/>
      <w:color w:val="4F81BD"/>
    </w:rPr>
  </w:style>
  <w:style w:type="paragraph" w:customStyle="1" w:styleId="WEQuoteChar">
    <w:name w:val="WEQuote Char"/>
    <w:basedOn w:val="Normal"/>
    <w:link w:val="WEQuoteCharChar"/>
    <w:qFormat/>
    <w:rsid w:val="00043311"/>
    <w:pPr>
      <w:spacing w:before="0"/>
      <w:ind w:left="709" w:right="713"/>
    </w:pPr>
    <w:rPr>
      <w:rFonts w:eastAsia="Calibri"/>
      <w:sz w:val="20"/>
      <w:szCs w:val="22"/>
    </w:rPr>
  </w:style>
  <w:style w:type="character" w:customStyle="1" w:styleId="WEQuoteCharChar">
    <w:name w:val="WEQuote Char Char"/>
    <w:basedOn w:val="DefaultParagraphFont"/>
    <w:link w:val="WEQuoteChar"/>
    <w:rsid w:val="00043311"/>
    <w:rPr>
      <w:rFonts w:ascii="Arial" w:eastAsia="Calibri" w:hAnsi="Arial" w:cs="Times New Roman"/>
      <w:sz w:val="20"/>
    </w:rPr>
  </w:style>
  <w:style w:type="paragraph" w:customStyle="1" w:styleId="FigCaption">
    <w:name w:val="Fig Caption"/>
    <w:basedOn w:val="TableData"/>
    <w:link w:val="FigCaptionChar"/>
    <w:qFormat/>
    <w:rsid w:val="00043311"/>
    <w:pPr>
      <w:spacing w:line="480" w:lineRule="auto"/>
    </w:pPr>
    <w:rPr>
      <w:sz w:val="24"/>
    </w:rPr>
  </w:style>
  <w:style w:type="character" w:customStyle="1" w:styleId="FigCaptionChar">
    <w:name w:val="Fig Caption Char"/>
    <w:basedOn w:val="TableDataChar"/>
    <w:link w:val="FigCaption"/>
    <w:rsid w:val="00043311"/>
    <w:rPr>
      <w:rFonts w:ascii="Arial" w:eastAsia="Calibri" w:hAnsi="Arial" w:cs="Arial"/>
      <w:sz w:val="24"/>
      <w:szCs w:val="20"/>
    </w:rPr>
  </w:style>
  <w:style w:type="paragraph" w:customStyle="1" w:styleId="ChapterHeading0">
    <w:name w:val="Chapter Heading"/>
    <w:basedOn w:val="Normal"/>
    <w:link w:val="ChapterHeadingChar"/>
    <w:qFormat/>
    <w:rsid w:val="00043311"/>
    <w:pPr>
      <w:spacing w:before="0"/>
      <w:jc w:val="center"/>
    </w:pPr>
    <w:rPr>
      <w:rFonts w:eastAsia="Calibri"/>
      <w:b/>
      <w:sz w:val="28"/>
      <w:szCs w:val="22"/>
    </w:rPr>
  </w:style>
  <w:style w:type="character" w:customStyle="1" w:styleId="ChapterHeadingChar">
    <w:name w:val="Chapter Heading Char"/>
    <w:basedOn w:val="DefaultParagraphFont"/>
    <w:link w:val="ChapterHeading0"/>
    <w:rsid w:val="00043311"/>
    <w:rPr>
      <w:rFonts w:ascii="Arial" w:eastAsia="Calibri" w:hAnsi="Arial" w:cs="Times New Roman"/>
      <w:b/>
      <w:sz w:val="28"/>
    </w:rPr>
  </w:style>
  <w:style w:type="character" w:customStyle="1" w:styleId="TableCaptionChar">
    <w:name w:val="Table Caption Char"/>
    <w:basedOn w:val="TableDataChar"/>
    <w:rsid w:val="00043311"/>
    <w:rPr>
      <w:rFonts w:ascii="Arial" w:eastAsia="Calibri" w:hAnsi="Arial" w:cs="Arial"/>
      <w:sz w:val="20"/>
      <w:szCs w:val="20"/>
    </w:rPr>
  </w:style>
  <w:style w:type="paragraph" w:customStyle="1" w:styleId="TableDataBOLD">
    <w:name w:val="Table Data BOLD"/>
    <w:basedOn w:val="TableData"/>
    <w:qFormat/>
    <w:rsid w:val="00043311"/>
    <w:rPr>
      <w:b/>
    </w:rPr>
  </w:style>
  <w:style w:type="paragraph" w:customStyle="1" w:styleId="TableCaption">
    <w:name w:val="Table Caption"/>
    <w:basedOn w:val="FigCaption"/>
    <w:link w:val="TableCaptionChar1"/>
    <w:qFormat/>
    <w:rsid w:val="00043311"/>
    <w:rPr>
      <w:i/>
    </w:rPr>
  </w:style>
  <w:style w:type="character" w:customStyle="1" w:styleId="TableCaptionChar1">
    <w:name w:val="Table Caption Char1"/>
    <w:basedOn w:val="FigCaptionChar"/>
    <w:link w:val="TableCaption"/>
    <w:rsid w:val="00043311"/>
    <w:rPr>
      <w:rFonts w:ascii="Arial" w:eastAsia="Calibri" w:hAnsi="Arial" w:cs="Arial"/>
      <w:i/>
      <w:sz w:val="24"/>
      <w:szCs w:val="20"/>
    </w:rPr>
  </w:style>
  <w:style w:type="paragraph" w:customStyle="1" w:styleId="bullet">
    <w:name w:val="bullet"/>
    <w:basedOn w:val="Paragraph"/>
    <w:link w:val="bulletChar"/>
    <w:qFormat/>
    <w:rsid w:val="00043311"/>
    <w:pPr>
      <w:numPr>
        <w:numId w:val="5"/>
      </w:numPr>
    </w:pPr>
  </w:style>
  <w:style w:type="character" w:customStyle="1" w:styleId="bulletChar">
    <w:name w:val="bullet Char"/>
    <w:basedOn w:val="ParagraphChar"/>
    <w:link w:val="bullet"/>
    <w:rsid w:val="00043311"/>
    <w:rPr>
      <w:rFonts w:ascii="Arial" w:eastAsia="Times New Roman" w:hAnsi="Arial" w:cs="Times New Roman"/>
      <w:szCs w:val="24"/>
    </w:rPr>
  </w:style>
  <w:style w:type="paragraph" w:customStyle="1" w:styleId="bulletnumbered">
    <w:name w:val="bullet numbered"/>
    <w:basedOn w:val="Paragraph"/>
    <w:link w:val="bulletnumberedChar"/>
    <w:qFormat/>
    <w:rsid w:val="00043311"/>
    <w:pPr>
      <w:numPr>
        <w:numId w:val="4"/>
      </w:numPr>
    </w:pPr>
  </w:style>
  <w:style w:type="character" w:customStyle="1" w:styleId="bulletnumberedChar">
    <w:name w:val="bullet numbered Char"/>
    <w:basedOn w:val="ParagraphChar"/>
    <w:link w:val="bulletnumbered"/>
    <w:rsid w:val="00043311"/>
    <w:rPr>
      <w:rFonts w:ascii="Arial" w:eastAsia="Times New Roman" w:hAnsi="Arial" w:cs="Times New Roman"/>
      <w:szCs w:val="24"/>
    </w:rPr>
  </w:style>
  <w:style w:type="paragraph" w:customStyle="1" w:styleId="Footer2">
    <w:name w:val="Footer2"/>
    <w:basedOn w:val="Footer"/>
    <w:link w:val="Footer2Char"/>
    <w:qFormat/>
    <w:rsid w:val="00043311"/>
    <w:pPr>
      <w:ind w:right="360"/>
      <w:jc w:val="center"/>
    </w:pPr>
    <w:rPr>
      <w:sz w:val="20"/>
    </w:rPr>
  </w:style>
  <w:style w:type="character" w:customStyle="1" w:styleId="Footer2Char">
    <w:name w:val="Footer2 Char"/>
    <w:basedOn w:val="FooterChar"/>
    <w:link w:val="Footer2"/>
    <w:rsid w:val="00043311"/>
    <w:rPr>
      <w:rFonts w:ascii="Arial" w:eastAsia="Times New Roman" w:hAnsi="Arial" w:cs="Times New Roman"/>
      <w:sz w:val="20"/>
      <w:szCs w:val="20"/>
    </w:rPr>
  </w:style>
  <w:style w:type="paragraph" w:customStyle="1" w:styleId="Subhead3a">
    <w:name w:val="Subhead 3a"/>
    <w:basedOn w:val="StyleHeading212pt"/>
    <w:link w:val="Subhead3aChar"/>
    <w:qFormat/>
    <w:rsid w:val="00043311"/>
  </w:style>
  <w:style w:type="character" w:customStyle="1" w:styleId="Subhead3aChar">
    <w:name w:val="Subhead 3a Char"/>
    <w:basedOn w:val="StyleHeading212ptChar"/>
    <w:link w:val="Subhead3a"/>
    <w:rsid w:val="00043311"/>
    <w:rPr>
      <w:rFonts w:eastAsia="Times New Roman" w:cstheme="minorHAnsi"/>
      <w:b/>
      <w:bCs/>
      <w:iCs/>
      <w:color w:val="1F497D"/>
    </w:rPr>
  </w:style>
  <w:style w:type="paragraph" w:customStyle="1" w:styleId="Subhead3b">
    <w:name w:val="Subhead 3b"/>
    <w:basedOn w:val="StyleHeading3Left02cmFirstline0cm"/>
    <w:link w:val="Subhead3bChar"/>
    <w:qFormat/>
    <w:rsid w:val="00043311"/>
    <w:pPr>
      <w:numPr>
        <w:numId w:val="2"/>
      </w:numPr>
      <w:spacing w:before="120" w:after="120"/>
    </w:pPr>
  </w:style>
  <w:style w:type="character" w:customStyle="1" w:styleId="Subhead3bChar">
    <w:name w:val="Subhead 3b Char"/>
    <w:basedOn w:val="StyleHeading3Left02cmFirstline0cmChar"/>
    <w:link w:val="Subhead3b"/>
    <w:rsid w:val="00043311"/>
    <w:rPr>
      <w:rFonts w:eastAsia="Times New Roman" w:cs="Times New Roman"/>
      <w:b/>
      <w:iCs/>
      <w:color w:val="1F497D"/>
      <w:sz w:val="24"/>
      <w:szCs w:val="24"/>
    </w:rPr>
  </w:style>
  <w:style w:type="paragraph" w:customStyle="1" w:styleId="Subhead4a">
    <w:name w:val="Subhead 4a"/>
    <w:basedOn w:val="Subhead1"/>
    <w:link w:val="Subhead4aChar"/>
    <w:qFormat/>
    <w:rsid w:val="00043311"/>
    <w:pPr>
      <w:numPr>
        <w:numId w:val="6"/>
      </w:numPr>
      <w:ind w:hanging="720"/>
    </w:pPr>
  </w:style>
  <w:style w:type="character" w:customStyle="1" w:styleId="Subhead4aChar">
    <w:name w:val="Subhead 4a Char"/>
    <w:basedOn w:val="Subhead1Char"/>
    <w:link w:val="Subhead4a"/>
    <w:rsid w:val="00043311"/>
    <w:rPr>
      <w:rFonts w:ascii="Arial" w:eastAsia="Calibri" w:hAnsi="Arial" w:cs="Arial"/>
      <w:b/>
    </w:rPr>
  </w:style>
  <w:style w:type="paragraph" w:customStyle="1" w:styleId="Subhead4b">
    <w:name w:val="Subhead 4b"/>
    <w:basedOn w:val="Subhead2a"/>
    <w:link w:val="Subhead4bChar"/>
    <w:qFormat/>
    <w:rsid w:val="00043311"/>
    <w:pPr>
      <w:numPr>
        <w:numId w:val="3"/>
      </w:numPr>
      <w:ind w:hanging="720"/>
    </w:pPr>
    <w:rPr>
      <w:sz w:val="24"/>
    </w:rPr>
  </w:style>
  <w:style w:type="character" w:customStyle="1" w:styleId="Subhead4bChar">
    <w:name w:val="Subhead 4b Char"/>
    <w:basedOn w:val="Subhead2aChar"/>
    <w:link w:val="Subhead4b"/>
    <w:rsid w:val="00043311"/>
    <w:rPr>
      <w:rFonts w:ascii="Arial" w:eastAsia="Calibri" w:hAnsi="Arial" w:cs="Arial"/>
      <w:b/>
      <w:sz w:val="24"/>
    </w:rPr>
  </w:style>
  <w:style w:type="character" w:customStyle="1" w:styleId="CharCharCharChar">
    <w:name w:val="Char Char Char Char"/>
    <w:basedOn w:val="DefaultParagraphFont"/>
    <w:locked/>
    <w:rsid w:val="00043311"/>
    <w:rPr>
      <w:rFonts w:ascii="Arial" w:hAnsi="Arial"/>
      <w:sz w:val="24"/>
      <w:szCs w:val="24"/>
      <w:lang w:val="en-NZ" w:eastAsia="en-US" w:bidi="ar-SA"/>
    </w:rPr>
  </w:style>
  <w:style w:type="character" w:customStyle="1" w:styleId="Subhead4CharChar">
    <w:name w:val="Subhead 4 Char Char"/>
    <w:basedOn w:val="DefaultParagraphFont"/>
    <w:rsid w:val="00043311"/>
    <w:rPr>
      <w:rFonts w:ascii="Arial" w:eastAsia="Calibri" w:hAnsi="Arial" w:cs="Arial"/>
      <w:i/>
      <w:sz w:val="24"/>
      <w:szCs w:val="22"/>
      <w:lang w:val="en-GB" w:eastAsia="en-GB" w:bidi="ar-SA"/>
    </w:rPr>
  </w:style>
  <w:style w:type="character" w:customStyle="1" w:styleId="WEQuoteCharCharChar">
    <w:name w:val="WEQuote Char Char Char"/>
    <w:basedOn w:val="DefaultParagraphFont"/>
    <w:rsid w:val="00043311"/>
    <w:rPr>
      <w:rFonts w:ascii="Arial" w:eastAsia="Calibri" w:hAnsi="Arial"/>
      <w:sz w:val="24"/>
      <w:szCs w:val="22"/>
      <w:lang w:val="en-NZ" w:eastAsia="en-US" w:bidi="ar-SA"/>
    </w:rPr>
  </w:style>
  <w:style w:type="character" w:customStyle="1" w:styleId="ParagraphCharChar">
    <w:name w:val="Paragraph Char Char"/>
    <w:basedOn w:val="DefaultParagraphFont"/>
    <w:rsid w:val="00043311"/>
    <w:rPr>
      <w:rFonts w:ascii="Arial" w:hAnsi="Arial"/>
      <w:sz w:val="24"/>
      <w:szCs w:val="24"/>
      <w:lang w:val="en-NZ" w:eastAsia="en-US" w:bidi="ar-SA"/>
    </w:rPr>
  </w:style>
  <w:style w:type="paragraph" w:styleId="TableofFigures">
    <w:name w:val="table of figures"/>
    <w:basedOn w:val="Normal"/>
    <w:next w:val="Normal"/>
    <w:uiPriority w:val="99"/>
    <w:rsid w:val="008F0B35"/>
    <w:pPr>
      <w:spacing w:line="240" w:lineRule="auto"/>
    </w:pPr>
    <w:rPr>
      <w:rFonts w:asciiTheme="minorHAnsi" w:hAnsiTheme="minorHAnsi"/>
    </w:rPr>
  </w:style>
  <w:style w:type="paragraph" w:customStyle="1" w:styleId="para">
    <w:name w:val="para"/>
    <w:basedOn w:val="Normal"/>
    <w:rsid w:val="00043311"/>
    <w:pPr>
      <w:spacing w:before="100" w:beforeAutospacing="1" w:after="100" w:afterAutospacing="1" w:line="240" w:lineRule="auto"/>
      <w:jc w:val="left"/>
    </w:pPr>
    <w:rPr>
      <w:rFonts w:ascii="Times New Roman" w:eastAsia="Calibri" w:hAnsi="Times New Roman"/>
      <w:lang w:val="en-US"/>
    </w:rPr>
  </w:style>
  <w:style w:type="character" w:customStyle="1" w:styleId="A9">
    <w:name w:val="A9"/>
    <w:rsid w:val="00043311"/>
    <w:rPr>
      <w:rFonts w:cs="VPQWJA+OfficinaSans-Book"/>
      <w:color w:val="000000"/>
      <w:sz w:val="15"/>
      <w:szCs w:val="15"/>
    </w:rPr>
  </w:style>
  <w:style w:type="character" w:styleId="Emphasis">
    <w:name w:val="Emphasis"/>
    <w:basedOn w:val="DefaultParagraphFont"/>
    <w:uiPriority w:val="20"/>
    <w:qFormat/>
    <w:rsid w:val="00043311"/>
    <w:rPr>
      <w:i/>
      <w:iCs/>
    </w:rPr>
  </w:style>
  <w:style w:type="paragraph" w:styleId="DocumentMap">
    <w:name w:val="Document Map"/>
    <w:basedOn w:val="Normal"/>
    <w:link w:val="DocumentMapChar"/>
    <w:semiHidden/>
    <w:rsid w:val="0004331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043311"/>
    <w:rPr>
      <w:rFonts w:ascii="Tahoma" w:eastAsia="Times New Roman" w:hAnsi="Tahoma" w:cs="Tahoma"/>
      <w:sz w:val="20"/>
      <w:szCs w:val="20"/>
      <w:shd w:val="clear" w:color="auto" w:fill="000080"/>
    </w:rPr>
  </w:style>
  <w:style w:type="paragraph" w:styleId="Revision">
    <w:name w:val="Revision"/>
    <w:hidden/>
    <w:uiPriority w:val="99"/>
    <w:semiHidden/>
    <w:rsid w:val="00043311"/>
    <w:pPr>
      <w:spacing w:after="0" w:line="240" w:lineRule="auto"/>
    </w:pPr>
    <w:rPr>
      <w:rFonts w:ascii="Arial" w:eastAsia="Times New Roman" w:hAnsi="Arial" w:cs="Times New Roman"/>
      <w:sz w:val="24"/>
      <w:szCs w:val="24"/>
    </w:rPr>
  </w:style>
  <w:style w:type="paragraph" w:customStyle="1" w:styleId="Titlepage">
    <w:name w:val="Title page"/>
    <w:basedOn w:val="CommentText"/>
    <w:link w:val="TitlepageChar"/>
    <w:qFormat/>
    <w:rsid w:val="00043311"/>
    <w:pPr>
      <w:pBdr>
        <w:bottom w:val="single" w:sz="4" w:space="1" w:color="0070C0"/>
      </w:pBdr>
      <w:spacing w:before="0" w:after="300" w:line="240" w:lineRule="auto"/>
      <w:contextualSpacing/>
      <w:jc w:val="center"/>
    </w:pPr>
    <w:rPr>
      <w:color w:val="000000"/>
      <w:spacing w:val="5"/>
      <w:kern w:val="28"/>
      <w:sz w:val="52"/>
      <w:szCs w:val="52"/>
    </w:rPr>
  </w:style>
  <w:style w:type="character" w:customStyle="1" w:styleId="TitlepageChar">
    <w:name w:val="Title page Char"/>
    <w:basedOn w:val="TitleChar"/>
    <w:link w:val="Titlepage"/>
    <w:rsid w:val="00043311"/>
    <w:rPr>
      <w:rFonts w:ascii="Arial" w:eastAsia="Times New Roman" w:hAnsi="Arial" w:cs="Times New Roman"/>
      <w:color w:val="000000"/>
      <w:spacing w:val="5"/>
      <w:kern w:val="28"/>
      <w:sz w:val="52"/>
      <w:szCs w:val="52"/>
    </w:rPr>
  </w:style>
  <w:style w:type="character" w:customStyle="1" w:styleId="TitleChar">
    <w:name w:val="Title Char"/>
    <w:basedOn w:val="DefaultParagraphFont"/>
    <w:link w:val="Title"/>
    <w:uiPriority w:val="10"/>
    <w:rsid w:val="00043311"/>
    <w:rPr>
      <w:rFonts w:ascii="Cambria" w:eastAsia="Times New Roman" w:hAnsi="Cambria" w:cs="Times New Roman"/>
      <w:color w:val="17365D"/>
      <w:spacing w:val="5"/>
      <w:kern w:val="28"/>
      <w:sz w:val="52"/>
      <w:szCs w:val="52"/>
    </w:rPr>
  </w:style>
  <w:style w:type="paragraph" w:styleId="Title">
    <w:name w:val="Title"/>
    <w:basedOn w:val="Normal"/>
    <w:next w:val="Normal"/>
    <w:link w:val="TitleChar"/>
    <w:uiPriority w:val="10"/>
    <w:qFormat/>
    <w:rsid w:val="00043311"/>
    <w:pPr>
      <w:pBdr>
        <w:bottom w:val="single" w:sz="8" w:space="4" w:color="4F81BD"/>
      </w:pBdr>
      <w:spacing w:before="0" w:after="300" w:line="240" w:lineRule="auto"/>
      <w:contextualSpacing/>
    </w:pPr>
    <w:rPr>
      <w:rFonts w:ascii="Cambria" w:hAnsi="Cambria"/>
      <w:color w:val="17365D"/>
      <w:spacing w:val="5"/>
      <w:kern w:val="28"/>
      <w:sz w:val="52"/>
      <w:szCs w:val="52"/>
    </w:rPr>
  </w:style>
  <w:style w:type="character" w:customStyle="1" w:styleId="TitleChar1">
    <w:name w:val="Title Char1"/>
    <w:basedOn w:val="DefaultParagraphFont"/>
    <w:uiPriority w:val="10"/>
    <w:rsid w:val="00043311"/>
    <w:rPr>
      <w:rFonts w:asciiTheme="majorHAnsi" w:eastAsiaTheme="majorEastAsia" w:hAnsiTheme="majorHAnsi" w:cstheme="majorBidi"/>
      <w:color w:val="17365D" w:themeColor="text2" w:themeShade="BF"/>
      <w:spacing w:val="5"/>
      <w:kern w:val="28"/>
      <w:sz w:val="52"/>
      <w:szCs w:val="52"/>
    </w:rPr>
  </w:style>
  <w:style w:type="paragraph" w:customStyle="1" w:styleId="Titlepage2">
    <w:name w:val="Title page2"/>
    <w:basedOn w:val="Normal"/>
    <w:link w:val="Titlepage2Char"/>
    <w:qFormat/>
    <w:rsid w:val="00043311"/>
    <w:pPr>
      <w:spacing w:before="0" w:line="240" w:lineRule="auto"/>
      <w:jc w:val="center"/>
    </w:pPr>
    <w:rPr>
      <w:rFonts w:eastAsia="Calibri"/>
      <w:b/>
      <w:sz w:val="28"/>
      <w:szCs w:val="22"/>
    </w:rPr>
  </w:style>
  <w:style w:type="character" w:customStyle="1" w:styleId="Titlepage2Char">
    <w:name w:val="Title page2 Char"/>
    <w:basedOn w:val="DefaultParagraphFont"/>
    <w:link w:val="Titlepage2"/>
    <w:rsid w:val="00043311"/>
    <w:rPr>
      <w:rFonts w:ascii="Arial" w:eastAsia="Calibri" w:hAnsi="Arial" w:cs="Times New Roman"/>
      <w:b/>
      <w:sz w:val="28"/>
    </w:rPr>
  </w:style>
  <w:style w:type="paragraph" w:customStyle="1" w:styleId="FionasHeading3">
    <w:name w:val="Fiona's Heading 3"/>
    <w:basedOn w:val="Paragraph"/>
    <w:next w:val="Paragraph"/>
    <w:link w:val="FionasHeading3Char"/>
    <w:qFormat/>
    <w:rsid w:val="00043311"/>
    <w:pPr>
      <w:ind w:right="22"/>
    </w:pPr>
    <w:rPr>
      <w:rFonts w:cs="Arial"/>
      <w:b/>
      <w:bCs/>
      <w:iCs/>
      <w:color w:val="1F497D"/>
    </w:rPr>
  </w:style>
  <w:style w:type="character" w:customStyle="1" w:styleId="FionasHeading3Char">
    <w:name w:val="Fiona's Heading 3 Char"/>
    <w:basedOn w:val="ParagraphChar"/>
    <w:link w:val="FionasHeading3"/>
    <w:rsid w:val="00043311"/>
    <w:rPr>
      <w:rFonts w:ascii="Arial" w:eastAsia="Times New Roman" w:hAnsi="Arial" w:cs="Arial"/>
      <w:b/>
      <w:bCs/>
      <w:iCs/>
      <w:color w:val="1F497D"/>
      <w:szCs w:val="24"/>
    </w:rPr>
  </w:style>
  <w:style w:type="paragraph" w:styleId="TOCHeading">
    <w:name w:val="TOC Heading"/>
    <w:basedOn w:val="Heading1"/>
    <w:next w:val="Normal"/>
    <w:uiPriority w:val="39"/>
    <w:unhideWhenUsed/>
    <w:qFormat/>
    <w:rsid w:val="00043311"/>
    <w:pPr>
      <w:keepLines/>
      <w:pageBreakBefore w:val="0"/>
      <w:numPr>
        <w:numId w:val="0"/>
      </w:numPr>
      <w:spacing w:before="480" w:line="276" w:lineRule="auto"/>
      <w:jc w:val="left"/>
      <w:outlineLvl w:val="9"/>
    </w:pPr>
    <w:rPr>
      <w:rFonts w:ascii="Cambria" w:hAnsi="Cambria"/>
      <w:bCs/>
      <w:caps w:val="0"/>
      <w:color w:val="365F91"/>
      <w:sz w:val="28"/>
      <w:szCs w:val="28"/>
      <w:lang w:val="en-US"/>
    </w:rPr>
  </w:style>
  <w:style w:type="paragraph" w:customStyle="1" w:styleId="LPPtext">
    <w:name w:val="LPP text"/>
    <w:basedOn w:val="Normal"/>
    <w:link w:val="LPPtextChar"/>
    <w:uiPriority w:val="99"/>
    <w:rsid w:val="00043311"/>
    <w:pPr>
      <w:spacing w:before="0" w:after="120" w:line="240" w:lineRule="auto"/>
    </w:pPr>
    <w:rPr>
      <w:rFonts w:ascii="Calibri" w:hAnsi="Calibri"/>
      <w:sz w:val="24"/>
      <w:szCs w:val="20"/>
      <w:lang w:val="en-GB" w:eastAsia="en-GB"/>
    </w:rPr>
  </w:style>
  <w:style w:type="character" w:customStyle="1" w:styleId="LPPtextChar">
    <w:name w:val="LPP text Char"/>
    <w:basedOn w:val="DefaultParagraphFont"/>
    <w:link w:val="LPPtext"/>
    <w:uiPriority w:val="99"/>
    <w:locked/>
    <w:rsid w:val="00043311"/>
    <w:rPr>
      <w:rFonts w:ascii="Calibri" w:eastAsia="Times New Roman" w:hAnsi="Calibri" w:cs="Times New Roman"/>
      <w:sz w:val="24"/>
      <w:szCs w:val="20"/>
      <w:lang w:val="en-GB" w:eastAsia="en-GB"/>
    </w:rPr>
  </w:style>
  <w:style w:type="paragraph" w:styleId="EndnoteText">
    <w:name w:val="endnote text"/>
    <w:basedOn w:val="Normal"/>
    <w:link w:val="EndnoteTextChar"/>
    <w:uiPriority w:val="99"/>
    <w:semiHidden/>
    <w:unhideWhenUsed/>
    <w:rsid w:val="00043311"/>
    <w:pPr>
      <w:spacing w:before="0" w:line="240" w:lineRule="auto"/>
    </w:pPr>
    <w:rPr>
      <w:rFonts w:ascii="Calibri" w:eastAsia="Calibri" w:hAnsi="Calibri"/>
      <w:sz w:val="20"/>
      <w:szCs w:val="20"/>
    </w:rPr>
  </w:style>
  <w:style w:type="character" w:customStyle="1" w:styleId="EndnoteTextChar">
    <w:name w:val="Endnote Text Char"/>
    <w:basedOn w:val="DefaultParagraphFont"/>
    <w:link w:val="EndnoteText"/>
    <w:uiPriority w:val="99"/>
    <w:semiHidden/>
    <w:rsid w:val="00043311"/>
    <w:rPr>
      <w:rFonts w:ascii="Calibri" w:eastAsia="Calibri" w:hAnsi="Calibri" w:cs="Times New Roman"/>
      <w:sz w:val="20"/>
      <w:szCs w:val="20"/>
    </w:rPr>
  </w:style>
  <w:style w:type="paragraph" w:customStyle="1" w:styleId="FionasAppendixtitles">
    <w:name w:val="Fiona's Appendix titles"/>
    <w:basedOn w:val="Heading2"/>
    <w:next w:val="Normal"/>
    <w:link w:val="FionasAppendixtitlesChar"/>
    <w:qFormat/>
    <w:rsid w:val="008C18FD"/>
    <w:pPr>
      <w:numPr>
        <w:ilvl w:val="0"/>
        <w:numId w:val="7"/>
      </w:numPr>
    </w:pPr>
    <w:rPr>
      <w:szCs w:val="24"/>
    </w:rPr>
  </w:style>
  <w:style w:type="character" w:customStyle="1" w:styleId="FionasAppendixtitlesChar">
    <w:name w:val="Fiona's Appendix titles Char"/>
    <w:basedOn w:val="FionasHeading3Char"/>
    <w:link w:val="FionasAppendixtitles"/>
    <w:rsid w:val="008C18FD"/>
    <w:rPr>
      <w:rFonts w:ascii="Arial" w:eastAsia="Times New Roman" w:hAnsi="Arial" w:cstheme="minorHAnsi"/>
      <w:b/>
      <w:bCs/>
      <w:iCs/>
      <w:color w:val="1F497D"/>
      <w:szCs w:val="24"/>
    </w:rPr>
  </w:style>
  <w:style w:type="character" w:customStyle="1" w:styleId="rwrro4">
    <w:name w:val="rwrro4"/>
    <w:basedOn w:val="DefaultParagraphFont"/>
    <w:rsid w:val="00043311"/>
    <w:rPr>
      <w:strike w:val="0"/>
      <w:dstrike w:val="0"/>
      <w:color w:val="408CD9"/>
      <w:u w:val="none"/>
      <w:effect w:val="none"/>
    </w:rPr>
  </w:style>
  <w:style w:type="table" w:customStyle="1" w:styleId="TableGrid1">
    <w:name w:val="Table Grid1"/>
    <w:basedOn w:val="TableNormal"/>
    <w:next w:val="TableGrid"/>
    <w:uiPriority w:val="59"/>
    <w:rsid w:val="000433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43311"/>
    <w:pPr>
      <w:spacing w:after="0" w:line="240" w:lineRule="auto"/>
    </w:pPr>
    <w:rPr>
      <w:rFonts w:ascii="Calibri" w:eastAsia="Calibri" w:hAnsi="Calibri"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043311"/>
    <w:rPr>
      <w:vertAlign w:val="superscript"/>
    </w:rPr>
  </w:style>
  <w:style w:type="paragraph" w:styleId="TOC4">
    <w:name w:val="toc 4"/>
    <w:basedOn w:val="Normal"/>
    <w:next w:val="Normal"/>
    <w:autoRedefine/>
    <w:uiPriority w:val="39"/>
    <w:unhideWhenUsed/>
    <w:rsid w:val="00043311"/>
    <w:pPr>
      <w:spacing w:before="0" w:after="100" w:line="276" w:lineRule="auto"/>
      <w:ind w:left="660"/>
      <w:jc w:val="left"/>
    </w:pPr>
    <w:rPr>
      <w:rFonts w:asciiTheme="minorHAnsi" w:eastAsiaTheme="minorEastAsia" w:hAnsiTheme="minorHAnsi" w:cstheme="minorBidi"/>
      <w:szCs w:val="22"/>
      <w:lang w:eastAsia="en-NZ"/>
    </w:rPr>
  </w:style>
  <w:style w:type="paragraph" w:styleId="TOC5">
    <w:name w:val="toc 5"/>
    <w:basedOn w:val="Normal"/>
    <w:next w:val="Normal"/>
    <w:autoRedefine/>
    <w:uiPriority w:val="39"/>
    <w:unhideWhenUsed/>
    <w:rsid w:val="00043311"/>
    <w:pPr>
      <w:spacing w:before="0" w:after="100" w:line="276" w:lineRule="auto"/>
      <w:ind w:left="880"/>
      <w:jc w:val="left"/>
    </w:pPr>
    <w:rPr>
      <w:rFonts w:asciiTheme="minorHAnsi" w:eastAsiaTheme="minorEastAsia" w:hAnsiTheme="minorHAnsi" w:cstheme="minorBidi"/>
      <w:szCs w:val="22"/>
      <w:lang w:eastAsia="en-NZ"/>
    </w:rPr>
  </w:style>
  <w:style w:type="paragraph" w:styleId="TOC6">
    <w:name w:val="toc 6"/>
    <w:basedOn w:val="Normal"/>
    <w:next w:val="Normal"/>
    <w:autoRedefine/>
    <w:uiPriority w:val="39"/>
    <w:unhideWhenUsed/>
    <w:rsid w:val="00043311"/>
    <w:pPr>
      <w:spacing w:before="0" w:after="100" w:line="276" w:lineRule="auto"/>
      <w:ind w:left="1100"/>
      <w:jc w:val="left"/>
    </w:pPr>
    <w:rPr>
      <w:rFonts w:asciiTheme="minorHAnsi" w:eastAsiaTheme="minorEastAsia" w:hAnsiTheme="minorHAnsi" w:cstheme="minorBidi"/>
      <w:szCs w:val="22"/>
      <w:lang w:eastAsia="en-NZ"/>
    </w:rPr>
  </w:style>
  <w:style w:type="paragraph" w:styleId="TOC7">
    <w:name w:val="toc 7"/>
    <w:basedOn w:val="Normal"/>
    <w:next w:val="Normal"/>
    <w:autoRedefine/>
    <w:uiPriority w:val="39"/>
    <w:unhideWhenUsed/>
    <w:rsid w:val="00043311"/>
    <w:pPr>
      <w:spacing w:before="0" w:after="100" w:line="276" w:lineRule="auto"/>
      <w:ind w:left="1320"/>
      <w:jc w:val="left"/>
    </w:pPr>
    <w:rPr>
      <w:rFonts w:asciiTheme="minorHAnsi" w:eastAsiaTheme="minorEastAsia" w:hAnsiTheme="minorHAnsi" w:cstheme="minorBidi"/>
      <w:szCs w:val="22"/>
      <w:lang w:eastAsia="en-NZ"/>
    </w:rPr>
  </w:style>
  <w:style w:type="paragraph" w:styleId="TOC8">
    <w:name w:val="toc 8"/>
    <w:basedOn w:val="Normal"/>
    <w:next w:val="Normal"/>
    <w:autoRedefine/>
    <w:uiPriority w:val="39"/>
    <w:unhideWhenUsed/>
    <w:rsid w:val="00043311"/>
    <w:pPr>
      <w:spacing w:before="0" w:after="100" w:line="276" w:lineRule="auto"/>
      <w:ind w:left="1540"/>
      <w:jc w:val="left"/>
    </w:pPr>
    <w:rPr>
      <w:rFonts w:asciiTheme="minorHAnsi" w:eastAsiaTheme="minorEastAsia" w:hAnsiTheme="minorHAnsi" w:cstheme="minorBidi"/>
      <w:szCs w:val="22"/>
      <w:lang w:eastAsia="en-NZ"/>
    </w:rPr>
  </w:style>
  <w:style w:type="paragraph" w:styleId="TOC9">
    <w:name w:val="toc 9"/>
    <w:basedOn w:val="Normal"/>
    <w:next w:val="Normal"/>
    <w:autoRedefine/>
    <w:uiPriority w:val="39"/>
    <w:unhideWhenUsed/>
    <w:rsid w:val="00043311"/>
    <w:pPr>
      <w:spacing w:before="0" w:after="100" w:line="276" w:lineRule="auto"/>
      <w:ind w:left="1760"/>
      <w:jc w:val="left"/>
    </w:pPr>
    <w:rPr>
      <w:rFonts w:asciiTheme="minorHAnsi" w:eastAsiaTheme="minorEastAsia" w:hAnsiTheme="minorHAnsi" w:cstheme="minorBidi"/>
      <w:szCs w:val="22"/>
      <w:lang w:eastAsia="en-NZ"/>
    </w:rPr>
  </w:style>
  <w:style w:type="table" w:customStyle="1" w:styleId="TableGrid3">
    <w:name w:val="Table Grid3"/>
    <w:basedOn w:val="TableNormal"/>
    <w:next w:val="TableGrid"/>
    <w:uiPriority w:val="59"/>
    <w:rsid w:val="00B22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67C97"/>
  </w:style>
  <w:style w:type="paragraph" w:customStyle="1" w:styleId="Bullet0">
    <w:name w:val="Bullet"/>
    <w:basedOn w:val="Normal"/>
    <w:qFormat/>
    <w:rsid w:val="0089285F"/>
    <w:pPr>
      <w:numPr>
        <w:numId w:val="72"/>
      </w:numPr>
      <w:spacing w:before="90" w:line="264" w:lineRule="auto"/>
      <w:jc w:val="left"/>
    </w:pPr>
    <w:rPr>
      <w:rFonts w:ascii="Georgia" w:hAnsi="Georgia"/>
      <w:szCs w:val="20"/>
      <w:lang w:eastAsia="en-GB"/>
    </w:rPr>
  </w:style>
  <w:style w:type="paragraph" w:customStyle="1" w:styleId="Dash">
    <w:name w:val="Dash"/>
    <w:basedOn w:val="Bullet0"/>
    <w:qFormat/>
    <w:rsid w:val="0089285F"/>
    <w:pPr>
      <w:numPr>
        <w:numId w:val="73"/>
      </w:numPr>
      <w:spacing w:before="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3311"/>
    <w:pPr>
      <w:spacing w:before="120" w:after="0" w:line="480" w:lineRule="auto"/>
      <w:jc w:val="both"/>
    </w:pPr>
    <w:rPr>
      <w:rFonts w:ascii="Arial" w:eastAsia="Times New Roman" w:hAnsi="Arial" w:cs="Times New Roman"/>
      <w:szCs w:val="24"/>
    </w:rPr>
  </w:style>
  <w:style w:type="paragraph" w:styleId="Heading1">
    <w:name w:val="heading 1"/>
    <w:aliases w:val="Fiona's Heading 1"/>
    <w:basedOn w:val="Normal"/>
    <w:next w:val="Normal"/>
    <w:link w:val="Heading1Char"/>
    <w:uiPriority w:val="9"/>
    <w:qFormat/>
    <w:rsid w:val="00043311"/>
    <w:pPr>
      <w:keepNext/>
      <w:pageBreakBefore/>
      <w:numPr>
        <w:numId w:val="8"/>
      </w:numPr>
      <w:outlineLvl w:val="0"/>
    </w:pPr>
    <w:rPr>
      <w:rFonts w:ascii="Arial Bold" w:hAnsi="Arial Bold"/>
      <w:b/>
      <w:caps/>
      <w:color w:val="1F497D"/>
      <w:sz w:val="26"/>
    </w:rPr>
  </w:style>
  <w:style w:type="paragraph" w:styleId="Heading2">
    <w:name w:val="heading 2"/>
    <w:aliases w:val="Fiona's Heading 2"/>
    <w:basedOn w:val="Normal"/>
    <w:next w:val="Normal"/>
    <w:link w:val="Heading2Char"/>
    <w:autoRedefine/>
    <w:uiPriority w:val="9"/>
    <w:qFormat/>
    <w:rsid w:val="00F061EF"/>
    <w:pPr>
      <w:keepNext/>
      <w:numPr>
        <w:ilvl w:val="1"/>
        <w:numId w:val="8"/>
      </w:numPr>
      <w:spacing w:before="0" w:after="200" w:line="276" w:lineRule="auto"/>
      <w:jc w:val="left"/>
      <w:outlineLvl w:val="1"/>
    </w:pPr>
    <w:rPr>
      <w:rFonts w:asciiTheme="minorHAnsi" w:hAnsiTheme="minorHAnsi" w:cstheme="minorHAnsi"/>
      <w:b/>
      <w:bCs/>
      <w:iCs/>
      <w:color w:val="1F497D"/>
      <w:szCs w:val="22"/>
    </w:rPr>
  </w:style>
  <w:style w:type="paragraph" w:styleId="Heading3">
    <w:name w:val="heading 3"/>
    <w:aliases w:val="Fiona's Heading 3 v2"/>
    <w:basedOn w:val="StyleHeading212pt"/>
    <w:next w:val="Normal"/>
    <w:link w:val="Heading3Char"/>
    <w:uiPriority w:val="9"/>
    <w:qFormat/>
    <w:rsid w:val="00043311"/>
    <w:pPr>
      <w:numPr>
        <w:ilvl w:val="2"/>
        <w:numId w:val="8"/>
      </w:numPr>
      <w:spacing w:before="240"/>
      <w:outlineLvl w:val="2"/>
    </w:pPr>
    <w:rPr>
      <w:bCs w:val="0"/>
      <w:szCs w:val="26"/>
    </w:rPr>
  </w:style>
  <w:style w:type="paragraph" w:styleId="Heading4">
    <w:name w:val="heading 4"/>
    <w:aliases w:val="Fiona Heading four"/>
    <w:basedOn w:val="StyleParagraph11pt"/>
    <w:next w:val="Normal"/>
    <w:link w:val="Heading4Char"/>
    <w:uiPriority w:val="99"/>
    <w:qFormat/>
    <w:rsid w:val="00600F72"/>
    <w:pPr>
      <w:keepNext/>
      <w:numPr>
        <w:ilvl w:val="3"/>
        <w:numId w:val="8"/>
      </w:numPr>
      <w:spacing w:before="240" w:after="60"/>
      <w:outlineLvl w:val="3"/>
    </w:pPr>
    <w:rPr>
      <w:rFonts w:asciiTheme="minorHAnsi" w:hAnsiTheme="minorHAnsi"/>
      <w:b/>
      <w:bCs/>
      <w:color w:val="1F497D"/>
      <w:szCs w:val="28"/>
    </w:rPr>
  </w:style>
  <w:style w:type="paragraph" w:styleId="Heading5">
    <w:name w:val="heading 5"/>
    <w:basedOn w:val="Normal"/>
    <w:next w:val="Normal"/>
    <w:link w:val="Heading5Char"/>
    <w:uiPriority w:val="99"/>
    <w:qFormat/>
    <w:rsid w:val="00043311"/>
    <w:pPr>
      <w:numPr>
        <w:ilvl w:val="4"/>
        <w:numId w:val="8"/>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9"/>
    <w:qFormat/>
    <w:rsid w:val="00043311"/>
    <w:pPr>
      <w:numPr>
        <w:ilvl w:val="5"/>
        <w:numId w:val="8"/>
      </w:numPr>
      <w:spacing w:before="240" w:after="60"/>
      <w:outlineLvl w:val="5"/>
    </w:pPr>
    <w:rPr>
      <w:rFonts w:ascii="Calibri" w:hAnsi="Calibri"/>
      <w:b/>
      <w:bCs/>
      <w:szCs w:val="22"/>
    </w:rPr>
  </w:style>
  <w:style w:type="paragraph" w:styleId="Heading7">
    <w:name w:val="heading 7"/>
    <w:basedOn w:val="Normal"/>
    <w:next w:val="Normal"/>
    <w:link w:val="Heading7Char"/>
    <w:uiPriority w:val="99"/>
    <w:qFormat/>
    <w:rsid w:val="00043311"/>
    <w:pPr>
      <w:numPr>
        <w:ilvl w:val="6"/>
        <w:numId w:val="8"/>
      </w:numPr>
      <w:spacing w:before="240" w:after="60"/>
      <w:outlineLvl w:val="6"/>
    </w:pPr>
    <w:rPr>
      <w:rFonts w:ascii="Calibri" w:hAnsi="Calibri"/>
    </w:rPr>
  </w:style>
  <w:style w:type="paragraph" w:styleId="Heading8">
    <w:name w:val="heading 8"/>
    <w:basedOn w:val="Normal"/>
    <w:next w:val="Normal"/>
    <w:link w:val="Heading8Char"/>
    <w:uiPriority w:val="99"/>
    <w:qFormat/>
    <w:rsid w:val="00043311"/>
    <w:pPr>
      <w:numPr>
        <w:ilvl w:val="7"/>
        <w:numId w:val="8"/>
      </w:numPr>
      <w:spacing w:before="240" w:after="60"/>
      <w:outlineLvl w:val="7"/>
    </w:pPr>
    <w:rPr>
      <w:rFonts w:ascii="Calibri" w:hAnsi="Calibri"/>
      <w:i/>
      <w:iCs/>
    </w:rPr>
  </w:style>
  <w:style w:type="paragraph" w:styleId="Heading9">
    <w:name w:val="heading 9"/>
    <w:basedOn w:val="Normal"/>
    <w:next w:val="Normal"/>
    <w:link w:val="Heading9Char"/>
    <w:uiPriority w:val="99"/>
    <w:qFormat/>
    <w:rsid w:val="00043311"/>
    <w:pPr>
      <w:numPr>
        <w:ilvl w:val="8"/>
        <w:numId w:val="8"/>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Fiona's Heading 1 Char"/>
    <w:basedOn w:val="DefaultParagraphFont"/>
    <w:link w:val="Heading1"/>
    <w:uiPriority w:val="9"/>
    <w:rsid w:val="00043311"/>
    <w:rPr>
      <w:rFonts w:ascii="Arial Bold" w:eastAsia="Times New Roman" w:hAnsi="Arial Bold" w:cs="Times New Roman"/>
      <w:b/>
      <w:caps/>
      <w:color w:val="1F497D"/>
      <w:sz w:val="26"/>
      <w:szCs w:val="24"/>
    </w:rPr>
  </w:style>
  <w:style w:type="character" w:customStyle="1" w:styleId="Heading2Char">
    <w:name w:val="Heading 2 Char"/>
    <w:aliases w:val="Fiona's Heading 2 Char"/>
    <w:basedOn w:val="DefaultParagraphFont"/>
    <w:link w:val="Heading2"/>
    <w:uiPriority w:val="9"/>
    <w:rsid w:val="00F061EF"/>
    <w:rPr>
      <w:rFonts w:eastAsia="Times New Roman" w:cstheme="minorHAnsi"/>
      <w:b/>
      <w:bCs/>
      <w:iCs/>
      <w:color w:val="1F497D"/>
    </w:rPr>
  </w:style>
  <w:style w:type="character" w:customStyle="1" w:styleId="Heading3Char">
    <w:name w:val="Heading 3 Char"/>
    <w:aliases w:val="Fiona's Heading 3 v2 Char"/>
    <w:basedOn w:val="DefaultParagraphFont"/>
    <w:link w:val="Heading3"/>
    <w:uiPriority w:val="9"/>
    <w:rsid w:val="00043311"/>
    <w:rPr>
      <w:rFonts w:eastAsia="Times New Roman" w:cstheme="minorHAnsi"/>
      <w:b/>
      <w:iCs/>
      <w:color w:val="1F497D"/>
      <w:szCs w:val="26"/>
    </w:rPr>
  </w:style>
  <w:style w:type="character" w:customStyle="1" w:styleId="Heading4Char">
    <w:name w:val="Heading 4 Char"/>
    <w:aliases w:val="Fiona Heading four Char"/>
    <w:basedOn w:val="DefaultParagraphFont"/>
    <w:link w:val="Heading4"/>
    <w:uiPriority w:val="99"/>
    <w:rsid w:val="00600F72"/>
    <w:rPr>
      <w:rFonts w:eastAsia="Times New Roman" w:cs="Times New Roman"/>
      <w:b/>
      <w:bCs/>
      <w:color w:val="1F497D"/>
      <w:szCs w:val="28"/>
    </w:rPr>
  </w:style>
  <w:style w:type="character" w:customStyle="1" w:styleId="Heading5Char">
    <w:name w:val="Heading 5 Char"/>
    <w:basedOn w:val="DefaultParagraphFont"/>
    <w:link w:val="Heading5"/>
    <w:uiPriority w:val="99"/>
    <w:rsid w:val="00043311"/>
    <w:rPr>
      <w:rFonts w:ascii="Calibri" w:eastAsia="Times New Roman" w:hAnsi="Calibri" w:cs="Times New Roman"/>
      <w:b/>
      <w:bCs/>
      <w:i/>
      <w:iCs/>
      <w:sz w:val="26"/>
      <w:szCs w:val="26"/>
    </w:rPr>
  </w:style>
  <w:style w:type="character" w:customStyle="1" w:styleId="Heading6Char">
    <w:name w:val="Heading 6 Char"/>
    <w:basedOn w:val="DefaultParagraphFont"/>
    <w:link w:val="Heading6"/>
    <w:uiPriority w:val="99"/>
    <w:rsid w:val="00043311"/>
    <w:rPr>
      <w:rFonts w:ascii="Calibri" w:eastAsia="Times New Roman" w:hAnsi="Calibri" w:cs="Times New Roman"/>
      <w:b/>
      <w:bCs/>
    </w:rPr>
  </w:style>
  <w:style w:type="character" w:customStyle="1" w:styleId="Heading7Char">
    <w:name w:val="Heading 7 Char"/>
    <w:basedOn w:val="DefaultParagraphFont"/>
    <w:link w:val="Heading7"/>
    <w:uiPriority w:val="99"/>
    <w:rsid w:val="00043311"/>
    <w:rPr>
      <w:rFonts w:ascii="Calibri" w:eastAsia="Times New Roman" w:hAnsi="Calibri" w:cs="Times New Roman"/>
      <w:szCs w:val="24"/>
    </w:rPr>
  </w:style>
  <w:style w:type="character" w:customStyle="1" w:styleId="Heading8Char">
    <w:name w:val="Heading 8 Char"/>
    <w:basedOn w:val="DefaultParagraphFont"/>
    <w:link w:val="Heading8"/>
    <w:uiPriority w:val="99"/>
    <w:rsid w:val="00043311"/>
    <w:rPr>
      <w:rFonts w:ascii="Calibri" w:eastAsia="Times New Roman" w:hAnsi="Calibri" w:cs="Times New Roman"/>
      <w:i/>
      <w:iCs/>
      <w:szCs w:val="24"/>
    </w:rPr>
  </w:style>
  <w:style w:type="character" w:customStyle="1" w:styleId="Heading9Char">
    <w:name w:val="Heading 9 Char"/>
    <w:basedOn w:val="DefaultParagraphFont"/>
    <w:link w:val="Heading9"/>
    <w:uiPriority w:val="99"/>
    <w:rsid w:val="00043311"/>
    <w:rPr>
      <w:rFonts w:ascii="Cambria" w:eastAsia="Times New Roman" w:hAnsi="Cambria" w:cs="Times New Roman"/>
    </w:rPr>
  </w:style>
  <w:style w:type="paragraph" w:customStyle="1" w:styleId="StyleHeading212pt">
    <w:name w:val="Style Heading 2 + 12 pt"/>
    <w:basedOn w:val="Heading2"/>
    <w:next w:val="Normal"/>
    <w:link w:val="StyleHeading212ptChar"/>
    <w:uiPriority w:val="99"/>
    <w:rsid w:val="00043311"/>
    <w:pPr>
      <w:numPr>
        <w:numId w:val="1"/>
      </w:numPr>
      <w:tabs>
        <w:tab w:val="left" w:pos="851"/>
      </w:tabs>
      <w:spacing w:before="360"/>
    </w:pPr>
  </w:style>
  <w:style w:type="character" w:customStyle="1" w:styleId="StyleHeading212ptChar">
    <w:name w:val="Style Heading 2 + 12 pt Char"/>
    <w:basedOn w:val="Heading2Char"/>
    <w:link w:val="StyleHeading212pt"/>
    <w:uiPriority w:val="99"/>
    <w:rsid w:val="00043311"/>
    <w:rPr>
      <w:rFonts w:eastAsia="Times New Roman" w:cstheme="minorHAnsi"/>
      <w:b/>
      <w:bCs/>
      <w:iCs/>
      <w:color w:val="1F497D"/>
    </w:rPr>
  </w:style>
  <w:style w:type="paragraph" w:customStyle="1" w:styleId="StyleParagraph11pt">
    <w:name w:val="Style Paragraph + 11 pt"/>
    <w:basedOn w:val="Paragraph"/>
    <w:rsid w:val="00043311"/>
    <w:pPr>
      <w:spacing w:before="120" w:after="120"/>
    </w:pPr>
  </w:style>
  <w:style w:type="paragraph" w:customStyle="1" w:styleId="Paragraph">
    <w:name w:val="Paragraph"/>
    <w:basedOn w:val="Normal"/>
    <w:link w:val="ParagraphChar"/>
    <w:qFormat/>
    <w:rsid w:val="00043311"/>
    <w:pPr>
      <w:spacing w:before="0"/>
    </w:pPr>
  </w:style>
  <w:style w:type="character" w:customStyle="1" w:styleId="ParagraphChar">
    <w:name w:val="Paragraph Char"/>
    <w:basedOn w:val="DefaultParagraphFont"/>
    <w:link w:val="Paragraph"/>
    <w:rsid w:val="00043311"/>
    <w:rPr>
      <w:rFonts w:ascii="Arial" w:eastAsia="Times New Roman" w:hAnsi="Arial" w:cs="Times New Roman"/>
      <w:szCs w:val="24"/>
    </w:rPr>
  </w:style>
  <w:style w:type="paragraph" w:styleId="Footer">
    <w:name w:val="footer"/>
    <w:basedOn w:val="Normal"/>
    <w:link w:val="FooterChar"/>
    <w:uiPriority w:val="99"/>
    <w:rsid w:val="00043311"/>
    <w:pPr>
      <w:tabs>
        <w:tab w:val="center" w:pos="4153"/>
        <w:tab w:val="right" w:pos="8306"/>
      </w:tabs>
    </w:pPr>
    <w:rPr>
      <w:szCs w:val="20"/>
    </w:rPr>
  </w:style>
  <w:style w:type="character" w:customStyle="1" w:styleId="FooterChar">
    <w:name w:val="Footer Char"/>
    <w:basedOn w:val="DefaultParagraphFont"/>
    <w:link w:val="Footer"/>
    <w:uiPriority w:val="99"/>
    <w:rsid w:val="00043311"/>
    <w:rPr>
      <w:rFonts w:ascii="Arial" w:eastAsia="Times New Roman" w:hAnsi="Arial" w:cs="Times New Roman"/>
      <w:szCs w:val="20"/>
    </w:rPr>
  </w:style>
  <w:style w:type="paragraph" w:styleId="Header">
    <w:name w:val="header"/>
    <w:basedOn w:val="Normal"/>
    <w:link w:val="HeaderChar"/>
    <w:uiPriority w:val="99"/>
    <w:rsid w:val="00043311"/>
    <w:pPr>
      <w:tabs>
        <w:tab w:val="center" w:pos="4320"/>
        <w:tab w:val="right" w:pos="8640"/>
      </w:tabs>
    </w:pPr>
  </w:style>
  <w:style w:type="character" w:customStyle="1" w:styleId="HeaderChar">
    <w:name w:val="Header Char"/>
    <w:basedOn w:val="DefaultParagraphFont"/>
    <w:link w:val="Header"/>
    <w:uiPriority w:val="99"/>
    <w:rsid w:val="00043311"/>
    <w:rPr>
      <w:rFonts w:ascii="Arial" w:eastAsia="Times New Roman" w:hAnsi="Arial" w:cs="Times New Roman"/>
      <w:szCs w:val="24"/>
    </w:rPr>
  </w:style>
  <w:style w:type="character" w:styleId="PageNumber">
    <w:name w:val="page number"/>
    <w:basedOn w:val="DefaultParagraphFont"/>
    <w:uiPriority w:val="99"/>
    <w:rsid w:val="00043311"/>
    <w:rPr>
      <w:rFonts w:cs="Times New Roman"/>
    </w:rPr>
  </w:style>
  <w:style w:type="paragraph" w:styleId="BodyText">
    <w:name w:val="Body Text"/>
    <w:basedOn w:val="Normal"/>
    <w:link w:val="BodyTextChar"/>
    <w:uiPriority w:val="99"/>
    <w:rsid w:val="00043311"/>
    <w:pPr>
      <w:autoSpaceDE w:val="0"/>
      <w:autoSpaceDN w:val="0"/>
      <w:spacing w:after="120" w:line="360" w:lineRule="auto"/>
    </w:pPr>
    <w:rPr>
      <w:rFonts w:asciiTheme="minorHAnsi" w:hAnsiTheme="minorHAnsi" w:cstheme="minorHAnsi"/>
      <w:lang w:val="en-GB"/>
    </w:rPr>
  </w:style>
  <w:style w:type="character" w:customStyle="1" w:styleId="BodyTextChar">
    <w:name w:val="Body Text Char"/>
    <w:basedOn w:val="DefaultParagraphFont"/>
    <w:link w:val="BodyText"/>
    <w:uiPriority w:val="99"/>
    <w:rsid w:val="00043311"/>
    <w:rPr>
      <w:rFonts w:eastAsia="Times New Roman" w:cstheme="minorHAnsi"/>
      <w:szCs w:val="24"/>
      <w:lang w:val="en-GB"/>
    </w:rPr>
  </w:style>
  <w:style w:type="paragraph" w:styleId="TOC1">
    <w:name w:val="toc 1"/>
    <w:basedOn w:val="Normal"/>
    <w:next w:val="Normal"/>
    <w:autoRedefine/>
    <w:uiPriority w:val="39"/>
    <w:rsid w:val="00BA7DA4"/>
    <w:pPr>
      <w:tabs>
        <w:tab w:val="left" w:pos="426"/>
        <w:tab w:val="right" w:leader="dot" w:pos="9498"/>
      </w:tabs>
      <w:spacing w:before="100" w:beforeAutospacing="1" w:after="100" w:afterAutospacing="1" w:line="240" w:lineRule="auto"/>
      <w:ind w:left="709" w:hanging="709"/>
    </w:pPr>
    <w:rPr>
      <w:rFonts w:asciiTheme="minorHAnsi" w:hAnsiTheme="minorHAnsi"/>
    </w:rPr>
  </w:style>
  <w:style w:type="paragraph" w:styleId="TOC2">
    <w:name w:val="toc 2"/>
    <w:basedOn w:val="Normal"/>
    <w:next w:val="Normal"/>
    <w:autoRedefine/>
    <w:uiPriority w:val="39"/>
    <w:rsid w:val="00C94DB8"/>
    <w:pPr>
      <w:tabs>
        <w:tab w:val="left" w:pos="1418"/>
        <w:tab w:val="right" w:leader="dot" w:pos="9498"/>
      </w:tabs>
      <w:spacing w:line="240" w:lineRule="auto"/>
      <w:ind w:left="851" w:right="2125" w:hanging="611"/>
    </w:pPr>
    <w:rPr>
      <w:rFonts w:asciiTheme="minorHAnsi" w:hAnsiTheme="minorHAnsi"/>
      <w:noProof/>
    </w:rPr>
  </w:style>
  <w:style w:type="paragraph" w:styleId="TOC3">
    <w:name w:val="toc 3"/>
    <w:basedOn w:val="Normal"/>
    <w:next w:val="Normal"/>
    <w:autoRedefine/>
    <w:uiPriority w:val="39"/>
    <w:rsid w:val="00BA7DA4"/>
    <w:pPr>
      <w:tabs>
        <w:tab w:val="left" w:pos="1134"/>
        <w:tab w:val="right" w:leader="dot" w:pos="9498"/>
      </w:tabs>
      <w:spacing w:line="240" w:lineRule="auto"/>
      <w:ind w:left="1134" w:right="1559" w:hanging="654"/>
    </w:pPr>
    <w:rPr>
      <w:rFonts w:ascii="Arial Narrow" w:hAnsi="Arial Narrow"/>
    </w:rPr>
  </w:style>
  <w:style w:type="table" w:styleId="TableGrid">
    <w:name w:val="Table Grid"/>
    <w:basedOn w:val="TableNormal"/>
    <w:uiPriority w:val="59"/>
    <w:rsid w:val="0004331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043311"/>
    <w:rPr>
      <w:rFonts w:cs="Times New Roman"/>
      <w:sz w:val="16"/>
      <w:szCs w:val="16"/>
    </w:rPr>
  </w:style>
  <w:style w:type="paragraph" w:styleId="CommentText">
    <w:name w:val="annotation text"/>
    <w:basedOn w:val="Normal"/>
    <w:link w:val="CommentTextChar1"/>
    <w:uiPriority w:val="99"/>
    <w:rsid w:val="00043311"/>
    <w:rPr>
      <w:sz w:val="20"/>
      <w:szCs w:val="20"/>
    </w:rPr>
  </w:style>
  <w:style w:type="character" w:customStyle="1" w:styleId="CommentTextChar">
    <w:name w:val="Comment Text Char"/>
    <w:basedOn w:val="DefaultParagraphFont"/>
    <w:uiPriority w:val="99"/>
    <w:rsid w:val="00043311"/>
    <w:rPr>
      <w:rFonts w:ascii="Arial" w:hAnsi="Arial" w:cs="Arial"/>
      <w:sz w:val="20"/>
      <w:szCs w:val="20"/>
      <w:lang w:val="en-NZ"/>
    </w:rPr>
  </w:style>
  <w:style w:type="character" w:customStyle="1" w:styleId="CommentTextChar1">
    <w:name w:val="Comment Text Char1"/>
    <w:basedOn w:val="DefaultParagraphFont"/>
    <w:link w:val="CommentText"/>
    <w:uiPriority w:val="99"/>
    <w:locked/>
    <w:rsid w:val="00043311"/>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rsid w:val="00043311"/>
    <w:rPr>
      <w:b/>
      <w:bCs/>
    </w:rPr>
  </w:style>
  <w:style w:type="character" w:customStyle="1" w:styleId="CommentSubjectChar">
    <w:name w:val="Comment Subject Char"/>
    <w:basedOn w:val="CommentTextChar1"/>
    <w:link w:val="CommentSubject"/>
    <w:uiPriority w:val="99"/>
    <w:semiHidden/>
    <w:rsid w:val="00043311"/>
    <w:rPr>
      <w:rFonts w:ascii="Arial" w:eastAsia="Times New Roman" w:hAnsi="Arial" w:cs="Times New Roman"/>
      <w:b/>
      <w:bCs/>
      <w:sz w:val="20"/>
      <w:szCs w:val="20"/>
    </w:rPr>
  </w:style>
  <w:style w:type="paragraph" w:styleId="BalloonText">
    <w:name w:val="Balloon Text"/>
    <w:basedOn w:val="Normal"/>
    <w:link w:val="BalloonTextChar"/>
    <w:uiPriority w:val="99"/>
    <w:semiHidden/>
    <w:rsid w:val="00043311"/>
    <w:rPr>
      <w:rFonts w:ascii="Tahoma" w:hAnsi="Tahoma" w:cs="Tahoma"/>
      <w:sz w:val="16"/>
      <w:szCs w:val="16"/>
    </w:rPr>
  </w:style>
  <w:style w:type="character" w:customStyle="1" w:styleId="BalloonTextChar">
    <w:name w:val="Balloon Text Char"/>
    <w:basedOn w:val="DefaultParagraphFont"/>
    <w:link w:val="BalloonText"/>
    <w:uiPriority w:val="99"/>
    <w:semiHidden/>
    <w:rsid w:val="00043311"/>
    <w:rPr>
      <w:rFonts w:ascii="Tahoma" w:eastAsia="Times New Roman" w:hAnsi="Tahoma" w:cs="Tahoma"/>
      <w:sz w:val="16"/>
      <w:szCs w:val="16"/>
    </w:rPr>
  </w:style>
  <w:style w:type="paragraph" w:styleId="Caption">
    <w:name w:val="caption"/>
    <w:basedOn w:val="Normal"/>
    <w:next w:val="Normal"/>
    <w:uiPriority w:val="35"/>
    <w:qFormat/>
    <w:rsid w:val="00043311"/>
    <w:pPr>
      <w:spacing w:after="120"/>
    </w:pPr>
    <w:rPr>
      <w:b/>
      <w:bCs/>
      <w:sz w:val="20"/>
      <w:szCs w:val="20"/>
    </w:rPr>
  </w:style>
  <w:style w:type="paragraph" w:styleId="FootnoteText">
    <w:name w:val="footnote text"/>
    <w:basedOn w:val="Normal"/>
    <w:link w:val="FootnoteTextChar"/>
    <w:uiPriority w:val="99"/>
    <w:semiHidden/>
    <w:rsid w:val="00043311"/>
    <w:rPr>
      <w:sz w:val="20"/>
      <w:szCs w:val="20"/>
    </w:rPr>
  </w:style>
  <w:style w:type="character" w:customStyle="1" w:styleId="FootnoteTextChar">
    <w:name w:val="Footnote Text Char"/>
    <w:basedOn w:val="DefaultParagraphFont"/>
    <w:link w:val="FootnoteText"/>
    <w:uiPriority w:val="99"/>
    <w:semiHidden/>
    <w:rsid w:val="00043311"/>
    <w:rPr>
      <w:rFonts w:ascii="Arial" w:eastAsia="Times New Roman" w:hAnsi="Arial" w:cs="Times New Roman"/>
      <w:sz w:val="20"/>
      <w:szCs w:val="20"/>
    </w:rPr>
  </w:style>
  <w:style w:type="character" w:styleId="FootnoteReference">
    <w:name w:val="footnote reference"/>
    <w:basedOn w:val="DefaultParagraphFont"/>
    <w:uiPriority w:val="99"/>
    <w:semiHidden/>
    <w:rsid w:val="00043311"/>
    <w:rPr>
      <w:rFonts w:cs="Times New Roman"/>
      <w:vertAlign w:val="superscript"/>
    </w:rPr>
  </w:style>
  <w:style w:type="paragraph" w:customStyle="1" w:styleId="Default">
    <w:name w:val="Default"/>
    <w:rsid w:val="00043311"/>
    <w:pPr>
      <w:autoSpaceDE w:val="0"/>
      <w:autoSpaceDN w:val="0"/>
      <w:adjustRightInd w:val="0"/>
      <w:spacing w:after="0" w:line="240" w:lineRule="auto"/>
    </w:pPr>
    <w:rPr>
      <w:rFonts w:ascii="Arial" w:eastAsia="Times New Roman" w:hAnsi="Arial" w:cs="Arial"/>
      <w:color w:val="000000"/>
      <w:sz w:val="24"/>
      <w:szCs w:val="24"/>
      <w:lang w:val="en-GB" w:eastAsia="en-GB"/>
    </w:rPr>
  </w:style>
  <w:style w:type="character" w:styleId="Hyperlink">
    <w:name w:val="Hyperlink"/>
    <w:basedOn w:val="DefaultParagraphFont"/>
    <w:uiPriority w:val="99"/>
    <w:rsid w:val="00043311"/>
    <w:rPr>
      <w:rFonts w:cs="Times New Roman"/>
      <w:color w:val="0000FF"/>
      <w:u w:val="single"/>
    </w:rPr>
  </w:style>
  <w:style w:type="character" w:customStyle="1" w:styleId="Normal3">
    <w:name w:val="Normal3"/>
    <w:basedOn w:val="DefaultParagraphFont"/>
    <w:uiPriority w:val="99"/>
    <w:rsid w:val="00043311"/>
    <w:rPr>
      <w:rFonts w:ascii="Times New Roman" w:hAnsi="Times New Roman" w:cs="Times New Roman"/>
      <w:bCs/>
      <w:position w:val="6"/>
      <w:sz w:val="22"/>
      <w:szCs w:val="22"/>
    </w:rPr>
  </w:style>
  <w:style w:type="paragraph" w:customStyle="1" w:styleId="StyleHeading1ArialNarrow12ptBefore6ptAfter6pt">
    <w:name w:val="Style Heading 1 + Arial Narrow 12 pt Before:  6 pt After:  6 pt..."/>
    <w:basedOn w:val="Heading1"/>
    <w:uiPriority w:val="99"/>
    <w:rsid w:val="00043311"/>
    <w:pPr>
      <w:spacing w:after="120"/>
    </w:pPr>
    <w:rPr>
      <w:rFonts w:ascii="Arial Narrow" w:hAnsi="Arial Narrow"/>
      <w:bCs/>
      <w:sz w:val="24"/>
      <w:szCs w:val="20"/>
    </w:rPr>
  </w:style>
  <w:style w:type="paragraph" w:customStyle="1" w:styleId="StyleBodyTextArialNarrow11ptBoldJustifiedBefore6">
    <w:name w:val="Style Body Text + Arial Narrow 11 pt Bold Justified Before:  6 ..."/>
    <w:basedOn w:val="BodyText"/>
    <w:uiPriority w:val="99"/>
    <w:rsid w:val="00043311"/>
    <w:rPr>
      <w:rFonts w:cs="Times New Roman"/>
      <w:b/>
      <w:bCs/>
      <w:szCs w:val="20"/>
    </w:rPr>
  </w:style>
  <w:style w:type="paragraph" w:customStyle="1" w:styleId="StyleHeading114pt">
    <w:name w:val="Style Heading 1 + 14 pt"/>
    <w:basedOn w:val="Heading1"/>
    <w:uiPriority w:val="99"/>
    <w:rsid w:val="00043311"/>
    <w:pPr>
      <w:numPr>
        <w:numId w:val="1"/>
      </w:numPr>
    </w:pPr>
    <w:rPr>
      <w:bCs/>
      <w:sz w:val="28"/>
    </w:rPr>
  </w:style>
  <w:style w:type="paragraph" w:customStyle="1" w:styleId="StyleHeading3Left02cmFirstline0cm">
    <w:name w:val="Style Heading 3 + Left:  0.2 cm First line:  0 cm"/>
    <w:basedOn w:val="Heading3"/>
    <w:next w:val="Normal"/>
    <w:link w:val="StyleHeading3Left02cmFirstline0cmChar"/>
    <w:uiPriority w:val="99"/>
    <w:rsid w:val="00043311"/>
    <w:pPr>
      <w:numPr>
        <w:numId w:val="1"/>
      </w:numPr>
    </w:pPr>
    <w:rPr>
      <w:rFonts w:cs="Times New Roman"/>
      <w:sz w:val="24"/>
      <w:szCs w:val="24"/>
    </w:rPr>
  </w:style>
  <w:style w:type="character" w:customStyle="1" w:styleId="StyleHeading3Left02cmFirstline0cmChar">
    <w:name w:val="Style Heading 3 + Left:  0.2 cm First line:  0 cm Char"/>
    <w:basedOn w:val="Heading3Char"/>
    <w:link w:val="StyleHeading3Left02cmFirstline0cm"/>
    <w:uiPriority w:val="99"/>
    <w:rsid w:val="00043311"/>
    <w:rPr>
      <w:rFonts w:eastAsia="Times New Roman" w:cs="Times New Roman"/>
      <w:b/>
      <w:iCs/>
      <w:color w:val="1F497D"/>
      <w:sz w:val="24"/>
      <w:szCs w:val="24"/>
    </w:rPr>
  </w:style>
  <w:style w:type="paragraph" w:styleId="BodyTextIndent2">
    <w:name w:val="Body Text Indent 2"/>
    <w:basedOn w:val="Normal"/>
    <w:link w:val="BodyTextIndent2Char"/>
    <w:uiPriority w:val="99"/>
    <w:rsid w:val="00043311"/>
    <w:pPr>
      <w:spacing w:after="120"/>
      <w:ind w:left="283"/>
    </w:pPr>
  </w:style>
  <w:style w:type="character" w:customStyle="1" w:styleId="BodyTextIndent2Char">
    <w:name w:val="Body Text Indent 2 Char"/>
    <w:basedOn w:val="DefaultParagraphFont"/>
    <w:link w:val="BodyTextIndent2"/>
    <w:uiPriority w:val="99"/>
    <w:rsid w:val="00043311"/>
    <w:rPr>
      <w:rFonts w:ascii="Arial" w:eastAsia="Times New Roman" w:hAnsi="Arial" w:cs="Times New Roman"/>
      <w:szCs w:val="24"/>
    </w:rPr>
  </w:style>
  <w:style w:type="paragraph" w:customStyle="1" w:styleId="default0">
    <w:name w:val="default"/>
    <w:basedOn w:val="Normal"/>
    <w:uiPriority w:val="99"/>
    <w:rsid w:val="00043311"/>
    <w:pPr>
      <w:autoSpaceDE w:val="0"/>
      <w:autoSpaceDN w:val="0"/>
      <w:spacing w:before="0" w:line="240" w:lineRule="auto"/>
      <w:jc w:val="left"/>
    </w:pPr>
    <w:rPr>
      <w:rFonts w:cs="Arial"/>
      <w:color w:val="000000"/>
      <w:lang w:val="en-GB" w:eastAsia="en-GB"/>
    </w:rPr>
  </w:style>
  <w:style w:type="paragraph" w:styleId="NormalWeb">
    <w:name w:val="Normal (Web)"/>
    <w:basedOn w:val="Normal"/>
    <w:uiPriority w:val="99"/>
    <w:rsid w:val="00043311"/>
    <w:pPr>
      <w:spacing w:before="100" w:beforeAutospacing="1" w:after="100" w:afterAutospacing="1" w:line="240" w:lineRule="auto"/>
      <w:jc w:val="left"/>
    </w:pPr>
    <w:rPr>
      <w:rFonts w:ascii="Times New Roman" w:hAnsi="Times New Roman"/>
      <w:lang w:val="en-GB" w:eastAsia="en-GB"/>
    </w:rPr>
  </w:style>
  <w:style w:type="character" w:customStyle="1" w:styleId="mw-headline">
    <w:name w:val="mw-headline"/>
    <w:basedOn w:val="DefaultParagraphFont"/>
    <w:uiPriority w:val="99"/>
    <w:rsid w:val="00043311"/>
    <w:rPr>
      <w:rFonts w:cs="Times New Roman"/>
    </w:rPr>
  </w:style>
  <w:style w:type="character" w:styleId="FollowedHyperlink">
    <w:name w:val="FollowedHyperlink"/>
    <w:basedOn w:val="DefaultParagraphFont"/>
    <w:uiPriority w:val="99"/>
    <w:rsid w:val="00043311"/>
    <w:rPr>
      <w:rFonts w:cs="Times New Roman"/>
      <w:color w:val="800080"/>
      <w:u w:val="single"/>
    </w:rPr>
  </w:style>
  <w:style w:type="paragraph" w:customStyle="1" w:styleId="Proposalbody">
    <w:name w:val="Proposal body"/>
    <w:basedOn w:val="Normal"/>
    <w:link w:val="ProposalbodyChar"/>
    <w:qFormat/>
    <w:rsid w:val="00043311"/>
    <w:pPr>
      <w:spacing w:before="240" w:after="240" w:line="300" w:lineRule="auto"/>
    </w:pPr>
    <w:rPr>
      <w:rFonts w:ascii="Tahoma" w:hAnsi="Tahoma" w:cs="Arial"/>
      <w:sz w:val="20"/>
      <w:lang w:val="en-GB" w:eastAsia="en-GB"/>
    </w:rPr>
  </w:style>
  <w:style w:type="character" w:customStyle="1" w:styleId="ProposalbodyChar">
    <w:name w:val="Proposal body Char"/>
    <w:basedOn w:val="DefaultParagraphFont"/>
    <w:link w:val="Proposalbody"/>
    <w:locked/>
    <w:rsid w:val="00043311"/>
    <w:rPr>
      <w:rFonts w:ascii="Tahoma" w:eastAsia="Times New Roman" w:hAnsi="Tahoma" w:cs="Arial"/>
      <w:sz w:val="20"/>
      <w:szCs w:val="24"/>
      <w:lang w:val="en-GB" w:eastAsia="en-GB"/>
    </w:rPr>
  </w:style>
  <w:style w:type="paragraph" w:customStyle="1" w:styleId="References">
    <w:name w:val="References"/>
    <w:basedOn w:val="Normal"/>
    <w:qFormat/>
    <w:rsid w:val="00043311"/>
    <w:pPr>
      <w:spacing w:before="0" w:line="276" w:lineRule="auto"/>
      <w:ind w:left="851" w:hanging="851"/>
    </w:pPr>
  </w:style>
  <w:style w:type="paragraph" w:styleId="NoSpacing">
    <w:name w:val="No Spacing"/>
    <w:qFormat/>
    <w:rsid w:val="00043311"/>
    <w:pPr>
      <w:spacing w:after="0" w:line="240" w:lineRule="auto"/>
    </w:pPr>
    <w:rPr>
      <w:rFonts w:ascii="Calibri" w:eastAsia="Calibri" w:hAnsi="Calibri" w:cs="Times New Roman"/>
      <w:lang w:val="en-US"/>
    </w:rPr>
  </w:style>
  <w:style w:type="paragraph" w:styleId="ListParagraph">
    <w:name w:val="List Paragraph"/>
    <w:basedOn w:val="Normal"/>
    <w:uiPriority w:val="34"/>
    <w:qFormat/>
    <w:rsid w:val="00043311"/>
    <w:pPr>
      <w:spacing w:before="0"/>
      <w:ind w:left="720"/>
      <w:contextualSpacing/>
    </w:pPr>
    <w:rPr>
      <w:rFonts w:eastAsia="Calibri"/>
      <w:szCs w:val="22"/>
    </w:rPr>
  </w:style>
  <w:style w:type="paragraph" w:customStyle="1" w:styleId="Chapterheading">
    <w:name w:val="Chapter heading"/>
    <w:basedOn w:val="Heading1"/>
    <w:uiPriority w:val="99"/>
    <w:rsid w:val="00043311"/>
    <w:pPr>
      <w:numPr>
        <w:numId w:val="0"/>
      </w:numPr>
      <w:tabs>
        <w:tab w:val="num" w:pos="359"/>
      </w:tabs>
      <w:ind w:left="359" w:hanging="360"/>
    </w:pPr>
    <w:rPr>
      <w:bCs/>
      <w:sz w:val="28"/>
    </w:rPr>
  </w:style>
  <w:style w:type="paragraph" w:styleId="Quote">
    <w:name w:val="Quote"/>
    <w:basedOn w:val="Normal"/>
    <w:next w:val="Normal"/>
    <w:link w:val="QuoteChar"/>
    <w:uiPriority w:val="29"/>
    <w:qFormat/>
    <w:rsid w:val="00043311"/>
    <w:pPr>
      <w:spacing w:after="240" w:line="240" w:lineRule="auto"/>
      <w:ind w:left="709" w:right="714"/>
    </w:pPr>
    <w:rPr>
      <w:rFonts w:eastAsia="Calibri" w:cs="Arial"/>
      <w:iCs/>
      <w:color w:val="000000"/>
      <w:sz w:val="20"/>
      <w:szCs w:val="22"/>
    </w:rPr>
  </w:style>
  <w:style w:type="character" w:customStyle="1" w:styleId="QuoteChar">
    <w:name w:val="Quote Char"/>
    <w:basedOn w:val="DefaultParagraphFont"/>
    <w:link w:val="Quote"/>
    <w:uiPriority w:val="29"/>
    <w:rsid w:val="00043311"/>
    <w:rPr>
      <w:rFonts w:ascii="Arial" w:eastAsia="Calibri" w:hAnsi="Arial" w:cs="Arial"/>
      <w:iCs/>
      <w:color w:val="000000"/>
      <w:sz w:val="20"/>
    </w:rPr>
  </w:style>
  <w:style w:type="paragraph" w:customStyle="1" w:styleId="Subhead1">
    <w:name w:val="Subhead 1"/>
    <w:basedOn w:val="Normal"/>
    <w:link w:val="Subhead1Char"/>
    <w:qFormat/>
    <w:rsid w:val="00043311"/>
    <w:pPr>
      <w:spacing w:before="0" w:after="240"/>
      <w:ind w:left="567" w:hanging="567"/>
    </w:pPr>
    <w:rPr>
      <w:rFonts w:eastAsia="Calibri" w:cs="Arial"/>
      <w:b/>
      <w:szCs w:val="22"/>
    </w:rPr>
  </w:style>
  <w:style w:type="character" w:customStyle="1" w:styleId="Subhead1Char">
    <w:name w:val="Subhead 1 Char"/>
    <w:basedOn w:val="DefaultParagraphFont"/>
    <w:link w:val="Subhead1"/>
    <w:rsid w:val="00043311"/>
    <w:rPr>
      <w:rFonts w:ascii="Arial" w:eastAsia="Calibri" w:hAnsi="Arial" w:cs="Arial"/>
      <w:b/>
    </w:rPr>
  </w:style>
  <w:style w:type="paragraph" w:customStyle="1" w:styleId="Subhead2a">
    <w:name w:val="Subhead 2a"/>
    <w:basedOn w:val="Normal"/>
    <w:link w:val="Subhead2aChar"/>
    <w:qFormat/>
    <w:rsid w:val="00043311"/>
    <w:pPr>
      <w:tabs>
        <w:tab w:val="left" w:pos="709"/>
      </w:tabs>
      <w:spacing w:before="0"/>
      <w:ind w:left="720" w:hanging="720"/>
    </w:pPr>
    <w:rPr>
      <w:rFonts w:eastAsia="Calibri" w:cs="Arial"/>
      <w:b/>
      <w:szCs w:val="22"/>
    </w:rPr>
  </w:style>
  <w:style w:type="character" w:customStyle="1" w:styleId="Subhead2aChar">
    <w:name w:val="Subhead 2a Char"/>
    <w:basedOn w:val="DefaultParagraphFont"/>
    <w:link w:val="Subhead2a"/>
    <w:rsid w:val="00043311"/>
    <w:rPr>
      <w:rFonts w:ascii="Arial" w:eastAsia="Calibri" w:hAnsi="Arial" w:cs="Arial"/>
      <w:b/>
    </w:rPr>
  </w:style>
  <w:style w:type="paragraph" w:customStyle="1" w:styleId="Subhead3">
    <w:name w:val="Subhead 3"/>
    <w:basedOn w:val="Normal"/>
    <w:link w:val="Subhead3Char"/>
    <w:qFormat/>
    <w:rsid w:val="00043311"/>
    <w:pPr>
      <w:spacing w:before="0" w:after="240"/>
    </w:pPr>
    <w:rPr>
      <w:rFonts w:eastAsia="Calibri" w:cs="Arial"/>
      <w:b/>
      <w:i/>
      <w:szCs w:val="22"/>
    </w:rPr>
  </w:style>
  <w:style w:type="character" w:customStyle="1" w:styleId="Subhead3Char">
    <w:name w:val="Subhead 3 Char"/>
    <w:basedOn w:val="DefaultParagraphFont"/>
    <w:link w:val="Subhead3"/>
    <w:rsid w:val="00043311"/>
    <w:rPr>
      <w:rFonts w:ascii="Arial" w:eastAsia="Calibri" w:hAnsi="Arial" w:cs="Arial"/>
      <w:b/>
      <w:i/>
    </w:rPr>
  </w:style>
  <w:style w:type="paragraph" w:customStyle="1" w:styleId="Subhead2b">
    <w:name w:val="Subhead 2b"/>
    <w:basedOn w:val="Normal"/>
    <w:link w:val="Subhead2bChar"/>
    <w:qFormat/>
    <w:rsid w:val="00043311"/>
    <w:pPr>
      <w:spacing w:before="0" w:after="240"/>
    </w:pPr>
    <w:rPr>
      <w:rFonts w:eastAsia="Calibri" w:cs="Arial"/>
      <w:b/>
      <w:szCs w:val="22"/>
    </w:rPr>
  </w:style>
  <w:style w:type="character" w:customStyle="1" w:styleId="Subhead2bChar">
    <w:name w:val="Subhead 2b Char"/>
    <w:basedOn w:val="DefaultParagraphFont"/>
    <w:link w:val="Subhead2b"/>
    <w:rsid w:val="00043311"/>
    <w:rPr>
      <w:rFonts w:ascii="Arial" w:eastAsia="Calibri" w:hAnsi="Arial" w:cs="Arial"/>
      <w:b/>
    </w:rPr>
  </w:style>
  <w:style w:type="paragraph" w:customStyle="1" w:styleId="Subhead4">
    <w:name w:val="Subhead 4"/>
    <w:basedOn w:val="Normal"/>
    <w:link w:val="Subhead4Char"/>
    <w:qFormat/>
    <w:rsid w:val="00043311"/>
    <w:pPr>
      <w:spacing w:before="0" w:after="240"/>
    </w:pPr>
    <w:rPr>
      <w:rFonts w:eastAsia="Calibri" w:cs="Arial"/>
      <w:i/>
      <w:szCs w:val="22"/>
      <w:lang w:val="en-GB" w:eastAsia="en-GB"/>
    </w:rPr>
  </w:style>
  <w:style w:type="character" w:customStyle="1" w:styleId="Subhead4Char">
    <w:name w:val="Subhead 4 Char"/>
    <w:basedOn w:val="DefaultParagraphFont"/>
    <w:link w:val="Subhead4"/>
    <w:rsid w:val="00043311"/>
    <w:rPr>
      <w:rFonts w:ascii="Arial" w:eastAsia="Calibri" w:hAnsi="Arial" w:cs="Arial"/>
      <w:i/>
      <w:lang w:val="en-GB" w:eastAsia="en-GB"/>
    </w:rPr>
  </w:style>
  <w:style w:type="character" w:styleId="Strong">
    <w:name w:val="Strong"/>
    <w:basedOn w:val="DefaultParagraphFont"/>
    <w:uiPriority w:val="22"/>
    <w:qFormat/>
    <w:rsid w:val="00043311"/>
    <w:rPr>
      <w:b/>
      <w:bCs/>
    </w:rPr>
  </w:style>
  <w:style w:type="paragraph" w:customStyle="1" w:styleId="TableData">
    <w:name w:val="Table Data"/>
    <w:basedOn w:val="Normal"/>
    <w:link w:val="TableDataChar"/>
    <w:qFormat/>
    <w:rsid w:val="00043311"/>
    <w:pPr>
      <w:spacing w:before="0" w:line="240" w:lineRule="auto"/>
    </w:pPr>
    <w:rPr>
      <w:rFonts w:eastAsia="Calibri" w:cs="Arial"/>
      <w:sz w:val="20"/>
      <w:szCs w:val="20"/>
    </w:rPr>
  </w:style>
  <w:style w:type="character" w:customStyle="1" w:styleId="TableDataChar">
    <w:name w:val="Table Data Char"/>
    <w:basedOn w:val="DefaultParagraphFont"/>
    <w:link w:val="TableData"/>
    <w:rsid w:val="00043311"/>
    <w:rPr>
      <w:rFonts w:ascii="Arial" w:eastAsia="Calibri" w:hAnsi="Arial" w:cs="Arial"/>
      <w:sz w:val="20"/>
      <w:szCs w:val="20"/>
    </w:rPr>
  </w:style>
  <w:style w:type="paragraph" w:styleId="IntenseQuote">
    <w:name w:val="Intense Quote"/>
    <w:basedOn w:val="Normal"/>
    <w:next w:val="Normal"/>
    <w:link w:val="IntenseQuoteChar"/>
    <w:uiPriority w:val="30"/>
    <w:qFormat/>
    <w:rsid w:val="00043311"/>
    <w:pPr>
      <w:pBdr>
        <w:bottom w:val="single" w:sz="4" w:space="4" w:color="4F81BD"/>
      </w:pBdr>
      <w:spacing w:before="200" w:after="280"/>
      <w:ind w:left="936" w:right="936"/>
    </w:pPr>
    <w:rPr>
      <w:rFonts w:eastAsia="Calibri" w:cs="Arial"/>
      <w:b/>
      <w:bCs/>
      <w:i/>
      <w:iCs/>
      <w:color w:val="4F81BD"/>
      <w:szCs w:val="22"/>
    </w:rPr>
  </w:style>
  <w:style w:type="character" w:customStyle="1" w:styleId="IntenseQuoteChar">
    <w:name w:val="Intense Quote Char"/>
    <w:basedOn w:val="DefaultParagraphFont"/>
    <w:link w:val="IntenseQuote"/>
    <w:uiPriority w:val="30"/>
    <w:rsid w:val="00043311"/>
    <w:rPr>
      <w:rFonts w:ascii="Arial" w:eastAsia="Calibri" w:hAnsi="Arial" w:cs="Arial"/>
      <w:b/>
      <w:bCs/>
      <w:i/>
      <w:iCs/>
      <w:color w:val="4F81BD"/>
    </w:rPr>
  </w:style>
  <w:style w:type="paragraph" w:customStyle="1" w:styleId="WEQuoteChar">
    <w:name w:val="WEQuote Char"/>
    <w:basedOn w:val="Normal"/>
    <w:link w:val="WEQuoteCharChar"/>
    <w:qFormat/>
    <w:rsid w:val="00043311"/>
    <w:pPr>
      <w:spacing w:before="0"/>
      <w:ind w:left="709" w:right="713"/>
    </w:pPr>
    <w:rPr>
      <w:rFonts w:eastAsia="Calibri"/>
      <w:sz w:val="20"/>
      <w:szCs w:val="22"/>
    </w:rPr>
  </w:style>
  <w:style w:type="character" w:customStyle="1" w:styleId="WEQuoteCharChar">
    <w:name w:val="WEQuote Char Char"/>
    <w:basedOn w:val="DefaultParagraphFont"/>
    <w:link w:val="WEQuoteChar"/>
    <w:rsid w:val="00043311"/>
    <w:rPr>
      <w:rFonts w:ascii="Arial" w:eastAsia="Calibri" w:hAnsi="Arial" w:cs="Times New Roman"/>
      <w:sz w:val="20"/>
    </w:rPr>
  </w:style>
  <w:style w:type="paragraph" w:customStyle="1" w:styleId="FigCaption">
    <w:name w:val="Fig Caption"/>
    <w:basedOn w:val="TableData"/>
    <w:link w:val="FigCaptionChar"/>
    <w:qFormat/>
    <w:rsid w:val="00043311"/>
    <w:pPr>
      <w:spacing w:line="480" w:lineRule="auto"/>
    </w:pPr>
    <w:rPr>
      <w:sz w:val="24"/>
    </w:rPr>
  </w:style>
  <w:style w:type="character" w:customStyle="1" w:styleId="FigCaptionChar">
    <w:name w:val="Fig Caption Char"/>
    <w:basedOn w:val="TableDataChar"/>
    <w:link w:val="FigCaption"/>
    <w:rsid w:val="00043311"/>
    <w:rPr>
      <w:rFonts w:ascii="Arial" w:eastAsia="Calibri" w:hAnsi="Arial" w:cs="Arial"/>
      <w:sz w:val="24"/>
      <w:szCs w:val="20"/>
    </w:rPr>
  </w:style>
  <w:style w:type="paragraph" w:customStyle="1" w:styleId="ChapterHeading0">
    <w:name w:val="Chapter Heading"/>
    <w:basedOn w:val="Normal"/>
    <w:link w:val="ChapterHeadingChar"/>
    <w:qFormat/>
    <w:rsid w:val="00043311"/>
    <w:pPr>
      <w:spacing w:before="0"/>
      <w:jc w:val="center"/>
    </w:pPr>
    <w:rPr>
      <w:rFonts w:eastAsia="Calibri"/>
      <w:b/>
      <w:sz w:val="28"/>
      <w:szCs w:val="22"/>
    </w:rPr>
  </w:style>
  <w:style w:type="character" w:customStyle="1" w:styleId="ChapterHeadingChar">
    <w:name w:val="Chapter Heading Char"/>
    <w:basedOn w:val="DefaultParagraphFont"/>
    <w:link w:val="ChapterHeading0"/>
    <w:rsid w:val="00043311"/>
    <w:rPr>
      <w:rFonts w:ascii="Arial" w:eastAsia="Calibri" w:hAnsi="Arial" w:cs="Times New Roman"/>
      <w:b/>
      <w:sz w:val="28"/>
    </w:rPr>
  </w:style>
  <w:style w:type="character" w:customStyle="1" w:styleId="TableCaptionChar">
    <w:name w:val="Table Caption Char"/>
    <w:basedOn w:val="TableDataChar"/>
    <w:rsid w:val="00043311"/>
    <w:rPr>
      <w:rFonts w:ascii="Arial" w:eastAsia="Calibri" w:hAnsi="Arial" w:cs="Arial"/>
      <w:sz w:val="20"/>
      <w:szCs w:val="20"/>
    </w:rPr>
  </w:style>
  <w:style w:type="paragraph" w:customStyle="1" w:styleId="TableDataBOLD">
    <w:name w:val="Table Data BOLD"/>
    <w:basedOn w:val="TableData"/>
    <w:qFormat/>
    <w:rsid w:val="00043311"/>
    <w:rPr>
      <w:b/>
    </w:rPr>
  </w:style>
  <w:style w:type="paragraph" w:customStyle="1" w:styleId="TableCaption">
    <w:name w:val="Table Caption"/>
    <w:basedOn w:val="FigCaption"/>
    <w:link w:val="TableCaptionChar1"/>
    <w:qFormat/>
    <w:rsid w:val="00043311"/>
    <w:rPr>
      <w:i/>
    </w:rPr>
  </w:style>
  <w:style w:type="character" w:customStyle="1" w:styleId="TableCaptionChar1">
    <w:name w:val="Table Caption Char1"/>
    <w:basedOn w:val="FigCaptionChar"/>
    <w:link w:val="TableCaption"/>
    <w:rsid w:val="00043311"/>
    <w:rPr>
      <w:rFonts w:ascii="Arial" w:eastAsia="Calibri" w:hAnsi="Arial" w:cs="Arial"/>
      <w:i/>
      <w:sz w:val="24"/>
      <w:szCs w:val="20"/>
    </w:rPr>
  </w:style>
  <w:style w:type="paragraph" w:customStyle="1" w:styleId="bullet">
    <w:name w:val="bullet"/>
    <w:basedOn w:val="Paragraph"/>
    <w:link w:val="bulletChar"/>
    <w:qFormat/>
    <w:rsid w:val="00043311"/>
    <w:pPr>
      <w:numPr>
        <w:numId w:val="5"/>
      </w:numPr>
    </w:pPr>
  </w:style>
  <w:style w:type="character" w:customStyle="1" w:styleId="bulletChar">
    <w:name w:val="bullet Char"/>
    <w:basedOn w:val="ParagraphChar"/>
    <w:link w:val="bullet"/>
    <w:rsid w:val="00043311"/>
    <w:rPr>
      <w:rFonts w:ascii="Arial" w:eastAsia="Times New Roman" w:hAnsi="Arial" w:cs="Times New Roman"/>
      <w:szCs w:val="24"/>
    </w:rPr>
  </w:style>
  <w:style w:type="paragraph" w:customStyle="1" w:styleId="bulletnumbered">
    <w:name w:val="bullet numbered"/>
    <w:basedOn w:val="Paragraph"/>
    <w:link w:val="bulletnumberedChar"/>
    <w:qFormat/>
    <w:rsid w:val="00043311"/>
    <w:pPr>
      <w:numPr>
        <w:numId w:val="4"/>
      </w:numPr>
    </w:pPr>
  </w:style>
  <w:style w:type="character" w:customStyle="1" w:styleId="bulletnumberedChar">
    <w:name w:val="bullet numbered Char"/>
    <w:basedOn w:val="ParagraphChar"/>
    <w:link w:val="bulletnumbered"/>
    <w:rsid w:val="00043311"/>
    <w:rPr>
      <w:rFonts w:ascii="Arial" w:eastAsia="Times New Roman" w:hAnsi="Arial" w:cs="Times New Roman"/>
      <w:szCs w:val="24"/>
    </w:rPr>
  </w:style>
  <w:style w:type="paragraph" w:customStyle="1" w:styleId="Footer2">
    <w:name w:val="Footer2"/>
    <w:basedOn w:val="Footer"/>
    <w:link w:val="Footer2Char"/>
    <w:qFormat/>
    <w:rsid w:val="00043311"/>
    <w:pPr>
      <w:ind w:right="360"/>
      <w:jc w:val="center"/>
    </w:pPr>
    <w:rPr>
      <w:sz w:val="20"/>
    </w:rPr>
  </w:style>
  <w:style w:type="character" w:customStyle="1" w:styleId="Footer2Char">
    <w:name w:val="Footer2 Char"/>
    <w:basedOn w:val="FooterChar"/>
    <w:link w:val="Footer2"/>
    <w:rsid w:val="00043311"/>
    <w:rPr>
      <w:rFonts w:ascii="Arial" w:eastAsia="Times New Roman" w:hAnsi="Arial" w:cs="Times New Roman"/>
      <w:sz w:val="20"/>
      <w:szCs w:val="20"/>
    </w:rPr>
  </w:style>
  <w:style w:type="paragraph" w:customStyle="1" w:styleId="Subhead3a">
    <w:name w:val="Subhead 3a"/>
    <w:basedOn w:val="StyleHeading212pt"/>
    <w:link w:val="Subhead3aChar"/>
    <w:qFormat/>
    <w:rsid w:val="00043311"/>
  </w:style>
  <w:style w:type="character" w:customStyle="1" w:styleId="Subhead3aChar">
    <w:name w:val="Subhead 3a Char"/>
    <w:basedOn w:val="StyleHeading212ptChar"/>
    <w:link w:val="Subhead3a"/>
    <w:rsid w:val="00043311"/>
    <w:rPr>
      <w:rFonts w:eastAsia="Times New Roman" w:cstheme="minorHAnsi"/>
      <w:b/>
      <w:bCs/>
      <w:iCs/>
      <w:color w:val="1F497D"/>
    </w:rPr>
  </w:style>
  <w:style w:type="paragraph" w:customStyle="1" w:styleId="Subhead3b">
    <w:name w:val="Subhead 3b"/>
    <w:basedOn w:val="StyleHeading3Left02cmFirstline0cm"/>
    <w:link w:val="Subhead3bChar"/>
    <w:qFormat/>
    <w:rsid w:val="00043311"/>
    <w:pPr>
      <w:numPr>
        <w:numId w:val="2"/>
      </w:numPr>
      <w:spacing w:before="120" w:after="120"/>
    </w:pPr>
  </w:style>
  <w:style w:type="character" w:customStyle="1" w:styleId="Subhead3bChar">
    <w:name w:val="Subhead 3b Char"/>
    <w:basedOn w:val="StyleHeading3Left02cmFirstline0cmChar"/>
    <w:link w:val="Subhead3b"/>
    <w:rsid w:val="00043311"/>
    <w:rPr>
      <w:rFonts w:eastAsia="Times New Roman" w:cs="Times New Roman"/>
      <w:b/>
      <w:iCs/>
      <w:color w:val="1F497D"/>
      <w:sz w:val="24"/>
      <w:szCs w:val="24"/>
    </w:rPr>
  </w:style>
  <w:style w:type="paragraph" w:customStyle="1" w:styleId="Subhead4a">
    <w:name w:val="Subhead 4a"/>
    <w:basedOn w:val="Subhead1"/>
    <w:link w:val="Subhead4aChar"/>
    <w:qFormat/>
    <w:rsid w:val="00043311"/>
    <w:pPr>
      <w:numPr>
        <w:numId w:val="6"/>
      </w:numPr>
      <w:ind w:hanging="720"/>
    </w:pPr>
  </w:style>
  <w:style w:type="character" w:customStyle="1" w:styleId="Subhead4aChar">
    <w:name w:val="Subhead 4a Char"/>
    <w:basedOn w:val="Subhead1Char"/>
    <w:link w:val="Subhead4a"/>
    <w:rsid w:val="00043311"/>
    <w:rPr>
      <w:rFonts w:ascii="Arial" w:eastAsia="Calibri" w:hAnsi="Arial" w:cs="Arial"/>
      <w:b/>
    </w:rPr>
  </w:style>
  <w:style w:type="paragraph" w:customStyle="1" w:styleId="Subhead4b">
    <w:name w:val="Subhead 4b"/>
    <w:basedOn w:val="Subhead2a"/>
    <w:link w:val="Subhead4bChar"/>
    <w:qFormat/>
    <w:rsid w:val="00043311"/>
    <w:pPr>
      <w:numPr>
        <w:numId w:val="3"/>
      </w:numPr>
      <w:ind w:hanging="720"/>
    </w:pPr>
    <w:rPr>
      <w:sz w:val="24"/>
    </w:rPr>
  </w:style>
  <w:style w:type="character" w:customStyle="1" w:styleId="Subhead4bChar">
    <w:name w:val="Subhead 4b Char"/>
    <w:basedOn w:val="Subhead2aChar"/>
    <w:link w:val="Subhead4b"/>
    <w:rsid w:val="00043311"/>
    <w:rPr>
      <w:rFonts w:ascii="Arial" w:eastAsia="Calibri" w:hAnsi="Arial" w:cs="Arial"/>
      <w:b/>
      <w:sz w:val="24"/>
    </w:rPr>
  </w:style>
  <w:style w:type="character" w:customStyle="1" w:styleId="CharCharCharChar">
    <w:name w:val="Char Char Char Char"/>
    <w:basedOn w:val="DefaultParagraphFont"/>
    <w:locked/>
    <w:rsid w:val="00043311"/>
    <w:rPr>
      <w:rFonts w:ascii="Arial" w:hAnsi="Arial"/>
      <w:sz w:val="24"/>
      <w:szCs w:val="24"/>
      <w:lang w:val="en-NZ" w:eastAsia="en-US" w:bidi="ar-SA"/>
    </w:rPr>
  </w:style>
  <w:style w:type="character" w:customStyle="1" w:styleId="Subhead4CharChar">
    <w:name w:val="Subhead 4 Char Char"/>
    <w:basedOn w:val="DefaultParagraphFont"/>
    <w:rsid w:val="00043311"/>
    <w:rPr>
      <w:rFonts w:ascii="Arial" w:eastAsia="Calibri" w:hAnsi="Arial" w:cs="Arial"/>
      <w:i/>
      <w:sz w:val="24"/>
      <w:szCs w:val="22"/>
      <w:lang w:val="en-GB" w:eastAsia="en-GB" w:bidi="ar-SA"/>
    </w:rPr>
  </w:style>
  <w:style w:type="character" w:customStyle="1" w:styleId="WEQuoteCharCharChar">
    <w:name w:val="WEQuote Char Char Char"/>
    <w:basedOn w:val="DefaultParagraphFont"/>
    <w:rsid w:val="00043311"/>
    <w:rPr>
      <w:rFonts w:ascii="Arial" w:eastAsia="Calibri" w:hAnsi="Arial"/>
      <w:sz w:val="24"/>
      <w:szCs w:val="22"/>
      <w:lang w:val="en-NZ" w:eastAsia="en-US" w:bidi="ar-SA"/>
    </w:rPr>
  </w:style>
  <w:style w:type="character" w:customStyle="1" w:styleId="ParagraphCharChar">
    <w:name w:val="Paragraph Char Char"/>
    <w:basedOn w:val="DefaultParagraphFont"/>
    <w:rsid w:val="00043311"/>
    <w:rPr>
      <w:rFonts w:ascii="Arial" w:hAnsi="Arial"/>
      <w:sz w:val="24"/>
      <w:szCs w:val="24"/>
      <w:lang w:val="en-NZ" w:eastAsia="en-US" w:bidi="ar-SA"/>
    </w:rPr>
  </w:style>
  <w:style w:type="paragraph" w:styleId="TableofFigures">
    <w:name w:val="table of figures"/>
    <w:basedOn w:val="Normal"/>
    <w:next w:val="Normal"/>
    <w:uiPriority w:val="99"/>
    <w:rsid w:val="008F0B35"/>
    <w:pPr>
      <w:spacing w:line="240" w:lineRule="auto"/>
    </w:pPr>
    <w:rPr>
      <w:rFonts w:asciiTheme="minorHAnsi" w:hAnsiTheme="minorHAnsi"/>
    </w:rPr>
  </w:style>
  <w:style w:type="paragraph" w:customStyle="1" w:styleId="para">
    <w:name w:val="para"/>
    <w:basedOn w:val="Normal"/>
    <w:rsid w:val="00043311"/>
    <w:pPr>
      <w:spacing w:before="100" w:beforeAutospacing="1" w:after="100" w:afterAutospacing="1" w:line="240" w:lineRule="auto"/>
      <w:jc w:val="left"/>
    </w:pPr>
    <w:rPr>
      <w:rFonts w:ascii="Times New Roman" w:eastAsia="Calibri" w:hAnsi="Times New Roman"/>
      <w:lang w:val="en-US"/>
    </w:rPr>
  </w:style>
  <w:style w:type="character" w:customStyle="1" w:styleId="A9">
    <w:name w:val="A9"/>
    <w:rsid w:val="00043311"/>
    <w:rPr>
      <w:rFonts w:cs="VPQWJA+OfficinaSans-Book"/>
      <w:color w:val="000000"/>
      <w:sz w:val="15"/>
      <w:szCs w:val="15"/>
    </w:rPr>
  </w:style>
  <w:style w:type="character" w:styleId="Emphasis">
    <w:name w:val="Emphasis"/>
    <w:basedOn w:val="DefaultParagraphFont"/>
    <w:uiPriority w:val="20"/>
    <w:qFormat/>
    <w:rsid w:val="00043311"/>
    <w:rPr>
      <w:i/>
      <w:iCs/>
    </w:rPr>
  </w:style>
  <w:style w:type="paragraph" w:styleId="DocumentMap">
    <w:name w:val="Document Map"/>
    <w:basedOn w:val="Normal"/>
    <w:link w:val="DocumentMapChar"/>
    <w:semiHidden/>
    <w:rsid w:val="0004331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043311"/>
    <w:rPr>
      <w:rFonts w:ascii="Tahoma" w:eastAsia="Times New Roman" w:hAnsi="Tahoma" w:cs="Tahoma"/>
      <w:sz w:val="20"/>
      <w:szCs w:val="20"/>
      <w:shd w:val="clear" w:color="auto" w:fill="000080"/>
    </w:rPr>
  </w:style>
  <w:style w:type="paragraph" w:styleId="Revision">
    <w:name w:val="Revision"/>
    <w:hidden/>
    <w:uiPriority w:val="99"/>
    <w:semiHidden/>
    <w:rsid w:val="00043311"/>
    <w:pPr>
      <w:spacing w:after="0" w:line="240" w:lineRule="auto"/>
    </w:pPr>
    <w:rPr>
      <w:rFonts w:ascii="Arial" w:eastAsia="Times New Roman" w:hAnsi="Arial" w:cs="Times New Roman"/>
      <w:sz w:val="24"/>
      <w:szCs w:val="24"/>
    </w:rPr>
  </w:style>
  <w:style w:type="paragraph" w:customStyle="1" w:styleId="Titlepage">
    <w:name w:val="Title page"/>
    <w:basedOn w:val="CommentText"/>
    <w:link w:val="TitlepageChar"/>
    <w:qFormat/>
    <w:rsid w:val="00043311"/>
    <w:pPr>
      <w:pBdr>
        <w:bottom w:val="single" w:sz="4" w:space="1" w:color="0070C0"/>
      </w:pBdr>
      <w:spacing w:before="0" w:after="300" w:line="240" w:lineRule="auto"/>
      <w:contextualSpacing/>
      <w:jc w:val="center"/>
    </w:pPr>
    <w:rPr>
      <w:color w:val="000000"/>
      <w:spacing w:val="5"/>
      <w:kern w:val="28"/>
      <w:sz w:val="52"/>
      <w:szCs w:val="52"/>
    </w:rPr>
  </w:style>
  <w:style w:type="character" w:customStyle="1" w:styleId="TitlepageChar">
    <w:name w:val="Title page Char"/>
    <w:basedOn w:val="TitleChar"/>
    <w:link w:val="Titlepage"/>
    <w:rsid w:val="00043311"/>
    <w:rPr>
      <w:rFonts w:ascii="Arial" w:eastAsia="Times New Roman" w:hAnsi="Arial" w:cs="Times New Roman"/>
      <w:color w:val="000000"/>
      <w:spacing w:val="5"/>
      <w:kern w:val="28"/>
      <w:sz w:val="52"/>
      <w:szCs w:val="52"/>
    </w:rPr>
  </w:style>
  <w:style w:type="character" w:customStyle="1" w:styleId="TitleChar">
    <w:name w:val="Title Char"/>
    <w:basedOn w:val="DefaultParagraphFont"/>
    <w:link w:val="Title"/>
    <w:uiPriority w:val="10"/>
    <w:rsid w:val="00043311"/>
    <w:rPr>
      <w:rFonts w:ascii="Cambria" w:eastAsia="Times New Roman" w:hAnsi="Cambria" w:cs="Times New Roman"/>
      <w:color w:val="17365D"/>
      <w:spacing w:val="5"/>
      <w:kern w:val="28"/>
      <w:sz w:val="52"/>
      <w:szCs w:val="52"/>
    </w:rPr>
  </w:style>
  <w:style w:type="paragraph" w:styleId="Title">
    <w:name w:val="Title"/>
    <w:basedOn w:val="Normal"/>
    <w:next w:val="Normal"/>
    <w:link w:val="TitleChar"/>
    <w:uiPriority w:val="10"/>
    <w:qFormat/>
    <w:rsid w:val="00043311"/>
    <w:pPr>
      <w:pBdr>
        <w:bottom w:val="single" w:sz="8" w:space="4" w:color="4F81BD"/>
      </w:pBdr>
      <w:spacing w:before="0" w:after="300" w:line="240" w:lineRule="auto"/>
      <w:contextualSpacing/>
    </w:pPr>
    <w:rPr>
      <w:rFonts w:ascii="Cambria" w:hAnsi="Cambria"/>
      <w:color w:val="17365D"/>
      <w:spacing w:val="5"/>
      <w:kern w:val="28"/>
      <w:sz w:val="52"/>
      <w:szCs w:val="52"/>
    </w:rPr>
  </w:style>
  <w:style w:type="character" w:customStyle="1" w:styleId="TitleChar1">
    <w:name w:val="Title Char1"/>
    <w:basedOn w:val="DefaultParagraphFont"/>
    <w:uiPriority w:val="10"/>
    <w:rsid w:val="00043311"/>
    <w:rPr>
      <w:rFonts w:asciiTheme="majorHAnsi" w:eastAsiaTheme="majorEastAsia" w:hAnsiTheme="majorHAnsi" w:cstheme="majorBidi"/>
      <w:color w:val="17365D" w:themeColor="text2" w:themeShade="BF"/>
      <w:spacing w:val="5"/>
      <w:kern w:val="28"/>
      <w:sz w:val="52"/>
      <w:szCs w:val="52"/>
    </w:rPr>
  </w:style>
  <w:style w:type="paragraph" w:customStyle="1" w:styleId="Titlepage2">
    <w:name w:val="Title page2"/>
    <w:basedOn w:val="Normal"/>
    <w:link w:val="Titlepage2Char"/>
    <w:qFormat/>
    <w:rsid w:val="00043311"/>
    <w:pPr>
      <w:spacing w:before="0" w:line="240" w:lineRule="auto"/>
      <w:jc w:val="center"/>
    </w:pPr>
    <w:rPr>
      <w:rFonts w:eastAsia="Calibri"/>
      <w:b/>
      <w:sz w:val="28"/>
      <w:szCs w:val="22"/>
    </w:rPr>
  </w:style>
  <w:style w:type="character" w:customStyle="1" w:styleId="Titlepage2Char">
    <w:name w:val="Title page2 Char"/>
    <w:basedOn w:val="DefaultParagraphFont"/>
    <w:link w:val="Titlepage2"/>
    <w:rsid w:val="00043311"/>
    <w:rPr>
      <w:rFonts w:ascii="Arial" w:eastAsia="Calibri" w:hAnsi="Arial" w:cs="Times New Roman"/>
      <w:b/>
      <w:sz w:val="28"/>
    </w:rPr>
  </w:style>
  <w:style w:type="paragraph" w:customStyle="1" w:styleId="FionasHeading3">
    <w:name w:val="Fiona's Heading 3"/>
    <w:basedOn w:val="Paragraph"/>
    <w:next w:val="Paragraph"/>
    <w:link w:val="FionasHeading3Char"/>
    <w:qFormat/>
    <w:rsid w:val="00043311"/>
    <w:pPr>
      <w:ind w:right="22"/>
    </w:pPr>
    <w:rPr>
      <w:rFonts w:cs="Arial"/>
      <w:b/>
      <w:bCs/>
      <w:iCs/>
      <w:color w:val="1F497D"/>
    </w:rPr>
  </w:style>
  <w:style w:type="character" w:customStyle="1" w:styleId="FionasHeading3Char">
    <w:name w:val="Fiona's Heading 3 Char"/>
    <w:basedOn w:val="ParagraphChar"/>
    <w:link w:val="FionasHeading3"/>
    <w:rsid w:val="00043311"/>
    <w:rPr>
      <w:rFonts w:ascii="Arial" w:eastAsia="Times New Roman" w:hAnsi="Arial" w:cs="Arial"/>
      <w:b/>
      <w:bCs/>
      <w:iCs/>
      <w:color w:val="1F497D"/>
      <w:szCs w:val="24"/>
    </w:rPr>
  </w:style>
  <w:style w:type="paragraph" w:styleId="TOCHeading">
    <w:name w:val="TOC Heading"/>
    <w:basedOn w:val="Heading1"/>
    <w:next w:val="Normal"/>
    <w:uiPriority w:val="39"/>
    <w:unhideWhenUsed/>
    <w:qFormat/>
    <w:rsid w:val="00043311"/>
    <w:pPr>
      <w:keepLines/>
      <w:pageBreakBefore w:val="0"/>
      <w:numPr>
        <w:numId w:val="0"/>
      </w:numPr>
      <w:spacing w:before="480" w:line="276" w:lineRule="auto"/>
      <w:jc w:val="left"/>
      <w:outlineLvl w:val="9"/>
    </w:pPr>
    <w:rPr>
      <w:rFonts w:ascii="Cambria" w:hAnsi="Cambria"/>
      <w:bCs/>
      <w:caps w:val="0"/>
      <w:color w:val="365F91"/>
      <w:sz w:val="28"/>
      <w:szCs w:val="28"/>
      <w:lang w:val="en-US"/>
    </w:rPr>
  </w:style>
  <w:style w:type="paragraph" w:customStyle="1" w:styleId="LPPtext">
    <w:name w:val="LPP text"/>
    <w:basedOn w:val="Normal"/>
    <w:link w:val="LPPtextChar"/>
    <w:uiPriority w:val="99"/>
    <w:rsid w:val="00043311"/>
    <w:pPr>
      <w:spacing w:before="0" w:after="120" w:line="240" w:lineRule="auto"/>
    </w:pPr>
    <w:rPr>
      <w:rFonts w:ascii="Calibri" w:hAnsi="Calibri"/>
      <w:sz w:val="24"/>
      <w:szCs w:val="20"/>
      <w:lang w:val="en-GB" w:eastAsia="en-GB"/>
    </w:rPr>
  </w:style>
  <w:style w:type="character" w:customStyle="1" w:styleId="LPPtextChar">
    <w:name w:val="LPP text Char"/>
    <w:basedOn w:val="DefaultParagraphFont"/>
    <w:link w:val="LPPtext"/>
    <w:uiPriority w:val="99"/>
    <w:locked/>
    <w:rsid w:val="00043311"/>
    <w:rPr>
      <w:rFonts w:ascii="Calibri" w:eastAsia="Times New Roman" w:hAnsi="Calibri" w:cs="Times New Roman"/>
      <w:sz w:val="24"/>
      <w:szCs w:val="20"/>
      <w:lang w:val="en-GB" w:eastAsia="en-GB"/>
    </w:rPr>
  </w:style>
  <w:style w:type="paragraph" w:styleId="EndnoteText">
    <w:name w:val="endnote text"/>
    <w:basedOn w:val="Normal"/>
    <w:link w:val="EndnoteTextChar"/>
    <w:uiPriority w:val="99"/>
    <w:semiHidden/>
    <w:unhideWhenUsed/>
    <w:rsid w:val="00043311"/>
    <w:pPr>
      <w:spacing w:before="0" w:line="240" w:lineRule="auto"/>
    </w:pPr>
    <w:rPr>
      <w:rFonts w:ascii="Calibri" w:eastAsia="Calibri" w:hAnsi="Calibri"/>
      <w:sz w:val="20"/>
      <w:szCs w:val="20"/>
    </w:rPr>
  </w:style>
  <w:style w:type="character" w:customStyle="1" w:styleId="EndnoteTextChar">
    <w:name w:val="Endnote Text Char"/>
    <w:basedOn w:val="DefaultParagraphFont"/>
    <w:link w:val="EndnoteText"/>
    <w:uiPriority w:val="99"/>
    <w:semiHidden/>
    <w:rsid w:val="00043311"/>
    <w:rPr>
      <w:rFonts w:ascii="Calibri" w:eastAsia="Calibri" w:hAnsi="Calibri" w:cs="Times New Roman"/>
      <w:sz w:val="20"/>
      <w:szCs w:val="20"/>
    </w:rPr>
  </w:style>
  <w:style w:type="paragraph" w:customStyle="1" w:styleId="FionasAppendixtitles">
    <w:name w:val="Fiona's Appendix titles"/>
    <w:basedOn w:val="Heading2"/>
    <w:next w:val="Normal"/>
    <w:link w:val="FionasAppendixtitlesChar"/>
    <w:qFormat/>
    <w:rsid w:val="008C18FD"/>
    <w:pPr>
      <w:numPr>
        <w:ilvl w:val="0"/>
        <w:numId w:val="7"/>
      </w:numPr>
    </w:pPr>
    <w:rPr>
      <w:szCs w:val="24"/>
    </w:rPr>
  </w:style>
  <w:style w:type="character" w:customStyle="1" w:styleId="FionasAppendixtitlesChar">
    <w:name w:val="Fiona's Appendix titles Char"/>
    <w:basedOn w:val="FionasHeading3Char"/>
    <w:link w:val="FionasAppendixtitles"/>
    <w:rsid w:val="008C18FD"/>
    <w:rPr>
      <w:rFonts w:ascii="Arial" w:eastAsia="Times New Roman" w:hAnsi="Arial" w:cstheme="minorHAnsi"/>
      <w:b/>
      <w:bCs/>
      <w:iCs/>
      <w:color w:val="1F497D"/>
      <w:szCs w:val="24"/>
    </w:rPr>
  </w:style>
  <w:style w:type="character" w:customStyle="1" w:styleId="rwrro4">
    <w:name w:val="rwrro4"/>
    <w:basedOn w:val="DefaultParagraphFont"/>
    <w:rsid w:val="00043311"/>
    <w:rPr>
      <w:strike w:val="0"/>
      <w:dstrike w:val="0"/>
      <w:color w:val="408CD9"/>
      <w:u w:val="none"/>
      <w:effect w:val="none"/>
    </w:rPr>
  </w:style>
  <w:style w:type="table" w:customStyle="1" w:styleId="TableGrid1">
    <w:name w:val="Table Grid1"/>
    <w:basedOn w:val="TableNormal"/>
    <w:next w:val="TableGrid"/>
    <w:uiPriority w:val="59"/>
    <w:rsid w:val="000433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43311"/>
    <w:pPr>
      <w:spacing w:after="0" w:line="240" w:lineRule="auto"/>
    </w:pPr>
    <w:rPr>
      <w:rFonts w:ascii="Calibri" w:eastAsia="Calibri" w:hAnsi="Calibri"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043311"/>
    <w:rPr>
      <w:vertAlign w:val="superscript"/>
    </w:rPr>
  </w:style>
  <w:style w:type="paragraph" w:styleId="TOC4">
    <w:name w:val="toc 4"/>
    <w:basedOn w:val="Normal"/>
    <w:next w:val="Normal"/>
    <w:autoRedefine/>
    <w:uiPriority w:val="39"/>
    <w:unhideWhenUsed/>
    <w:rsid w:val="00043311"/>
    <w:pPr>
      <w:spacing w:before="0" w:after="100" w:line="276" w:lineRule="auto"/>
      <w:ind w:left="660"/>
      <w:jc w:val="left"/>
    </w:pPr>
    <w:rPr>
      <w:rFonts w:asciiTheme="minorHAnsi" w:eastAsiaTheme="minorEastAsia" w:hAnsiTheme="minorHAnsi" w:cstheme="minorBidi"/>
      <w:szCs w:val="22"/>
      <w:lang w:eastAsia="en-NZ"/>
    </w:rPr>
  </w:style>
  <w:style w:type="paragraph" w:styleId="TOC5">
    <w:name w:val="toc 5"/>
    <w:basedOn w:val="Normal"/>
    <w:next w:val="Normal"/>
    <w:autoRedefine/>
    <w:uiPriority w:val="39"/>
    <w:unhideWhenUsed/>
    <w:rsid w:val="00043311"/>
    <w:pPr>
      <w:spacing w:before="0" w:after="100" w:line="276" w:lineRule="auto"/>
      <w:ind w:left="880"/>
      <w:jc w:val="left"/>
    </w:pPr>
    <w:rPr>
      <w:rFonts w:asciiTheme="minorHAnsi" w:eastAsiaTheme="minorEastAsia" w:hAnsiTheme="minorHAnsi" w:cstheme="minorBidi"/>
      <w:szCs w:val="22"/>
      <w:lang w:eastAsia="en-NZ"/>
    </w:rPr>
  </w:style>
  <w:style w:type="paragraph" w:styleId="TOC6">
    <w:name w:val="toc 6"/>
    <w:basedOn w:val="Normal"/>
    <w:next w:val="Normal"/>
    <w:autoRedefine/>
    <w:uiPriority w:val="39"/>
    <w:unhideWhenUsed/>
    <w:rsid w:val="00043311"/>
    <w:pPr>
      <w:spacing w:before="0" w:after="100" w:line="276" w:lineRule="auto"/>
      <w:ind w:left="1100"/>
      <w:jc w:val="left"/>
    </w:pPr>
    <w:rPr>
      <w:rFonts w:asciiTheme="minorHAnsi" w:eastAsiaTheme="minorEastAsia" w:hAnsiTheme="minorHAnsi" w:cstheme="minorBidi"/>
      <w:szCs w:val="22"/>
      <w:lang w:eastAsia="en-NZ"/>
    </w:rPr>
  </w:style>
  <w:style w:type="paragraph" w:styleId="TOC7">
    <w:name w:val="toc 7"/>
    <w:basedOn w:val="Normal"/>
    <w:next w:val="Normal"/>
    <w:autoRedefine/>
    <w:uiPriority w:val="39"/>
    <w:unhideWhenUsed/>
    <w:rsid w:val="00043311"/>
    <w:pPr>
      <w:spacing w:before="0" w:after="100" w:line="276" w:lineRule="auto"/>
      <w:ind w:left="1320"/>
      <w:jc w:val="left"/>
    </w:pPr>
    <w:rPr>
      <w:rFonts w:asciiTheme="minorHAnsi" w:eastAsiaTheme="minorEastAsia" w:hAnsiTheme="minorHAnsi" w:cstheme="minorBidi"/>
      <w:szCs w:val="22"/>
      <w:lang w:eastAsia="en-NZ"/>
    </w:rPr>
  </w:style>
  <w:style w:type="paragraph" w:styleId="TOC8">
    <w:name w:val="toc 8"/>
    <w:basedOn w:val="Normal"/>
    <w:next w:val="Normal"/>
    <w:autoRedefine/>
    <w:uiPriority w:val="39"/>
    <w:unhideWhenUsed/>
    <w:rsid w:val="00043311"/>
    <w:pPr>
      <w:spacing w:before="0" w:after="100" w:line="276" w:lineRule="auto"/>
      <w:ind w:left="1540"/>
      <w:jc w:val="left"/>
    </w:pPr>
    <w:rPr>
      <w:rFonts w:asciiTheme="minorHAnsi" w:eastAsiaTheme="minorEastAsia" w:hAnsiTheme="minorHAnsi" w:cstheme="minorBidi"/>
      <w:szCs w:val="22"/>
      <w:lang w:eastAsia="en-NZ"/>
    </w:rPr>
  </w:style>
  <w:style w:type="paragraph" w:styleId="TOC9">
    <w:name w:val="toc 9"/>
    <w:basedOn w:val="Normal"/>
    <w:next w:val="Normal"/>
    <w:autoRedefine/>
    <w:uiPriority w:val="39"/>
    <w:unhideWhenUsed/>
    <w:rsid w:val="00043311"/>
    <w:pPr>
      <w:spacing w:before="0" w:after="100" w:line="276" w:lineRule="auto"/>
      <w:ind w:left="1760"/>
      <w:jc w:val="left"/>
    </w:pPr>
    <w:rPr>
      <w:rFonts w:asciiTheme="minorHAnsi" w:eastAsiaTheme="minorEastAsia" w:hAnsiTheme="minorHAnsi" w:cstheme="minorBidi"/>
      <w:szCs w:val="22"/>
      <w:lang w:eastAsia="en-NZ"/>
    </w:rPr>
  </w:style>
  <w:style w:type="table" w:customStyle="1" w:styleId="TableGrid3">
    <w:name w:val="Table Grid3"/>
    <w:basedOn w:val="TableNormal"/>
    <w:next w:val="TableGrid"/>
    <w:uiPriority w:val="59"/>
    <w:rsid w:val="00B22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67C97"/>
  </w:style>
  <w:style w:type="paragraph" w:customStyle="1" w:styleId="Bullet0">
    <w:name w:val="Bullet"/>
    <w:basedOn w:val="Normal"/>
    <w:qFormat/>
    <w:rsid w:val="0089285F"/>
    <w:pPr>
      <w:numPr>
        <w:numId w:val="72"/>
      </w:numPr>
      <w:spacing w:before="90" w:line="264" w:lineRule="auto"/>
      <w:jc w:val="left"/>
    </w:pPr>
    <w:rPr>
      <w:rFonts w:ascii="Georgia" w:hAnsi="Georgia"/>
      <w:szCs w:val="20"/>
      <w:lang w:eastAsia="en-GB"/>
    </w:rPr>
  </w:style>
  <w:style w:type="paragraph" w:customStyle="1" w:styleId="Dash">
    <w:name w:val="Dash"/>
    <w:basedOn w:val="Bullet0"/>
    <w:qFormat/>
    <w:rsid w:val="0089285F"/>
    <w:pPr>
      <w:numPr>
        <w:numId w:val="73"/>
      </w:numPr>
      <w:spacing w:before="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9325">
      <w:bodyDiv w:val="1"/>
      <w:marLeft w:val="0"/>
      <w:marRight w:val="0"/>
      <w:marTop w:val="0"/>
      <w:marBottom w:val="0"/>
      <w:divBdr>
        <w:top w:val="none" w:sz="0" w:space="0" w:color="auto"/>
        <w:left w:val="none" w:sz="0" w:space="0" w:color="auto"/>
        <w:bottom w:val="none" w:sz="0" w:space="0" w:color="auto"/>
        <w:right w:val="none" w:sz="0" w:space="0" w:color="auto"/>
      </w:divBdr>
    </w:div>
    <w:div w:id="24407881">
      <w:bodyDiv w:val="1"/>
      <w:marLeft w:val="0"/>
      <w:marRight w:val="0"/>
      <w:marTop w:val="0"/>
      <w:marBottom w:val="0"/>
      <w:divBdr>
        <w:top w:val="none" w:sz="0" w:space="0" w:color="auto"/>
        <w:left w:val="none" w:sz="0" w:space="0" w:color="auto"/>
        <w:bottom w:val="none" w:sz="0" w:space="0" w:color="auto"/>
        <w:right w:val="none" w:sz="0" w:space="0" w:color="auto"/>
      </w:divBdr>
    </w:div>
    <w:div w:id="25300920">
      <w:bodyDiv w:val="1"/>
      <w:marLeft w:val="0"/>
      <w:marRight w:val="0"/>
      <w:marTop w:val="0"/>
      <w:marBottom w:val="0"/>
      <w:divBdr>
        <w:top w:val="none" w:sz="0" w:space="0" w:color="auto"/>
        <w:left w:val="none" w:sz="0" w:space="0" w:color="auto"/>
        <w:bottom w:val="none" w:sz="0" w:space="0" w:color="auto"/>
        <w:right w:val="none" w:sz="0" w:space="0" w:color="auto"/>
      </w:divBdr>
    </w:div>
    <w:div w:id="37123669">
      <w:bodyDiv w:val="1"/>
      <w:marLeft w:val="0"/>
      <w:marRight w:val="0"/>
      <w:marTop w:val="0"/>
      <w:marBottom w:val="0"/>
      <w:divBdr>
        <w:top w:val="none" w:sz="0" w:space="0" w:color="auto"/>
        <w:left w:val="none" w:sz="0" w:space="0" w:color="auto"/>
        <w:bottom w:val="none" w:sz="0" w:space="0" w:color="auto"/>
        <w:right w:val="none" w:sz="0" w:space="0" w:color="auto"/>
      </w:divBdr>
    </w:div>
    <w:div w:id="41104427">
      <w:bodyDiv w:val="1"/>
      <w:marLeft w:val="0"/>
      <w:marRight w:val="0"/>
      <w:marTop w:val="0"/>
      <w:marBottom w:val="0"/>
      <w:divBdr>
        <w:top w:val="none" w:sz="0" w:space="0" w:color="auto"/>
        <w:left w:val="none" w:sz="0" w:space="0" w:color="auto"/>
        <w:bottom w:val="none" w:sz="0" w:space="0" w:color="auto"/>
        <w:right w:val="none" w:sz="0" w:space="0" w:color="auto"/>
      </w:divBdr>
    </w:div>
    <w:div w:id="43144249">
      <w:bodyDiv w:val="1"/>
      <w:marLeft w:val="0"/>
      <w:marRight w:val="0"/>
      <w:marTop w:val="0"/>
      <w:marBottom w:val="0"/>
      <w:divBdr>
        <w:top w:val="none" w:sz="0" w:space="0" w:color="auto"/>
        <w:left w:val="none" w:sz="0" w:space="0" w:color="auto"/>
        <w:bottom w:val="none" w:sz="0" w:space="0" w:color="auto"/>
        <w:right w:val="none" w:sz="0" w:space="0" w:color="auto"/>
      </w:divBdr>
    </w:div>
    <w:div w:id="49887881">
      <w:bodyDiv w:val="1"/>
      <w:marLeft w:val="0"/>
      <w:marRight w:val="0"/>
      <w:marTop w:val="0"/>
      <w:marBottom w:val="0"/>
      <w:divBdr>
        <w:top w:val="none" w:sz="0" w:space="0" w:color="auto"/>
        <w:left w:val="none" w:sz="0" w:space="0" w:color="auto"/>
        <w:bottom w:val="none" w:sz="0" w:space="0" w:color="auto"/>
        <w:right w:val="none" w:sz="0" w:space="0" w:color="auto"/>
      </w:divBdr>
    </w:div>
    <w:div w:id="55318420">
      <w:bodyDiv w:val="1"/>
      <w:marLeft w:val="0"/>
      <w:marRight w:val="0"/>
      <w:marTop w:val="0"/>
      <w:marBottom w:val="0"/>
      <w:divBdr>
        <w:top w:val="none" w:sz="0" w:space="0" w:color="auto"/>
        <w:left w:val="none" w:sz="0" w:space="0" w:color="auto"/>
        <w:bottom w:val="none" w:sz="0" w:space="0" w:color="auto"/>
        <w:right w:val="none" w:sz="0" w:space="0" w:color="auto"/>
      </w:divBdr>
    </w:div>
    <w:div w:id="87696381">
      <w:bodyDiv w:val="1"/>
      <w:marLeft w:val="0"/>
      <w:marRight w:val="0"/>
      <w:marTop w:val="0"/>
      <w:marBottom w:val="0"/>
      <w:divBdr>
        <w:top w:val="none" w:sz="0" w:space="0" w:color="auto"/>
        <w:left w:val="none" w:sz="0" w:space="0" w:color="auto"/>
        <w:bottom w:val="none" w:sz="0" w:space="0" w:color="auto"/>
        <w:right w:val="none" w:sz="0" w:space="0" w:color="auto"/>
      </w:divBdr>
    </w:div>
    <w:div w:id="91096450">
      <w:bodyDiv w:val="1"/>
      <w:marLeft w:val="0"/>
      <w:marRight w:val="0"/>
      <w:marTop w:val="0"/>
      <w:marBottom w:val="0"/>
      <w:divBdr>
        <w:top w:val="none" w:sz="0" w:space="0" w:color="auto"/>
        <w:left w:val="none" w:sz="0" w:space="0" w:color="auto"/>
        <w:bottom w:val="none" w:sz="0" w:space="0" w:color="auto"/>
        <w:right w:val="none" w:sz="0" w:space="0" w:color="auto"/>
      </w:divBdr>
    </w:div>
    <w:div w:id="109014048">
      <w:bodyDiv w:val="1"/>
      <w:marLeft w:val="0"/>
      <w:marRight w:val="0"/>
      <w:marTop w:val="0"/>
      <w:marBottom w:val="0"/>
      <w:divBdr>
        <w:top w:val="none" w:sz="0" w:space="0" w:color="auto"/>
        <w:left w:val="none" w:sz="0" w:space="0" w:color="auto"/>
        <w:bottom w:val="none" w:sz="0" w:space="0" w:color="auto"/>
        <w:right w:val="none" w:sz="0" w:space="0" w:color="auto"/>
      </w:divBdr>
    </w:div>
    <w:div w:id="114103248">
      <w:bodyDiv w:val="1"/>
      <w:marLeft w:val="0"/>
      <w:marRight w:val="0"/>
      <w:marTop w:val="0"/>
      <w:marBottom w:val="0"/>
      <w:divBdr>
        <w:top w:val="none" w:sz="0" w:space="0" w:color="auto"/>
        <w:left w:val="none" w:sz="0" w:space="0" w:color="auto"/>
        <w:bottom w:val="none" w:sz="0" w:space="0" w:color="auto"/>
        <w:right w:val="none" w:sz="0" w:space="0" w:color="auto"/>
      </w:divBdr>
    </w:div>
    <w:div w:id="117337554">
      <w:bodyDiv w:val="1"/>
      <w:marLeft w:val="0"/>
      <w:marRight w:val="0"/>
      <w:marTop w:val="0"/>
      <w:marBottom w:val="0"/>
      <w:divBdr>
        <w:top w:val="none" w:sz="0" w:space="0" w:color="auto"/>
        <w:left w:val="none" w:sz="0" w:space="0" w:color="auto"/>
        <w:bottom w:val="none" w:sz="0" w:space="0" w:color="auto"/>
        <w:right w:val="none" w:sz="0" w:space="0" w:color="auto"/>
      </w:divBdr>
    </w:div>
    <w:div w:id="134760813">
      <w:bodyDiv w:val="1"/>
      <w:marLeft w:val="0"/>
      <w:marRight w:val="0"/>
      <w:marTop w:val="0"/>
      <w:marBottom w:val="0"/>
      <w:divBdr>
        <w:top w:val="none" w:sz="0" w:space="0" w:color="auto"/>
        <w:left w:val="none" w:sz="0" w:space="0" w:color="auto"/>
        <w:bottom w:val="none" w:sz="0" w:space="0" w:color="auto"/>
        <w:right w:val="none" w:sz="0" w:space="0" w:color="auto"/>
      </w:divBdr>
    </w:div>
    <w:div w:id="140853921">
      <w:bodyDiv w:val="1"/>
      <w:marLeft w:val="0"/>
      <w:marRight w:val="0"/>
      <w:marTop w:val="0"/>
      <w:marBottom w:val="0"/>
      <w:divBdr>
        <w:top w:val="none" w:sz="0" w:space="0" w:color="auto"/>
        <w:left w:val="none" w:sz="0" w:space="0" w:color="auto"/>
        <w:bottom w:val="none" w:sz="0" w:space="0" w:color="auto"/>
        <w:right w:val="none" w:sz="0" w:space="0" w:color="auto"/>
      </w:divBdr>
    </w:div>
    <w:div w:id="154076233">
      <w:bodyDiv w:val="1"/>
      <w:marLeft w:val="0"/>
      <w:marRight w:val="0"/>
      <w:marTop w:val="0"/>
      <w:marBottom w:val="0"/>
      <w:divBdr>
        <w:top w:val="none" w:sz="0" w:space="0" w:color="auto"/>
        <w:left w:val="none" w:sz="0" w:space="0" w:color="auto"/>
        <w:bottom w:val="none" w:sz="0" w:space="0" w:color="auto"/>
        <w:right w:val="none" w:sz="0" w:space="0" w:color="auto"/>
      </w:divBdr>
    </w:div>
    <w:div w:id="154079020">
      <w:bodyDiv w:val="1"/>
      <w:marLeft w:val="0"/>
      <w:marRight w:val="0"/>
      <w:marTop w:val="0"/>
      <w:marBottom w:val="0"/>
      <w:divBdr>
        <w:top w:val="none" w:sz="0" w:space="0" w:color="auto"/>
        <w:left w:val="none" w:sz="0" w:space="0" w:color="auto"/>
        <w:bottom w:val="none" w:sz="0" w:space="0" w:color="auto"/>
        <w:right w:val="none" w:sz="0" w:space="0" w:color="auto"/>
      </w:divBdr>
    </w:div>
    <w:div w:id="176774357">
      <w:bodyDiv w:val="1"/>
      <w:marLeft w:val="0"/>
      <w:marRight w:val="0"/>
      <w:marTop w:val="0"/>
      <w:marBottom w:val="0"/>
      <w:divBdr>
        <w:top w:val="none" w:sz="0" w:space="0" w:color="auto"/>
        <w:left w:val="none" w:sz="0" w:space="0" w:color="auto"/>
        <w:bottom w:val="none" w:sz="0" w:space="0" w:color="auto"/>
        <w:right w:val="none" w:sz="0" w:space="0" w:color="auto"/>
      </w:divBdr>
    </w:div>
    <w:div w:id="178355724">
      <w:bodyDiv w:val="1"/>
      <w:marLeft w:val="0"/>
      <w:marRight w:val="0"/>
      <w:marTop w:val="0"/>
      <w:marBottom w:val="0"/>
      <w:divBdr>
        <w:top w:val="none" w:sz="0" w:space="0" w:color="auto"/>
        <w:left w:val="none" w:sz="0" w:space="0" w:color="auto"/>
        <w:bottom w:val="none" w:sz="0" w:space="0" w:color="auto"/>
        <w:right w:val="none" w:sz="0" w:space="0" w:color="auto"/>
      </w:divBdr>
    </w:div>
    <w:div w:id="186525062">
      <w:bodyDiv w:val="1"/>
      <w:marLeft w:val="0"/>
      <w:marRight w:val="0"/>
      <w:marTop w:val="0"/>
      <w:marBottom w:val="0"/>
      <w:divBdr>
        <w:top w:val="none" w:sz="0" w:space="0" w:color="auto"/>
        <w:left w:val="none" w:sz="0" w:space="0" w:color="auto"/>
        <w:bottom w:val="none" w:sz="0" w:space="0" w:color="auto"/>
        <w:right w:val="none" w:sz="0" w:space="0" w:color="auto"/>
      </w:divBdr>
    </w:div>
    <w:div w:id="202527402">
      <w:bodyDiv w:val="1"/>
      <w:marLeft w:val="0"/>
      <w:marRight w:val="0"/>
      <w:marTop w:val="0"/>
      <w:marBottom w:val="0"/>
      <w:divBdr>
        <w:top w:val="none" w:sz="0" w:space="0" w:color="auto"/>
        <w:left w:val="none" w:sz="0" w:space="0" w:color="auto"/>
        <w:bottom w:val="none" w:sz="0" w:space="0" w:color="auto"/>
        <w:right w:val="none" w:sz="0" w:space="0" w:color="auto"/>
      </w:divBdr>
    </w:div>
    <w:div w:id="227151459">
      <w:bodyDiv w:val="1"/>
      <w:marLeft w:val="0"/>
      <w:marRight w:val="0"/>
      <w:marTop w:val="0"/>
      <w:marBottom w:val="0"/>
      <w:divBdr>
        <w:top w:val="none" w:sz="0" w:space="0" w:color="auto"/>
        <w:left w:val="none" w:sz="0" w:space="0" w:color="auto"/>
        <w:bottom w:val="none" w:sz="0" w:space="0" w:color="auto"/>
        <w:right w:val="none" w:sz="0" w:space="0" w:color="auto"/>
      </w:divBdr>
    </w:div>
    <w:div w:id="232470683">
      <w:bodyDiv w:val="1"/>
      <w:marLeft w:val="0"/>
      <w:marRight w:val="0"/>
      <w:marTop w:val="0"/>
      <w:marBottom w:val="0"/>
      <w:divBdr>
        <w:top w:val="none" w:sz="0" w:space="0" w:color="auto"/>
        <w:left w:val="none" w:sz="0" w:space="0" w:color="auto"/>
        <w:bottom w:val="none" w:sz="0" w:space="0" w:color="auto"/>
        <w:right w:val="none" w:sz="0" w:space="0" w:color="auto"/>
      </w:divBdr>
    </w:div>
    <w:div w:id="251939642">
      <w:bodyDiv w:val="1"/>
      <w:marLeft w:val="0"/>
      <w:marRight w:val="0"/>
      <w:marTop w:val="0"/>
      <w:marBottom w:val="0"/>
      <w:divBdr>
        <w:top w:val="none" w:sz="0" w:space="0" w:color="auto"/>
        <w:left w:val="none" w:sz="0" w:space="0" w:color="auto"/>
        <w:bottom w:val="none" w:sz="0" w:space="0" w:color="auto"/>
        <w:right w:val="none" w:sz="0" w:space="0" w:color="auto"/>
      </w:divBdr>
    </w:div>
    <w:div w:id="268204780">
      <w:bodyDiv w:val="1"/>
      <w:marLeft w:val="0"/>
      <w:marRight w:val="0"/>
      <w:marTop w:val="0"/>
      <w:marBottom w:val="0"/>
      <w:divBdr>
        <w:top w:val="none" w:sz="0" w:space="0" w:color="auto"/>
        <w:left w:val="none" w:sz="0" w:space="0" w:color="auto"/>
        <w:bottom w:val="none" w:sz="0" w:space="0" w:color="auto"/>
        <w:right w:val="none" w:sz="0" w:space="0" w:color="auto"/>
      </w:divBdr>
    </w:div>
    <w:div w:id="270625693">
      <w:bodyDiv w:val="1"/>
      <w:marLeft w:val="0"/>
      <w:marRight w:val="0"/>
      <w:marTop w:val="0"/>
      <w:marBottom w:val="0"/>
      <w:divBdr>
        <w:top w:val="none" w:sz="0" w:space="0" w:color="auto"/>
        <w:left w:val="none" w:sz="0" w:space="0" w:color="auto"/>
        <w:bottom w:val="none" w:sz="0" w:space="0" w:color="auto"/>
        <w:right w:val="none" w:sz="0" w:space="0" w:color="auto"/>
      </w:divBdr>
    </w:div>
    <w:div w:id="272396344">
      <w:bodyDiv w:val="1"/>
      <w:marLeft w:val="0"/>
      <w:marRight w:val="0"/>
      <w:marTop w:val="0"/>
      <w:marBottom w:val="0"/>
      <w:divBdr>
        <w:top w:val="none" w:sz="0" w:space="0" w:color="auto"/>
        <w:left w:val="none" w:sz="0" w:space="0" w:color="auto"/>
        <w:bottom w:val="none" w:sz="0" w:space="0" w:color="auto"/>
        <w:right w:val="none" w:sz="0" w:space="0" w:color="auto"/>
      </w:divBdr>
    </w:div>
    <w:div w:id="272902985">
      <w:bodyDiv w:val="1"/>
      <w:marLeft w:val="0"/>
      <w:marRight w:val="0"/>
      <w:marTop w:val="0"/>
      <w:marBottom w:val="0"/>
      <w:divBdr>
        <w:top w:val="none" w:sz="0" w:space="0" w:color="auto"/>
        <w:left w:val="none" w:sz="0" w:space="0" w:color="auto"/>
        <w:bottom w:val="none" w:sz="0" w:space="0" w:color="auto"/>
        <w:right w:val="none" w:sz="0" w:space="0" w:color="auto"/>
      </w:divBdr>
    </w:div>
    <w:div w:id="279262553">
      <w:bodyDiv w:val="1"/>
      <w:marLeft w:val="0"/>
      <w:marRight w:val="0"/>
      <w:marTop w:val="0"/>
      <w:marBottom w:val="0"/>
      <w:divBdr>
        <w:top w:val="none" w:sz="0" w:space="0" w:color="auto"/>
        <w:left w:val="none" w:sz="0" w:space="0" w:color="auto"/>
        <w:bottom w:val="none" w:sz="0" w:space="0" w:color="auto"/>
        <w:right w:val="none" w:sz="0" w:space="0" w:color="auto"/>
      </w:divBdr>
    </w:div>
    <w:div w:id="285939516">
      <w:bodyDiv w:val="1"/>
      <w:marLeft w:val="0"/>
      <w:marRight w:val="0"/>
      <w:marTop w:val="0"/>
      <w:marBottom w:val="0"/>
      <w:divBdr>
        <w:top w:val="none" w:sz="0" w:space="0" w:color="auto"/>
        <w:left w:val="none" w:sz="0" w:space="0" w:color="auto"/>
        <w:bottom w:val="none" w:sz="0" w:space="0" w:color="auto"/>
        <w:right w:val="none" w:sz="0" w:space="0" w:color="auto"/>
      </w:divBdr>
    </w:div>
    <w:div w:id="291636968">
      <w:bodyDiv w:val="1"/>
      <w:marLeft w:val="0"/>
      <w:marRight w:val="0"/>
      <w:marTop w:val="0"/>
      <w:marBottom w:val="0"/>
      <w:divBdr>
        <w:top w:val="none" w:sz="0" w:space="0" w:color="auto"/>
        <w:left w:val="none" w:sz="0" w:space="0" w:color="auto"/>
        <w:bottom w:val="none" w:sz="0" w:space="0" w:color="auto"/>
        <w:right w:val="none" w:sz="0" w:space="0" w:color="auto"/>
      </w:divBdr>
    </w:div>
    <w:div w:id="295182649">
      <w:bodyDiv w:val="1"/>
      <w:marLeft w:val="0"/>
      <w:marRight w:val="0"/>
      <w:marTop w:val="0"/>
      <w:marBottom w:val="0"/>
      <w:divBdr>
        <w:top w:val="none" w:sz="0" w:space="0" w:color="auto"/>
        <w:left w:val="none" w:sz="0" w:space="0" w:color="auto"/>
        <w:bottom w:val="none" w:sz="0" w:space="0" w:color="auto"/>
        <w:right w:val="none" w:sz="0" w:space="0" w:color="auto"/>
      </w:divBdr>
    </w:div>
    <w:div w:id="303852103">
      <w:bodyDiv w:val="1"/>
      <w:marLeft w:val="0"/>
      <w:marRight w:val="0"/>
      <w:marTop w:val="0"/>
      <w:marBottom w:val="0"/>
      <w:divBdr>
        <w:top w:val="none" w:sz="0" w:space="0" w:color="auto"/>
        <w:left w:val="none" w:sz="0" w:space="0" w:color="auto"/>
        <w:bottom w:val="none" w:sz="0" w:space="0" w:color="auto"/>
        <w:right w:val="none" w:sz="0" w:space="0" w:color="auto"/>
      </w:divBdr>
    </w:div>
    <w:div w:id="306936957">
      <w:bodyDiv w:val="1"/>
      <w:marLeft w:val="0"/>
      <w:marRight w:val="0"/>
      <w:marTop w:val="0"/>
      <w:marBottom w:val="0"/>
      <w:divBdr>
        <w:top w:val="none" w:sz="0" w:space="0" w:color="auto"/>
        <w:left w:val="none" w:sz="0" w:space="0" w:color="auto"/>
        <w:bottom w:val="none" w:sz="0" w:space="0" w:color="auto"/>
        <w:right w:val="none" w:sz="0" w:space="0" w:color="auto"/>
      </w:divBdr>
    </w:div>
    <w:div w:id="309485914">
      <w:bodyDiv w:val="1"/>
      <w:marLeft w:val="0"/>
      <w:marRight w:val="0"/>
      <w:marTop w:val="0"/>
      <w:marBottom w:val="0"/>
      <w:divBdr>
        <w:top w:val="none" w:sz="0" w:space="0" w:color="auto"/>
        <w:left w:val="none" w:sz="0" w:space="0" w:color="auto"/>
        <w:bottom w:val="none" w:sz="0" w:space="0" w:color="auto"/>
        <w:right w:val="none" w:sz="0" w:space="0" w:color="auto"/>
      </w:divBdr>
    </w:div>
    <w:div w:id="319504220">
      <w:bodyDiv w:val="1"/>
      <w:marLeft w:val="0"/>
      <w:marRight w:val="0"/>
      <w:marTop w:val="0"/>
      <w:marBottom w:val="0"/>
      <w:divBdr>
        <w:top w:val="none" w:sz="0" w:space="0" w:color="auto"/>
        <w:left w:val="none" w:sz="0" w:space="0" w:color="auto"/>
        <w:bottom w:val="none" w:sz="0" w:space="0" w:color="auto"/>
        <w:right w:val="none" w:sz="0" w:space="0" w:color="auto"/>
      </w:divBdr>
    </w:div>
    <w:div w:id="325210312">
      <w:bodyDiv w:val="1"/>
      <w:marLeft w:val="0"/>
      <w:marRight w:val="0"/>
      <w:marTop w:val="0"/>
      <w:marBottom w:val="0"/>
      <w:divBdr>
        <w:top w:val="none" w:sz="0" w:space="0" w:color="auto"/>
        <w:left w:val="none" w:sz="0" w:space="0" w:color="auto"/>
        <w:bottom w:val="none" w:sz="0" w:space="0" w:color="auto"/>
        <w:right w:val="none" w:sz="0" w:space="0" w:color="auto"/>
      </w:divBdr>
    </w:div>
    <w:div w:id="334768416">
      <w:bodyDiv w:val="1"/>
      <w:marLeft w:val="0"/>
      <w:marRight w:val="0"/>
      <w:marTop w:val="0"/>
      <w:marBottom w:val="0"/>
      <w:divBdr>
        <w:top w:val="none" w:sz="0" w:space="0" w:color="auto"/>
        <w:left w:val="none" w:sz="0" w:space="0" w:color="auto"/>
        <w:bottom w:val="none" w:sz="0" w:space="0" w:color="auto"/>
        <w:right w:val="none" w:sz="0" w:space="0" w:color="auto"/>
      </w:divBdr>
    </w:div>
    <w:div w:id="342780373">
      <w:bodyDiv w:val="1"/>
      <w:marLeft w:val="0"/>
      <w:marRight w:val="0"/>
      <w:marTop w:val="0"/>
      <w:marBottom w:val="0"/>
      <w:divBdr>
        <w:top w:val="none" w:sz="0" w:space="0" w:color="auto"/>
        <w:left w:val="none" w:sz="0" w:space="0" w:color="auto"/>
        <w:bottom w:val="none" w:sz="0" w:space="0" w:color="auto"/>
        <w:right w:val="none" w:sz="0" w:space="0" w:color="auto"/>
      </w:divBdr>
    </w:div>
    <w:div w:id="348262590">
      <w:bodyDiv w:val="1"/>
      <w:marLeft w:val="0"/>
      <w:marRight w:val="0"/>
      <w:marTop w:val="0"/>
      <w:marBottom w:val="0"/>
      <w:divBdr>
        <w:top w:val="none" w:sz="0" w:space="0" w:color="auto"/>
        <w:left w:val="none" w:sz="0" w:space="0" w:color="auto"/>
        <w:bottom w:val="none" w:sz="0" w:space="0" w:color="auto"/>
        <w:right w:val="none" w:sz="0" w:space="0" w:color="auto"/>
      </w:divBdr>
    </w:div>
    <w:div w:id="360131837">
      <w:bodyDiv w:val="1"/>
      <w:marLeft w:val="0"/>
      <w:marRight w:val="0"/>
      <w:marTop w:val="0"/>
      <w:marBottom w:val="0"/>
      <w:divBdr>
        <w:top w:val="none" w:sz="0" w:space="0" w:color="auto"/>
        <w:left w:val="none" w:sz="0" w:space="0" w:color="auto"/>
        <w:bottom w:val="none" w:sz="0" w:space="0" w:color="auto"/>
        <w:right w:val="none" w:sz="0" w:space="0" w:color="auto"/>
      </w:divBdr>
    </w:div>
    <w:div w:id="377362557">
      <w:bodyDiv w:val="1"/>
      <w:marLeft w:val="0"/>
      <w:marRight w:val="0"/>
      <w:marTop w:val="0"/>
      <w:marBottom w:val="0"/>
      <w:divBdr>
        <w:top w:val="none" w:sz="0" w:space="0" w:color="auto"/>
        <w:left w:val="none" w:sz="0" w:space="0" w:color="auto"/>
        <w:bottom w:val="none" w:sz="0" w:space="0" w:color="auto"/>
        <w:right w:val="none" w:sz="0" w:space="0" w:color="auto"/>
      </w:divBdr>
    </w:div>
    <w:div w:id="388116829">
      <w:bodyDiv w:val="1"/>
      <w:marLeft w:val="0"/>
      <w:marRight w:val="0"/>
      <w:marTop w:val="0"/>
      <w:marBottom w:val="0"/>
      <w:divBdr>
        <w:top w:val="none" w:sz="0" w:space="0" w:color="auto"/>
        <w:left w:val="none" w:sz="0" w:space="0" w:color="auto"/>
        <w:bottom w:val="none" w:sz="0" w:space="0" w:color="auto"/>
        <w:right w:val="none" w:sz="0" w:space="0" w:color="auto"/>
      </w:divBdr>
    </w:div>
    <w:div w:id="388891402">
      <w:bodyDiv w:val="1"/>
      <w:marLeft w:val="0"/>
      <w:marRight w:val="0"/>
      <w:marTop w:val="0"/>
      <w:marBottom w:val="0"/>
      <w:divBdr>
        <w:top w:val="none" w:sz="0" w:space="0" w:color="auto"/>
        <w:left w:val="none" w:sz="0" w:space="0" w:color="auto"/>
        <w:bottom w:val="none" w:sz="0" w:space="0" w:color="auto"/>
        <w:right w:val="none" w:sz="0" w:space="0" w:color="auto"/>
      </w:divBdr>
    </w:div>
    <w:div w:id="393622758">
      <w:bodyDiv w:val="1"/>
      <w:marLeft w:val="0"/>
      <w:marRight w:val="0"/>
      <w:marTop w:val="0"/>
      <w:marBottom w:val="0"/>
      <w:divBdr>
        <w:top w:val="none" w:sz="0" w:space="0" w:color="auto"/>
        <w:left w:val="none" w:sz="0" w:space="0" w:color="auto"/>
        <w:bottom w:val="none" w:sz="0" w:space="0" w:color="auto"/>
        <w:right w:val="none" w:sz="0" w:space="0" w:color="auto"/>
      </w:divBdr>
    </w:div>
    <w:div w:id="393698858">
      <w:bodyDiv w:val="1"/>
      <w:marLeft w:val="0"/>
      <w:marRight w:val="0"/>
      <w:marTop w:val="0"/>
      <w:marBottom w:val="0"/>
      <w:divBdr>
        <w:top w:val="none" w:sz="0" w:space="0" w:color="auto"/>
        <w:left w:val="none" w:sz="0" w:space="0" w:color="auto"/>
        <w:bottom w:val="none" w:sz="0" w:space="0" w:color="auto"/>
        <w:right w:val="none" w:sz="0" w:space="0" w:color="auto"/>
      </w:divBdr>
    </w:div>
    <w:div w:id="399210397">
      <w:bodyDiv w:val="1"/>
      <w:marLeft w:val="0"/>
      <w:marRight w:val="0"/>
      <w:marTop w:val="0"/>
      <w:marBottom w:val="0"/>
      <w:divBdr>
        <w:top w:val="none" w:sz="0" w:space="0" w:color="auto"/>
        <w:left w:val="none" w:sz="0" w:space="0" w:color="auto"/>
        <w:bottom w:val="none" w:sz="0" w:space="0" w:color="auto"/>
        <w:right w:val="none" w:sz="0" w:space="0" w:color="auto"/>
      </w:divBdr>
    </w:div>
    <w:div w:id="405147503">
      <w:bodyDiv w:val="1"/>
      <w:marLeft w:val="0"/>
      <w:marRight w:val="0"/>
      <w:marTop w:val="0"/>
      <w:marBottom w:val="0"/>
      <w:divBdr>
        <w:top w:val="none" w:sz="0" w:space="0" w:color="auto"/>
        <w:left w:val="none" w:sz="0" w:space="0" w:color="auto"/>
        <w:bottom w:val="none" w:sz="0" w:space="0" w:color="auto"/>
        <w:right w:val="none" w:sz="0" w:space="0" w:color="auto"/>
      </w:divBdr>
    </w:div>
    <w:div w:id="408815356">
      <w:bodyDiv w:val="1"/>
      <w:marLeft w:val="0"/>
      <w:marRight w:val="0"/>
      <w:marTop w:val="0"/>
      <w:marBottom w:val="0"/>
      <w:divBdr>
        <w:top w:val="none" w:sz="0" w:space="0" w:color="auto"/>
        <w:left w:val="none" w:sz="0" w:space="0" w:color="auto"/>
        <w:bottom w:val="none" w:sz="0" w:space="0" w:color="auto"/>
        <w:right w:val="none" w:sz="0" w:space="0" w:color="auto"/>
      </w:divBdr>
    </w:div>
    <w:div w:id="408966584">
      <w:bodyDiv w:val="1"/>
      <w:marLeft w:val="0"/>
      <w:marRight w:val="0"/>
      <w:marTop w:val="0"/>
      <w:marBottom w:val="0"/>
      <w:divBdr>
        <w:top w:val="none" w:sz="0" w:space="0" w:color="auto"/>
        <w:left w:val="none" w:sz="0" w:space="0" w:color="auto"/>
        <w:bottom w:val="none" w:sz="0" w:space="0" w:color="auto"/>
        <w:right w:val="none" w:sz="0" w:space="0" w:color="auto"/>
      </w:divBdr>
    </w:div>
    <w:div w:id="421999600">
      <w:bodyDiv w:val="1"/>
      <w:marLeft w:val="0"/>
      <w:marRight w:val="0"/>
      <w:marTop w:val="0"/>
      <w:marBottom w:val="0"/>
      <w:divBdr>
        <w:top w:val="none" w:sz="0" w:space="0" w:color="auto"/>
        <w:left w:val="none" w:sz="0" w:space="0" w:color="auto"/>
        <w:bottom w:val="none" w:sz="0" w:space="0" w:color="auto"/>
        <w:right w:val="none" w:sz="0" w:space="0" w:color="auto"/>
      </w:divBdr>
    </w:div>
    <w:div w:id="436951484">
      <w:bodyDiv w:val="1"/>
      <w:marLeft w:val="0"/>
      <w:marRight w:val="0"/>
      <w:marTop w:val="0"/>
      <w:marBottom w:val="0"/>
      <w:divBdr>
        <w:top w:val="none" w:sz="0" w:space="0" w:color="auto"/>
        <w:left w:val="none" w:sz="0" w:space="0" w:color="auto"/>
        <w:bottom w:val="none" w:sz="0" w:space="0" w:color="auto"/>
        <w:right w:val="none" w:sz="0" w:space="0" w:color="auto"/>
      </w:divBdr>
    </w:div>
    <w:div w:id="439490965">
      <w:bodyDiv w:val="1"/>
      <w:marLeft w:val="0"/>
      <w:marRight w:val="0"/>
      <w:marTop w:val="0"/>
      <w:marBottom w:val="0"/>
      <w:divBdr>
        <w:top w:val="none" w:sz="0" w:space="0" w:color="auto"/>
        <w:left w:val="none" w:sz="0" w:space="0" w:color="auto"/>
        <w:bottom w:val="none" w:sz="0" w:space="0" w:color="auto"/>
        <w:right w:val="none" w:sz="0" w:space="0" w:color="auto"/>
      </w:divBdr>
    </w:div>
    <w:div w:id="466244223">
      <w:bodyDiv w:val="1"/>
      <w:marLeft w:val="0"/>
      <w:marRight w:val="0"/>
      <w:marTop w:val="0"/>
      <w:marBottom w:val="0"/>
      <w:divBdr>
        <w:top w:val="none" w:sz="0" w:space="0" w:color="auto"/>
        <w:left w:val="none" w:sz="0" w:space="0" w:color="auto"/>
        <w:bottom w:val="none" w:sz="0" w:space="0" w:color="auto"/>
        <w:right w:val="none" w:sz="0" w:space="0" w:color="auto"/>
      </w:divBdr>
    </w:div>
    <w:div w:id="474106910">
      <w:bodyDiv w:val="1"/>
      <w:marLeft w:val="0"/>
      <w:marRight w:val="0"/>
      <w:marTop w:val="0"/>
      <w:marBottom w:val="0"/>
      <w:divBdr>
        <w:top w:val="none" w:sz="0" w:space="0" w:color="auto"/>
        <w:left w:val="none" w:sz="0" w:space="0" w:color="auto"/>
        <w:bottom w:val="none" w:sz="0" w:space="0" w:color="auto"/>
        <w:right w:val="none" w:sz="0" w:space="0" w:color="auto"/>
      </w:divBdr>
    </w:div>
    <w:div w:id="474874550">
      <w:bodyDiv w:val="1"/>
      <w:marLeft w:val="0"/>
      <w:marRight w:val="0"/>
      <w:marTop w:val="0"/>
      <w:marBottom w:val="0"/>
      <w:divBdr>
        <w:top w:val="none" w:sz="0" w:space="0" w:color="auto"/>
        <w:left w:val="none" w:sz="0" w:space="0" w:color="auto"/>
        <w:bottom w:val="none" w:sz="0" w:space="0" w:color="auto"/>
        <w:right w:val="none" w:sz="0" w:space="0" w:color="auto"/>
      </w:divBdr>
    </w:div>
    <w:div w:id="483548806">
      <w:bodyDiv w:val="1"/>
      <w:marLeft w:val="0"/>
      <w:marRight w:val="0"/>
      <w:marTop w:val="0"/>
      <w:marBottom w:val="0"/>
      <w:divBdr>
        <w:top w:val="none" w:sz="0" w:space="0" w:color="auto"/>
        <w:left w:val="none" w:sz="0" w:space="0" w:color="auto"/>
        <w:bottom w:val="none" w:sz="0" w:space="0" w:color="auto"/>
        <w:right w:val="none" w:sz="0" w:space="0" w:color="auto"/>
      </w:divBdr>
    </w:div>
    <w:div w:id="507671421">
      <w:bodyDiv w:val="1"/>
      <w:marLeft w:val="0"/>
      <w:marRight w:val="0"/>
      <w:marTop w:val="0"/>
      <w:marBottom w:val="0"/>
      <w:divBdr>
        <w:top w:val="none" w:sz="0" w:space="0" w:color="auto"/>
        <w:left w:val="none" w:sz="0" w:space="0" w:color="auto"/>
        <w:bottom w:val="none" w:sz="0" w:space="0" w:color="auto"/>
        <w:right w:val="none" w:sz="0" w:space="0" w:color="auto"/>
      </w:divBdr>
    </w:div>
    <w:div w:id="520898797">
      <w:bodyDiv w:val="1"/>
      <w:marLeft w:val="0"/>
      <w:marRight w:val="0"/>
      <w:marTop w:val="0"/>
      <w:marBottom w:val="0"/>
      <w:divBdr>
        <w:top w:val="none" w:sz="0" w:space="0" w:color="auto"/>
        <w:left w:val="none" w:sz="0" w:space="0" w:color="auto"/>
        <w:bottom w:val="none" w:sz="0" w:space="0" w:color="auto"/>
        <w:right w:val="none" w:sz="0" w:space="0" w:color="auto"/>
      </w:divBdr>
    </w:div>
    <w:div w:id="523059424">
      <w:bodyDiv w:val="1"/>
      <w:marLeft w:val="0"/>
      <w:marRight w:val="0"/>
      <w:marTop w:val="0"/>
      <w:marBottom w:val="0"/>
      <w:divBdr>
        <w:top w:val="none" w:sz="0" w:space="0" w:color="auto"/>
        <w:left w:val="none" w:sz="0" w:space="0" w:color="auto"/>
        <w:bottom w:val="none" w:sz="0" w:space="0" w:color="auto"/>
        <w:right w:val="none" w:sz="0" w:space="0" w:color="auto"/>
      </w:divBdr>
    </w:div>
    <w:div w:id="524638420">
      <w:bodyDiv w:val="1"/>
      <w:marLeft w:val="0"/>
      <w:marRight w:val="0"/>
      <w:marTop w:val="0"/>
      <w:marBottom w:val="0"/>
      <w:divBdr>
        <w:top w:val="none" w:sz="0" w:space="0" w:color="auto"/>
        <w:left w:val="none" w:sz="0" w:space="0" w:color="auto"/>
        <w:bottom w:val="none" w:sz="0" w:space="0" w:color="auto"/>
        <w:right w:val="none" w:sz="0" w:space="0" w:color="auto"/>
      </w:divBdr>
    </w:div>
    <w:div w:id="527178398">
      <w:bodyDiv w:val="1"/>
      <w:marLeft w:val="0"/>
      <w:marRight w:val="0"/>
      <w:marTop w:val="0"/>
      <w:marBottom w:val="0"/>
      <w:divBdr>
        <w:top w:val="none" w:sz="0" w:space="0" w:color="auto"/>
        <w:left w:val="none" w:sz="0" w:space="0" w:color="auto"/>
        <w:bottom w:val="none" w:sz="0" w:space="0" w:color="auto"/>
        <w:right w:val="none" w:sz="0" w:space="0" w:color="auto"/>
      </w:divBdr>
    </w:div>
    <w:div w:id="528226734">
      <w:bodyDiv w:val="1"/>
      <w:marLeft w:val="0"/>
      <w:marRight w:val="0"/>
      <w:marTop w:val="0"/>
      <w:marBottom w:val="0"/>
      <w:divBdr>
        <w:top w:val="none" w:sz="0" w:space="0" w:color="auto"/>
        <w:left w:val="none" w:sz="0" w:space="0" w:color="auto"/>
        <w:bottom w:val="none" w:sz="0" w:space="0" w:color="auto"/>
        <w:right w:val="none" w:sz="0" w:space="0" w:color="auto"/>
      </w:divBdr>
    </w:div>
    <w:div w:id="535822397">
      <w:bodyDiv w:val="1"/>
      <w:marLeft w:val="0"/>
      <w:marRight w:val="0"/>
      <w:marTop w:val="0"/>
      <w:marBottom w:val="0"/>
      <w:divBdr>
        <w:top w:val="none" w:sz="0" w:space="0" w:color="auto"/>
        <w:left w:val="none" w:sz="0" w:space="0" w:color="auto"/>
        <w:bottom w:val="none" w:sz="0" w:space="0" w:color="auto"/>
        <w:right w:val="none" w:sz="0" w:space="0" w:color="auto"/>
      </w:divBdr>
    </w:div>
    <w:div w:id="537165174">
      <w:bodyDiv w:val="1"/>
      <w:marLeft w:val="0"/>
      <w:marRight w:val="0"/>
      <w:marTop w:val="0"/>
      <w:marBottom w:val="0"/>
      <w:divBdr>
        <w:top w:val="none" w:sz="0" w:space="0" w:color="auto"/>
        <w:left w:val="none" w:sz="0" w:space="0" w:color="auto"/>
        <w:bottom w:val="none" w:sz="0" w:space="0" w:color="auto"/>
        <w:right w:val="none" w:sz="0" w:space="0" w:color="auto"/>
      </w:divBdr>
    </w:div>
    <w:div w:id="540481370">
      <w:bodyDiv w:val="1"/>
      <w:marLeft w:val="0"/>
      <w:marRight w:val="0"/>
      <w:marTop w:val="0"/>
      <w:marBottom w:val="0"/>
      <w:divBdr>
        <w:top w:val="none" w:sz="0" w:space="0" w:color="auto"/>
        <w:left w:val="none" w:sz="0" w:space="0" w:color="auto"/>
        <w:bottom w:val="none" w:sz="0" w:space="0" w:color="auto"/>
        <w:right w:val="none" w:sz="0" w:space="0" w:color="auto"/>
      </w:divBdr>
    </w:div>
    <w:div w:id="548809881">
      <w:bodyDiv w:val="1"/>
      <w:marLeft w:val="0"/>
      <w:marRight w:val="0"/>
      <w:marTop w:val="0"/>
      <w:marBottom w:val="0"/>
      <w:divBdr>
        <w:top w:val="none" w:sz="0" w:space="0" w:color="auto"/>
        <w:left w:val="none" w:sz="0" w:space="0" w:color="auto"/>
        <w:bottom w:val="none" w:sz="0" w:space="0" w:color="auto"/>
        <w:right w:val="none" w:sz="0" w:space="0" w:color="auto"/>
      </w:divBdr>
    </w:div>
    <w:div w:id="562184680">
      <w:bodyDiv w:val="1"/>
      <w:marLeft w:val="0"/>
      <w:marRight w:val="0"/>
      <w:marTop w:val="0"/>
      <w:marBottom w:val="0"/>
      <w:divBdr>
        <w:top w:val="none" w:sz="0" w:space="0" w:color="auto"/>
        <w:left w:val="none" w:sz="0" w:space="0" w:color="auto"/>
        <w:bottom w:val="none" w:sz="0" w:space="0" w:color="auto"/>
        <w:right w:val="none" w:sz="0" w:space="0" w:color="auto"/>
      </w:divBdr>
    </w:div>
    <w:div w:id="565991115">
      <w:bodyDiv w:val="1"/>
      <w:marLeft w:val="0"/>
      <w:marRight w:val="0"/>
      <w:marTop w:val="0"/>
      <w:marBottom w:val="0"/>
      <w:divBdr>
        <w:top w:val="none" w:sz="0" w:space="0" w:color="auto"/>
        <w:left w:val="none" w:sz="0" w:space="0" w:color="auto"/>
        <w:bottom w:val="none" w:sz="0" w:space="0" w:color="auto"/>
        <w:right w:val="none" w:sz="0" w:space="0" w:color="auto"/>
      </w:divBdr>
    </w:div>
    <w:div w:id="592517493">
      <w:bodyDiv w:val="1"/>
      <w:marLeft w:val="0"/>
      <w:marRight w:val="0"/>
      <w:marTop w:val="0"/>
      <w:marBottom w:val="0"/>
      <w:divBdr>
        <w:top w:val="none" w:sz="0" w:space="0" w:color="auto"/>
        <w:left w:val="none" w:sz="0" w:space="0" w:color="auto"/>
        <w:bottom w:val="none" w:sz="0" w:space="0" w:color="auto"/>
        <w:right w:val="none" w:sz="0" w:space="0" w:color="auto"/>
      </w:divBdr>
    </w:div>
    <w:div w:id="606498989">
      <w:bodyDiv w:val="1"/>
      <w:marLeft w:val="0"/>
      <w:marRight w:val="0"/>
      <w:marTop w:val="0"/>
      <w:marBottom w:val="0"/>
      <w:divBdr>
        <w:top w:val="none" w:sz="0" w:space="0" w:color="auto"/>
        <w:left w:val="none" w:sz="0" w:space="0" w:color="auto"/>
        <w:bottom w:val="none" w:sz="0" w:space="0" w:color="auto"/>
        <w:right w:val="none" w:sz="0" w:space="0" w:color="auto"/>
      </w:divBdr>
    </w:div>
    <w:div w:id="623267467">
      <w:bodyDiv w:val="1"/>
      <w:marLeft w:val="0"/>
      <w:marRight w:val="0"/>
      <w:marTop w:val="0"/>
      <w:marBottom w:val="0"/>
      <w:divBdr>
        <w:top w:val="none" w:sz="0" w:space="0" w:color="auto"/>
        <w:left w:val="none" w:sz="0" w:space="0" w:color="auto"/>
        <w:bottom w:val="none" w:sz="0" w:space="0" w:color="auto"/>
        <w:right w:val="none" w:sz="0" w:space="0" w:color="auto"/>
      </w:divBdr>
    </w:div>
    <w:div w:id="634021972">
      <w:bodyDiv w:val="1"/>
      <w:marLeft w:val="0"/>
      <w:marRight w:val="0"/>
      <w:marTop w:val="0"/>
      <w:marBottom w:val="0"/>
      <w:divBdr>
        <w:top w:val="none" w:sz="0" w:space="0" w:color="auto"/>
        <w:left w:val="none" w:sz="0" w:space="0" w:color="auto"/>
        <w:bottom w:val="none" w:sz="0" w:space="0" w:color="auto"/>
        <w:right w:val="none" w:sz="0" w:space="0" w:color="auto"/>
      </w:divBdr>
    </w:div>
    <w:div w:id="636954697">
      <w:bodyDiv w:val="1"/>
      <w:marLeft w:val="0"/>
      <w:marRight w:val="0"/>
      <w:marTop w:val="0"/>
      <w:marBottom w:val="0"/>
      <w:divBdr>
        <w:top w:val="none" w:sz="0" w:space="0" w:color="auto"/>
        <w:left w:val="none" w:sz="0" w:space="0" w:color="auto"/>
        <w:bottom w:val="none" w:sz="0" w:space="0" w:color="auto"/>
        <w:right w:val="none" w:sz="0" w:space="0" w:color="auto"/>
      </w:divBdr>
    </w:div>
    <w:div w:id="654146695">
      <w:bodyDiv w:val="1"/>
      <w:marLeft w:val="0"/>
      <w:marRight w:val="0"/>
      <w:marTop w:val="0"/>
      <w:marBottom w:val="0"/>
      <w:divBdr>
        <w:top w:val="none" w:sz="0" w:space="0" w:color="auto"/>
        <w:left w:val="none" w:sz="0" w:space="0" w:color="auto"/>
        <w:bottom w:val="none" w:sz="0" w:space="0" w:color="auto"/>
        <w:right w:val="none" w:sz="0" w:space="0" w:color="auto"/>
      </w:divBdr>
    </w:div>
    <w:div w:id="664938916">
      <w:bodyDiv w:val="1"/>
      <w:marLeft w:val="0"/>
      <w:marRight w:val="0"/>
      <w:marTop w:val="0"/>
      <w:marBottom w:val="0"/>
      <w:divBdr>
        <w:top w:val="none" w:sz="0" w:space="0" w:color="auto"/>
        <w:left w:val="none" w:sz="0" w:space="0" w:color="auto"/>
        <w:bottom w:val="none" w:sz="0" w:space="0" w:color="auto"/>
        <w:right w:val="none" w:sz="0" w:space="0" w:color="auto"/>
      </w:divBdr>
    </w:div>
    <w:div w:id="672226027">
      <w:bodyDiv w:val="1"/>
      <w:marLeft w:val="0"/>
      <w:marRight w:val="0"/>
      <w:marTop w:val="0"/>
      <w:marBottom w:val="0"/>
      <w:divBdr>
        <w:top w:val="none" w:sz="0" w:space="0" w:color="auto"/>
        <w:left w:val="none" w:sz="0" w:space="0" w:color="auto"/>
        <w:bottom w:val="none" w:sz="0" w:space="0" w:color="auto"/>
        <w:right w:val="none" w:sz="0" w:space="0" w:color="auto"/>
      </w:divBdr>
    </w:div>
    <w:div w:id="675810452">
      <w:bodyDiv w:val="1"/>
      <w:marLeft w:val="0"/>
      <w:marRight w:val="0"/>
      <w:marTop w:val="0"/>
      <w:marBottom w:val="0"/>
      <w:divBdr>
        <w:top w:val="none" w:sz="0" w:space="0" w:color="auto"/>
        <w:left w:val="none" w:sz="0" w:space="0" w:color="auto"/>
        <w:bottom w:val="none" w:sz="0" w:space="0" w:color="auto"/>
        <w:right w:val="none" w:sz="0" w:space="0" w:color="auto"/>
      </w:divBdr>
    </w:div>
    <w:div w:id="677193490">
      <w:bodyDiv w:val="1"/>
      <w:marLeft w:val="0"/>
      <w:marRight w:val="0"/>
      <w:marTop w:val="0"/>
      <w:marBottom w:val="0"/>
      <w:divBdr>
        <w:top w:val="none" w:sz="0" w:space="0" w:color="auto"/>
        <w:left w:val="none" w:sz="0" w:space="0" w:color="auto"/>
        <w:bottom w:val="none" w:sz="0" w:space="0" w:color="auto"/>
        <w:right w:val="none" w:sz="0" w:space="0" w:color="auto"/>
      </w:divBdr>
    </w:div>
    <w:div w:id="692153436">
      <w:bodyDiv w:val="1"/>
      <w:marLeft w:val="0"/>
      <w:marRight w:val="0"/>
      <w:marTop w:val="0"/>
      <w:marBottom w:val="0"/>
      <w:divBdr>
        <w:top w:val="none" w:sz="0" w:space="0" w:color="auto"/>
        <w:left w:val="none" w:sz="0" w:space="0" w:color="auto"/>
        <w:bottom w:val="none" w:sz="0" w:space="0" w:color="auto"/>
        <w:right w:val="none" w:sz="0" w:space="0" w:color="auto"/>
      </w:divBdr>
    </w:div>
    <w:div w:id="695039435">
      <w:bodyDiv w:val="1"/>
      <w:marLeft w:val="0"/>
      <w:marRight w:val="0"/>
      <w:marTop w:val="0"/>
      <w:marBottom w:val="0"/>
      <w:divBdr>
        <w:top w:val="none" w:sz="0" w:space="0" w:color="auto"/>
        <w:left w:val="none" w:sz="0" w:space="0" w:color="auto"/>
        <w:bottom w:val="none" w:sz="0" w:space="0" w:color="auto"/>
        <w:right w:val="none" w:sz="0" w:space="0" w:color="auto"/>
      </w:divBdr>
    </w:div>
    <w:div w:id="703291933">
      <w:bodyDiv w:val="1"/>
      <w:marLeft w:val="0"/>
      <w:marRight w:val="0"/>
      <w:marTop w:val="0"/>
      <w:marBottom w:val="0"/>
      <w:divBdr>
        <w:top w:val="none" w:sz="0" w:space="0" w:color="auto"/>
        <w:left w:val="none" w:sz="0" w:space="0" w:color="auto"/>
        <w:bottom w:val="none" w:sz="0" w:space="0" w:color="auto"/>
        <w:right w:val="none" w:sz="0" w:space="0" w:color="auto"/>
      </w:divBdr>
    </w:div>
    <w:div w:id="711461117">
      <w:bodyDiv w:val="1"/>
      <w:marLeft w:val="0"/>
      <w:marRight w:val="0"/>
      <w:marTop w:val="0"/>
      <w:marBottom w:val="0"/>
      <w:divBdr>
        <w:top w:val="none" w:sz="0" w:space="0" w:color="auto"/>
        <w:left w:val="none" w:sz="0" w:space="0" w:color="auto"/>
        <w:bottom w:val="none" w:sz="0" w:space="0" w:color="auto"/>
        <w:right w:val="none" w:sz="0" w:space="0" w:color="auto"/>
      </w:divBdr>
    </w:div>
    <w:div w:id="735319498">
      <w:bodyDiv w:val="1"/>
      <w:marLeft w:val="0"/>
      <w:marRight w:val="0"/>
      <w:marTop w:val="0"/>
      <w:marBottom w:val="0"/>
      <w:divBdr>
        <w:top w:val="none" w:sz="0" w:space="0" w:color="auto"/>
        <w:left w:val="none" w:sz="0" w:space="0" w:color="auto"/>
        <w:bottom w:val="none" w:sz="0" w:space="0" w:color="auto"/>
        <w:right w:val="none" w:sz="0" w:space="0" w:color="auto"/>
      </w:divBdr>
    </w:div>
    <w:div w:id="742532538">
      <w:bodyDiv w:val="1"/>
      <w:marLeft w:val="0"/>
      <w:marRight w:val="0"/>
      <w:marTop w:val="0"/>
      <w:marBottom w:val="0"/>
      <w:divBdr>
        <w:top w:val="none" w:sz="0" w:space="0" w:color="auto"/>
        <w:left w:val="none" w:sz="0" w:space="0" w:color="auto"/>
        <w:bottom w:val="none" w:sz="0" w:space="0" w:color="auto"/>
        <w:right w:val="none" w:sz="0" w:space="0" w:color="auto"/>
      </w:divBdr>
    </w:div>
    <w:div w:id="743452262">
      <w:bodyDiv w:val="1"/>
      <w:marLeft w:val="0"/>
      <w:marRight w:val="0"/>
      <w:marTop w:val="0"/>
      <w:marBottom w:val="0"/>
      <w:divBdr>
        <w:top w:val="none" w:sz="0" w:space="0" w:color="auto"/>
        <w:left w:val="none" w:sz="0" w:space="0" w:color="auto"/>
        <w:bottom w:val="none" w:sz="0" w:space="0" w:color="auto"/>
        <w:right w:val="none" w:sz="0" w:space="0" w:color="auto"/>
      </w:divBdr>
    </w:div>
    <w:div w:id="743796782">
      <w:bodyDiv w:val="1"/>
      <w:marLeft w:val="0"/>
      <w:marRight w:val="0"/>
      <w:marTop w:val="0"/>
      <w:marBottom w:val="0"/>
      <w:divBdr>
        <w:top w:val="none" w:sz="0" w:space="0" w:color="auto"/>
        <w:left w:val="none" w:sz="0" w:space="0" w:color="auto"/>
        <w:bottom w:val="none" w:sz="0" w:space="0" w:color="auto"/>
        <w:right w:val="none" w:sz="0" w:space="0" w:color="auto"/>
      </w:divBdr>
    </w:div>
    <w:div w:id="749548744">
      <w:bodyDiv w:val="1"/>
      <w:marLeft w:val="0"/>
      <w:marRight w:val="0"/>
      <w:marTop w:val="0"/>
      <w:marBottom w:val="0"/>
      <w:divBdr>
        <w:top w:val="none" w:sz="0" w:space="0" w:color="auto"/>
        <w:left w:val="none" w:sz="0" w:space="0" w:color="auto"/>
        <w:bottom w:val="none" w:sz="0" w:space="0" w:color="auto"/>
        <w:right w:val="none" w:sz="0" w:space="0" w:color="auto"/>
      </w:divBdr>
    </w:div>
    <w:div w:id="762841110">
      <w:bodyDiv w:val="1"/>
      <w:marLeft w:val="0"/>
      <w:marRight w:val="0"/>
      <w:marTop w:val="0"/>
      <w:marBottom w:val="0"/>
      <w:divBdr>
        <w:top w:val="none" w:sz="0" w:space="0" w:color="auto"/>
        <w:left w:val="none" w:sz="0" w:space="0" w:color="auto"/>
        <w:bottom w:val="none" w:sz="0" w:space="0" w:color="auto"/>
        <w:right w:val="none" w:sz="0" w:space="0" w:color="auto"/>
      </w:divBdr>
    </w:div>
    <w:div w:id="763377058">
      <w:bodyDiv w:val="1"/>
      <w:marLeft w:val="0"/>
      <w:marRight w:val="0"/>
      <w:marTop w:val="0"/>
      <w:marBottom w:val="0"/>
      <w:divBdr>
        <w:top w:val="none" w:sz="0" w:space="0" w:color="auto"/>
        <w:left w:val="none" w:sz="0" w:space="0" w:color="auto"/>
        <w:bottom w:val="none" w:sz="0" w:space="0" w:color="auto"/>
        <w:right w:val="none" w:sz="0" w:space="0" w:color="auto"/>
      </w:divBdr>
    </w:div>
    <w:div w:id="771513583">
      <w:bodyDiv w:val="1"/>
      <w:marLeft w:val="0"/>
      <w:marRight w:val="0"/>
      <w:marTop w:val="0"/>
      <w:marBottom w:val="0"/>
      <w:divBdr>
        <w:top w:val="none" w:sz="0" w:space="0" w:color="auto"/>
        <w:left w:val="none" w:sz="0" w:space="0" w:color="auto"/>
        <w:bottom w:val="none" w:sz="0" w:space="0" w:color="auto"/>
        <w:right w:val="none" w:sz="0" w:space="0" w:color="auto"/>
      </w:divBdr>
    </w:div>
    <w:div w:id="774248096">
      <w:bodyDiv w:val="1"/>
      <w:marLeft w:val="0"/>
      <w:marRight w:val="0"/>
      <w:marTop w:val="0"/>
      <w:marBottom w:val="0"/>
      <w:divBdr>
        <w:top w:val="none" w:sz="0" w:space="0" w:color="auto"/>
        <w:left w:val="none" w:sz="0" w:space="0" w:color="auto"/>
        <w:bottom w:val="none" w:sz="0" w:space="0" w:color="auto"/>
        <w:right w:val="none" w:sz="0" w:space="0" w:color="auto"/>
      </w:divBdr>
    </w:div>
    <w:div w:id="776799381">
      <w:bodyDiv w:val="1"/>
      <w:marLeft w:val="0"/>
      <w:marRight w:val="0"/>
      <w:marTop w:val="0"/>
      <w:marBottom w:val="0"/>
      <w:divBdr>
        <w:top w:val="none" w:sz="0" w:space="0" w:color="auto"/>
        <w:left w:val="none" w:sz="0" w:space="0" w:color="auto"/>
        <w:bottom w:val="none" w:sz="0" w:space="0" w:color="auto"/>
        <w:right w:val="none" w:sz="0" w:space="0" w:color="auto"/>
      </w:divBdr>
    </w:div>
    <w:div w:id="779687475">
      <w:bodyDiv w:val="1"/>
      <w:marLeft w:val="0"/>
      <w:marRight w:val="0"/>
      <w:marTop w:val="0"/>
      <w:marBottom w:val="0"/>
      <w:divBdr>
        <w:top w:val="none" w:sz="0" w:space="0" w:color="auto"/>
        <w:left w:val="none" w:sz="0" w:space="0" w:color="auto"/>
        <w:bottom w:val="none" w:sz="0" w:space="0" w:color="auto"/>
        <w:right w:val="none" w:sz="0" w:space="0" w:color="auto"/>
      </w:divBdr>
    </w:div>
    <w:div w:id="795953896">
      <w:bodyDiv w:val="1"/>
      <w:marLeft w:val="0"/>
      <w:marRight w:val="0"/>
      <w:marTop w:val="0"/>
      <w:marBottom w:val="0"/>
      <w:divBdr>
        <w:top w:val="none" w:sz="0" w:space="0" w:color="auto"/>
        <w:left w:val="none" w:sz="0" w:space="0" w:color="auto"/>
        <w:bottom w:val="none" w:sz="0" w:space="0" w:color="auto"/>
        <w:right w:val="none" w:sz="0" w:space="0" w:color="auto"/>
      </w:divBdr>
    </w:div>
    <w:div w:id="796491367">
      <w:bodyDiv w:val="1"/>
      <w:marLeft w:val="0"/>
      <w:marRight w:val="0"/>
      <w:marTop w:val="0"/>
      <w:marBottom w:val="0"/>
      <w:divBdr>
        <w:top w:val="none" w:sz="0" w:space="0" w:color="auto"/>
        <w:left w:val="none" w:sz="0" w:space="0" w:color="auto"/>
        <w:bottom w:val="none" w:sz="0" w:space="0" w:color="auto"/>
        <w:right w:val="none" w:sz="0" w:space="0" w:color="auto"/>
      </w:divBdr>
    </w:div>
    <w:div w:id="798110057">
      <w:bodyDiv w:val="1"/>
      <w:marLeft w:val="0"/>
      <w:marRight w:val="0"/>
      <w:marTop w:val="0"/>
      <w:marBottom w:val="0"/>
      <w:divBdr>
        <w:top w:val="none" w:sz="0" w:space="0" w:color="auto"/>
        <w:left w:val="none" w:sz="0" w:space="0" w:color="auto"/>
        <w:bottom w:val="none" w:sz="0" w:space="0" w:color="auto"/>
        <w:right w:val="none" w:sz="0" w:space="0" w:color="auto"/>
      </w:divBdr>
    </w:div>
    <w:div w:id="803544914">
      <w:bodyDiv w:val="1"/>
      <w:marLeft w:val="0"/>
      <w:marRight w:val="0"/>
      <w:marTop w:val="0"/>
      <w:marBottom w:val="0"/>
      <w:divBdr>
        <w:top w:val="none" w:sz="0" w:space="0" w:color="auto"/>
        <w:left w:val="none" w:sz="0" w:space="0" w:color="auto"/>
        <w:bottom w:val="none" w:sz="0" w:space="0" w:color="auto"/>
        <w:right w:val="none" w:sz="0" w:space="0" w:color="auto"/>
      </w:divBdr>
    </w:div>
    <w:div w:id="803893669">
      <w:bodyDiv w:val="1"/>
      <w:marLeft w:val="0"/>
      <w:marRight w:val="0"/>
      <w:marTop w:val="0"/>
      <w:marBottom w:val="0"/>
      <w:divBdr>
        <w:top w:val="none" w:sz="0" w:space="0" w:color="auto"/>
        <w:left w:val="none" w:sz="0" w:space="0" w:color="auto"/>
        <w:bottom w:val="none" w:sz="0" w:space="0" w:color="auto"/>
        <w:right w:val="none" w:sz="0" w:space="0" w:color="auto"/>
      </w:divBdr>
    </w:div>
    <w:div w:id="805395565">
      <w:bodyDiv w:val="1"/>
      <w:marLeft w:val="0"/>
      <w:marRight w:val="0"/>
      <w:marTop w:val="0"/>
      <w:marBottom w:val="0"/>
      <w:divBdr>
        <w:top w:val="none" w:sz="0" w:space="0" w:color="auto"/>
        <w:left w:val="none" w:sz="0" w:space="0" w:color="auto"/>
        <w:bottom w:val="none" w:sz="0" w:space="0" w:color="auto"/>
        <w:right w:val="none" w:sz="0" w:space="0" w:color="auto"/>
      </w:divBdr>
    </w:div>
    <w:div w:id="818037951">
      <w:bodyDiv w:val="1"/>
      <w:marLeft w:val="0"/>
      <w:marRight w:val="0"/>
      <w:marTop w:val="0"/>
      <w:marBottom w:val="0"/>
      <w:divBdr>
        <w:top w:val="none" w:sz="0" w:space="0" w:color="auto"/>
        <w:left w:val="none" w:sz="0" w:space="0" w:color="auto"/>
        <w:bottom w:val="none" w:sz="0" w:space="0" w:color="auto"/>
        <w:right w:val="none" w:sz="0" w:space="0" w:color="auto"/>
      </w:divBdr>
    </w:div>
    <w:div w:id="844444878">
      <w:bodyDiv w:val="1"/>
      <w:marLeft w:val="0"/>
      <w:marRight w:val="0"/>
      <w:marTop w:val="0"/>
      <w:marBottom w:val="0"/>
      <w:divBdr>
        <w:top w:val="none" w:sz="0" w:space="0" w:color="auto"/>
        <w:left w:val="none" w:sz="0" w:space="0" w:color="auto"/>
        <w:bottom w:val="none" w:sz="0" w:space="0" w:color="auto"/>
        <w:right w:val="none" w:sz="0" w:space="0" w:color="auto"/>
      </w:divBdr>
    </w:div>
    <w:div w:id="850291004">
      <w:bodyDiv w:val="1"/>
      <w:marLeft w:val="0"/>
      <w:marRight w:val="0"/>
      <w:marTop w:val="0"/>
      <w:marBottom w:val="0"/>
      <w:divBdr>
        <w:top w:val="none" w:sz="0" w:space="0" w:color="auto"/>
        <w:left w:val="none" w:sz="0" w:space="0" w:color="auto"/>
        <w:bottom w:val="none" w:sz="0" w:space="0" w:color="auto"/>
        <w:right w:val="none" w:sz="0" w:space="0" w:color="auto"/>
      </w:divBdr>
    </w:div>
    <w:div w:id="862936590">
      <w:bodyDiv w:val="1"/>
      <w:marLeft w:val="0"/>
      <w:marRight w:val="0"/>
      <w:marTop w:val="0"/>
      <w:marBottom w:val="0"/>
      <w:divBdr>
        <w:top w:val="none" w:sz="0" w:space="0" w:color="auto"/>
        <w:left w:val="none" w:sz="0" w:space="0" w:color="auto"/>
        <w:bottom w:val="none" w:sz="0" w:space="0" w:color="auto"/>
        <w:right w:val="none" w:sz="0" w:space="0" w:color="auto"/>
      </w:divBdr>
    </w:div>
    <w:div w:id="862982735">
      <w:bodyDiv w:val="1"/>
      <w:marLeft w:val="0"/>
      <w:marRight w:val="0"/>
      <w:marTop w:val="0"/>
      <w:marBottom w:val="0"/>
      <w:divBdr>
        <w:top w:val="none" w:sz="0" w:space="0" w:color="auto"/>
        <w:left w:val="none" w:sz="0" w:space="0" w:color="auto"/>
        <w:bottom w:val="none" w:sz="0" w:space="0" w:color="auto"/>
        <w:right w:val="none" w:sz="0" w:space="0" w:color="auto"/>
      </w:divBdr>
    </w:div>
    <w:div w:id="866406782">
      <w:bodyDiv w:val="1"/>
      <w:marLeft w:val="0"/>
      <w:marRight w:val="0"/>
      <w:marTop w:val="0"/>
      <w:marBottom w:val="0"/>
      <w:divBdr>
        <w:top w:val="none" w:sz="0" w:space="0" w:color="auto"/>
        <w:left w:val="none" w:sz="0" w:space="0" w:color="auto"/>
        <w:bottom w:val="none" w:sz="0" w:space="0" w:color="auto"/>
        <w:right w:val="none" w:sz="0" w:space="0" w:color="auto"/>
      </w:divBdr>
    </w:div>
    <w:div w:id="869688663">
      <w:bodyDiv w:val="1"/>
      <w:marLeft w:val="0"/>
      <w:marRight w:val="0"/>
      <w:marTop w:val="0"/>
      <w:marBottom w:val="0"/>
      <w:divBdr>
        <w:top w:val="none" w:sz="0" w:space="0" w:color="auto"/>
        <w:left w:val="none" w:sz="0" w:space="0" w:color="auto"/>
        <w:bottom w:val="none" w:sz="0" w:space="0" w:color="auto"/>
        <w:right w:val="none" w:sz="0" w:space="0" w:color="auto"/>
      </w:divBdr>
    </w:div>
    <w:div w:id="882400839">
      <w:bodyDiv w:val="1"/>
      <w:marLeft w:val="0"/>
      <w:marRight w:val="0"/>
      <w:marTop w:val="0"/>
      <w:marBottom w:val="0"/>
      <w:divBdr>
        <w:top w:val="none" w:sz="0" w:space="0" w:color="auto"/>
        <w:left w:val="none" w:sz="0" w:space="0" w:color="auto"/>
        <w:bottom w:val="none" w:sz="0" w:space="0" w:color="auto"/>
        <w:right w:val="none" w:sz="0" w:space="0" w:color="auto"/>
      </w:divBdr>
    </w:div>
    <w:div w:id="884489940">
      <w:bodyDiv w:val="1"/>
      <w:marLeft w:val="0"/>
      <w:marRight w:val="0"/>
      <w:marTop w:val="0"/>
      <w:marBottom w:val="0"/>
      <w:divBdr>
        <w:top w:val="none" w:sz="0" w:space="0" w:color="auto"/>
        <w:left w:val="none" w:sz="0" w:space="0" w:color="auto"/>
        <w:bottom w:val="none" w:sz="0" w:space="0" w:color="auto"/>
        <w:right w:val="none" w:sz="0" w:space="0" w:color="auto"/>
      </w:divBdr>
    </w:div>
    <w:div w:id="884878557">
      <w:bodyDiv w:val="1"/>
      <w:marLeft w:val="0"/>
      <w:marRight w:val="0"/>
      <w:marTop w:val="0"/>
      <w:marBottom w:val="0"/>
      <w:divBdr>
        <w:top w:val="none" w:sz="0" w:space="0" w:color="auto"/>
        <w:left w:val="none" w:sz="0" w:space="0" w:color="auto"/>
        <w:bottom w:val="none" w:sz="0" w:space="0" w:color="auto"/>
        <w:right w:val="none" w:sz="0" w:space="0" w:color="auto"/>
      </w:divBdr>
    </w:div>
    <w:div w:id="893932945">
      <w:bodyDiv w:val="1"/>
      <w:marLeft w:val="0"/>
      <w:marRight w:val="0"/>
      <w:marTop w:val="0"/>
      <w:marBottom w:val="0"/>
      <w:divBdr>
        <w:top w:val="none" w:sz="0" w:space="0" w:color="auto"/>
        <w:left w:val="none" w:sz="0" w:space="0" w:color="auto"/>
        <w:bottom w:val="none" w:sz="0" w:space="0" w:color="auto"/>
        <w:right w:val="none" w:sz="0" w:space="0" w:color="auto"/>
      </w:divBdr>
    </w:div>
    <w:div w:id="947465592">
      <w:bodyDiv w:val="1"/>
      <w:marLeft w:val="0"/>
      <w:marRight w:val="0"/>
      <w:marTop w:val="0"/>
      <w:marBottom w:val="0"/>
      <w:divBdr>
        <w:top w:val="none" w:sz="0" w:space="0" w:color="auto"/>
        <w:left w:val="none" w:sz="0" w:space="0" w:color="auto"/>
        <w:bottom w:val="none" w:sz="0" w:space="0" w:color="auto"/>
        <w:right w:val="none" w:sz="0" w:space="0" w:color="auto"/>
      </w:divBdr>
    </w:div>
    <w:div w:id="969015375">
      <w:bodyDiv w:val="1"/>
      <w:marLeft w:val="0"/>
      <w:marRight w:val="0"/>
      <w:marTop w:val="0"/>
      <w:marBottom w:val="0"/>
      <w:divBdr>
        <w:top w:val="none" w:sz="0" w:space="0" w:color="auto"/>
        <w:left w:val="none" w:sz="0" w:space="0" w:color="auto"/>
        <w:bottom w:val="none" w:sz="0" w:space="0" w:color="auto"/>
        <w:right w:val="none" w:sz="0" w:space="0" w:color="auto"/>
      </w:divBdr>
    </w:div>
    <w:div w:id="969942591">
      <w:bodyDiv w:val="1"/>
      <w:marLeft w:val="0"/>
      <w:marRight w:val="0"/>
      <w:marTop w:val="0"/>
      <w:marBottom w:val="0"/>
      <w:divBdr>
        <w:top w:val="none" w:sz="0" w:space="0" w:color="auto"/>
        <w:left w:val="none" w:sz="0" w:space="0" w:color="auto"/>
        <w:bottom w:val="none" w:sz="0" w:space="0" w:color="auto"/>
        <w:right w:val="none" w:sz="0" w:space="0" w:color="auto"/>
      </w:divBdr>
    </w:div>
    <w:div w:id="977995021">
      <w:bodyDiv w:val="1"/>
      <w:marLeft w:val="0"/>
      <w:marRight w:val="0"/>
      <w:marTop w:val="0"/>
      <w:marBottom w:val="0"/>
      <w:divBdr>
        <w:top w:val="none" w:sz="0" w:space="0" w:color="auto"/>
        <w:left w:val="none" w:sz="0" w:space="0" w:color="auto"/>
        <w:bottom w:val="none" w:sz="0" w:space="0" w:color="auto"/>
        <w:right w:val="none" w:sz="0" w:space="0" w:color="auto"/>
      </w:divBdr>
    </w:div>
    <w:div w:id="980228595">
      <w:bodyDiv w:val="1"/>
      <w:marLeft w:val="0"/>
      <w:marRight w:val="0"/>
      <w:marTop w:val="0"/>
      <w:marBottom w:val="0"/>
      <w:divBdr>
        <w:top w:val="none" w:sz="0" w:space="0" w:color="auto"/>
        <w:left w:val="none" w:sz="0" w:space="0" w:color="auto"/>
        <w:bottom w:val="none" w:sz="0" w:space="0" w:color="auto"/>
        <w:right w:val="none" w:sz="0" w:space="0" w:color="auto"/>
      </w:divBdr>
    </w:div>
    <w:div w:id="981543730">
      <w:bodyDiv w:val="1"/>
      <w:marLeft w:val="0"/>
      <w:marRight w:val="0"/>
      <w:marTop w:val="0"/>
      <w:marBottom w:val="0"/>
      <w:divBdr>
        <w:top w:val="none" w:sz="0" w:space="0" w:color="auto"/>
        <w:left w:val="none" w:sz="0" w:space="0" w:color="auto"/>
        <w:bottom w:val="none" w:sz="0" w:space="0" w:color="auto"/>
        <w:right w:val="none" w:sz="0" w:space="0" w:color="auto"/>
      </w:divBdr>
    </w:div>
    <w:div w:id="993526126">
      <w:bodyDiv w:val="1"/>
      <w:marLeft w:val="0"/>
      <w:marRight w:val="0"/>
      <w:marTop w:val="0"/>
      <w:marBottom w:val="0"/>
      <w:divBdr>
        <w:top w:val="none" w:sz="0" w:space="0" w:color="auto"/>
        <w:left w:val="none" w:sz="0" w:space="0" w:color="auto"/>
        <w:bottom w:val="none" w:sz="0" w:space="0" w:color="auto"/>
        <w:right w:val="none" w:sz="0" w:space="0" w:color="auto"/>
      </w:divBdr>
    </w:div>
    <w:div w:id="993870981">
      <w:bodyDiv w:val="1"/>
      <w:marLeft w:val="0"/>
      <w:marRight w:val="0"/>
      <w:marTop w:val="0"/>
      <w:marBottom w:val="0"/>
      <w:divBdr>
        <w:top w:val="none" w:sz="0" w:space="0" w:color="auto"/>
        <w:left w:val="none" w:sz="0" w:space="0" w:color="auto"/>
        <w:bottom w:val="none" w:sz="0" w:space="0" w:color="auto"/>
        <w:right w:val="none" w:sz="0" w:space="0" w:color="auto"/>
      </w:divBdr>
    </w:div>
    <w:div w:id="1002506774">
      <w:bodyDiv w:val="1"/>
      <w:marLeft w:val="0"/>
      <w:marRight w:val="0"/>
      <w:marTop w:val="0"/>
      <w:marBottom w:val="0"/>
      <w:divBdr>
        <w:top w:val="none" w:sz="0" w:space="0" w:color="auto"/>
        <w:left w:val="none" w:sz="0" w:space="0" w:color="auto"/>
        <w:bottom w:val="none" w:sz="0" w:space="0" w:color="auto"/>
        <w:right w:val="none" w:sz="0" w:space="0" w:color="auto"/>
      </w:divBdr>
    </w:div>
    <w:div w:id="1004473457">
      <w:bodyDiv w:val="1"/>
      <w:marLeft w:val="0"/>
      <w:marRight w:val="0"/>
      <w:marTop w:val="0"/>
      <w:marBottom w:val="0"/>
      <w:divBdr>
        <w:top w:val="none" w:sz="0" w:space="0" w:color="auto"/>
        <w:left w:val="none" w:sz="0" w:space="0" w:color="auto"/>
        <w:bottom w:val="none" w:sz="0" w:space="0" w:color="auto"/>
        <w:right w:val="none" w:sz="0" w:space="0" w:color="auto"/>
      </w:divBdr>
    </w:div>
    <w:div w:id="1011103173">
      <w:bodyDiv w:val="1"/>
      <w:marLeft w:val="0"/>
      <w:marRight w:val="0"/>
      <w:marTop w:val="0"/>
      <w:marBottom w:val="0"/>
      <w:divBdr>
        <w:top w:val="none" w:sz="0" w:space="0" w:color="auto"/>
        <w:left w:val="none" w:sz="0" w:space="0" w:color="auto"/>
        <w:bottom w:val="none" w:sz="0" w:space="0" w:color="auto"/>
        <w:right w:val="none" w:sz="0" w:space="0" w:color="auto"/>
      </w:divBdr>
    </w:div>
    <w:div w:id="1012099634">
      <w:bodyDiv w:val="1"/>
      <w:marLeft w:val="0"/>
      <w:marRight w:val="0"/>
      <w:marTop w:val="0"/>
      <w:marBottom w:val="0"/>
      <w:divBdr>
        <w:top w:val="none" w:sz="0" w:space="0" w:color="auto"/>
        <w:left w:val="none" w:sz="0" w:space="0" w:color="auto"/>
        <w:bottom w:val="none" w:sz="0" w:space="0" w:color="auto"/>
        <w:right w:val="none" w:sz="0" w:space="0" w:color="auto"/>
      </w:divBdr>
    </w:div>
    <w:div w:id="1012993810">
      <w:bodyDiv w:val="1"/>
      <w:marLeft w:val="0"/>
      <w:marRight w:val="0"/>
      <w:marTop w:val="0"/>
      <w:marBottom w:val="0"/>
      <w:divBdr>
        <w:top w:val="none" w:sz="0" w:space="0" w:color="auto"/>
        <w:left w:val="none" w:sz="0" w:space="0" w:color="auto"/>
        <w:bottom w:val="none" w:sz="0" w:space="0" w:color="auto"/>
        <w:right w:val="none" w:sz="0" w:space="0" w:color="auto"/>
      </w:divBdr>
    </w:div>
    <w:div w:id="1025908850">
      <w:bodyDiv w:val="1"/>
      <w:marLeft w:val="0"/>
      <w:marRight w:val="0"/>
      <w:marTop w:val="0"/>
      <w:marBottom w:val="0"/>
      <w:divBdr>
        <w:top w:val="none" w:sz="0" w:space="0" w:color="auto"/>
        <w:left w:val="none" w:sz="0" w:space="0" w:color="auto"/>
        <w:bottom w:val="none" w:sz="0" w:space="0" w:color="auto"/>
        <w:right w:val="none" w:sz="0" w:space="0" w:color="auto"/>
      </w:divBdr>
    </w:div>
    <w:div w:id="1030842639">
      <w:bodyDiv w:val="1"/>
      <w:marLeft w:val="0"/>
      <w:marRight w:val="0"/>
      <w:marTop w:val="0"/>
      <w:marBottom w:val="0"/>
      <w:divBdr>
        <w:top w:val="none" w:sz="0" w:space="0" w:color="auto"/>
        <w:left w:val="none" w:sz="0" w:space="0" w:color="auto"/>
        <w:bottom w:val="none" w:sz="0" w:space="0" w:color="auto"/>
        <w:right w:val="none" w:sz="0" w:space="0" w:color="auto"/>
      </w:divBdr>
    </w:div>
    <w:div w:id="1033189688">
      <w:bodyDiv w:val="1"/>
      <w:marLeft w:val="0"/>
      <w:marRight w:val="0"/>
      <w:marTop w:val="0"/>
      <w:marBottom w:val="0"/>
      <w:divBdr>
        <w:top w:val="none" w:sz="0" w:space="0" w:color="auto"/>
        <w:left w:val="none" w:sz="0" w:space="0" w:color="auto"/>
        <w:bottom w:val="none" w:sz="0" w:space="0" w:color="auto"/>
        <w:right w:val="none" w:sz="0" w:space="0" w:color="auto"/>
      </w:divBdr>
    </w:div>
    <w:div w:id="1033268900">
      <w:bodyDiv w:val="1"/>
      <w:marLeft w:val="0"/>
      <w:marRight w:val="0"/>
      <w:marTop w:val="0"/>
      <w:marBottom w:val="0"/>
      <w:divBdr>
        <w:top w:val="none" w:sz="0" w:space="0" w:color="auto"/>
        <w:left w:val="none" w:sz="0" w:space="0" w:color="auto"/>
        <w:bottom w:val="none" w:sz="0" w:space="0" w:color="auto"/>
        <w:right w:val="none" w:sz="0" w:space="0" w:color="auto"/>
      </w:divBdr>
    </w:div>
    <w:div w:id="1035229325">
      <w:bodyDiv w:val="1"/>
      <w:marLeft w:val="0"/>
      <w:marRight w:val="0"/>
      <w:marTop w:val="0"/>
      <w:marBottom w:val="0"/>
      <w:divBdr>
        <w:top w:val="none" w:sz="0" w:space="0" w:color="auto"/>
        <w:left w:val="none" w:sz="0" w:space="0" w:color="auto"/>
        <w:bottom w:val="none" w:sz="0" w:space="0" w:color="auto"/>
        <w:right w:val="none" w:sz="0" w:space="0" w:color="auto"/>
      </w:divBdr>
    </w:div>
    <w:div w:id="1036153734">
      <w:bodyDiv w:val="1"/>
      <w:marLeft w:val="0"/>
      <w:marRight w:val="0"/>
      <w:marTop w:val="0"/>
      <w:marBottom w:val="0"/>
      <w:divBdr>
        <w:top w:val="none" w:sz="0" w:space="0" w:color="auto"/>
        <w:left w:val="none" w:sz="0" w:space="0" w:color="auto"/>
        <w:bottom w:val="none" w:sz="0" w:space="0" w:color="auto"/>
        <w:right w:val="none" w:sz="0" w:space="0" w:color="auto"/>
      </w:divBdr>
    </w:div>
    <w:div w:id="1036194428">
      <w:bodyDiv w:val="1"/>
      <w:marLeft w:val="0"/>
      <w:marRight w:val="0"/>
      <w:marTop w:val="0"/>
      <w:marBottom w:val="0"/>
      <w:divBdr>
        <w:top w:val="none" w:sz="0" w:space="0" w:color="auto"/>
        <w:left w:val="none" w:sz="0" w:space="0" w:color="auto"/>
        <w:bottom w:val="none" w:sz="0" w:space="0" w:color="auto"/>
        <w:right w:val="none" w:sz="0" w:space="0" w:color="auto"/>
      </w:divBdr>
    </w:div>
    <w:div w:id="1046684940">
      <w:bodyDiv w:val="1"/>
      <w:marLeft w:val="0"/>
      <w:marRight w:val="0"/>
      <w:marTop w:val="0"/>
      <w:marBottom w:val="0"/>
      <w:divBdr>
        <w:top w:val="none" w:sz="0" w:space="0" w:color="auto"/>
        <w:left w:val="none" w:sz="0" w:space="0" w:color="auto"/>
        <w:bottom w:val="none" w:sz="0" w:space="0" w:color="auto"/>
        <w:right w:val="none" w:sz="0" w:space="0" w:color="auto"/>
      </w:divBdr>
    </w:div>
    <w:div w:id="1047144777">
      <w:bodyDiv w:val="1"/>
      <w:marLeft w:val="0"/>
      <w:marRight w:val="0"/>
      <w:marTop w:val="0"/>
      <w:marBottom w:val="0"/>
      <w:divBdr>
        <w:top w:val="none" w:sz="0" w:space="0" w:color="auto"/>
        <w:left w:val="none" w:sz="0" w:space="0" w:color="auto"/>
        <w:bottom w:val="none" w:sz="0" w:space="0" w:color="auto"/>
        <w:right w:val="none" w:sz="0" w:space="0" w:color="auto"/>
      </w:divBdr>
    </w:div>
    <w:div w:id="1059717366">
      <w:bodyDiv w:val="1"/>
      <w:marLeft w:val="0"/>
      <w:marRight w:val="0"/>
      <w:marTop w:val="0"/>
      <w:marBottom w:val="0"/>
      <w:divBdr>
        <w:top w:val="none" w:sz="0" w:space="0" w:color="auto"/>
        <w:left w:val="none" w:sz="0" w:space="0" w:color="auto"/>
        <w:bottom w:val="none" w:sz="0" w:space="0" w:color="auto"/>
        <w:right w:val="none" w:sz="0" w:space="0" w:color="auto"/>
      </w:divBdr>
    </w:div>
    <w:div w:id="1062679337">
      <w:bodyDiv w:val="1"/>
      <w:marLeft w:val="0"/>
      <w:marRight w:val="0"/>
      <w:marTop w:val="0"/>
      <w:marBottom w:val="0"/>
      <w:divBdr>
        <w:top w:val="none" w:sz="0" w:space="0" w:color="auto"/>
        <w:left w:val="none" w:sz="0" w:space="0" w:color="auto"/>
        <w:bottom w:val="none" w:sz="0" w:space="0" w:color="auto"/>
        <w:right w:val="none" w:sz="0" w:space="0" w:color="auto"/>
      </w:divBdr>
    </w:div>
    <w:div w:id="1066688355">
      <w:bodyDiv w:val="1"/>
      <w:marLeft w:val="0"/>
      <w:marRight w:val="0"/>
      <w:marTop w:val="0"/>
      <w:marBottom w:val="0"/>
      <w:divBdr>
        <w:top w:val="none" w:sz="0" w:space="0" w:color="auto"/>
        <w:left w:val="none" w:sz="0" w:space="0" w:color="auto"/>
        <w:bottom w:val="none" w:sz="0" w:space="0" w:color="auto"/>
        <w:right w:val="none" w:sz="0" w:space="0" w:color="auto"/>
      </w:divBdr>
    </w:div>
    <w:div w:id="1070619358">
      <w:bodyDiv w:val="1"/>
      <w:marLeft w:val="0"/>
      <w:marRight w:val="0"/>
      <w:marTop w:val="0"/>
      <w:marBottom w:val="0"/>
      <w:divBdr>
        <w:top w:val="none" w:sz="0" w:space="0" w:color="auto"/>
        <w:left w:val="none" w:sz="0" w:space="0" w:color="auto"/>
        <w:bottom w:val="none" w:sz="0" w:space="0" w:color="auto"/>
        <w:right w:val="none" w:sz="0" w:space="0" w:color="auto"/>
      </w:divBdr>
    </w:div>
    <w:div w:id="1071974296">
      <w:bodyDiv w:val="1"/>
      <w:marLeft w:val="0"/>
      <w:marRight w:val="0"/>
      <w:marTop w:val="0"/>
      <w:marBottom w:val="0"/>
      <w:divBdr>
        <w:top w:val="none" w:sz="0" w:space="0" w:color="auto"/>
        <w:left w:val="none" w:sz="0" w:space="0" w:color="auto"/>
        <w:bottom w:val="none" w:sz="0" w:space="0" w:color="auto"/>
        <w:right w:val="none" w:sz="0" w:space="0" w:color="auto"/>
      </w:divBdr>
    </w:div>
    <w:div w:id="1084061456">
      <w:bodyDiv w:val="1"/>
      <w:marLeft w:val="0"/>
      <w:marRight w:val="0"/>
      <w:marTop w:val="0"/>
      <w:marBottom w:val="0"/>
      <w:divBdr>
        <w:top w:val="none" w:sz="0" w:space="0" w:color="auto"/>
        <w:left w:val="none" w:sz="0" w:space="0" w:color="auto"/>
        <w:bottom w:val="none" w:sz="0" w:space="0" w:color="auto"/>
        <w:right w:val="none" w:sz="0" w:space="0" w:color="auto"/>
      </w:divBdr>
    </w:div>
    <w:div w:id="1093086765">
      <w:bodyDiv w:val="1"/>
      <w:marLeft w:val="0"/>
      <w:marRight w:val="0"/>
      <w:marTop w:val="0"/>
      <w:marBottom w:val="0"/>
      <w:divBdr>
        <w:top w:val="none" w:sz="0" w:space="0" w:color="auto"/>
        <w:left w:val="none" w:sz="0" w:space="0" w:color="auto"/>
        <w:bottom w:val="none" w:sz="0" w:space="0" w:color="auto"/>
        <w:right w:val="none" w:sz="0" w:space="0" w:color="auto"/>
      </w:divBdr>
    </w:div>
    <w:div w:id="1110589430">
      <w:bodyDiv w:val="1"/>
      <w:marLeft w:val="0"/>
      <w:marRight w:val="0"/>
      <w:marTop w:val="0"/>
      <w:marBottom w:val="0"/>
      <w:divBdr>
        <w:top w:val="none" w:sz="0" w:space="0" w:color="auto"/>
        <w:left w:val="none" w:sz="0" w:space="0" w:color="auto"/>
        <w:bottom w:val="none" w:sz="0" w:space="0" w:color="auto"/>
        <w:right w:val="none" w:sz="0" w:space="0" w:color="auto"/>
      </w:divBdr>
    </w:div>
    <w:div w:id="1116674860">
      <w:bodyDiv w:val="1"/>
      <w:marLeft w:val="0"/>
      <w:marRight w:val="0"/>
      <w:marTop w:val="0"/>
      <w:marBottom w:val="0"/>
      <w:divBdr>
        <w:top w:val="none" w:sz="0" w:space="0" w:color="auto"/>
        <w:left w:val="none" w:sz="0" w:space="0" w:color="auto"/>
        <w:bottom w:val="none" w:sz="0" w:space="0" w:color="auto"/>
        <w:right w:val="none" w:sz="0" w:space="0" w:color="auto"/>
      </w:divBdr>
    </w:div>
    <w:div w:id="1128814732">
      <w:bodyDiv w:val="1"/>
      <w:marLeft w:val="0"/>
      <w:marRight w:val="0"/>
      <w:marTop w:val="0"/>
      <w:marBottom w:val="0"/>
      <w:divBdr>
        <w:top w:val="none" w:sz="0" w:space="0" w:color="auto"/>
        <w:left w:val="none" w:sz="0" w:space="0" w:color="auto"/>
        <w:bottom w:val="none" w:sz="0" w:space="0" w:color="auto"/>
        <w:right w:val="none" w:sz="0" w:space="0" w:color="auto"/>
      </w:divBdr>
    </w:div>
    <w:div w:id="1138718345">
      <w:bodyDiv w:val="1"/>
      <w:marLeft w:val="0"/>
      <w:marRight w:val="0"/>
      <w:marTop w:val="0"/>
      <w:marBottom w:val="0"/>
      <w:divBdr>
        <w:top w:val="none" w:sz="0" w:space="0" w:color="auto"/>
        <w:left w:val="none" w:sz="0" w:space="0" w:color="auto"/>
        <w:bottom w:val="none" w:sz="0" w:space="0" w:color="auto"/>
        <w:right w:val="none" w:sz="0" w:space="0" w:color="auto"/>
      </w:divBdr>
    </w:div>
    <w:div w:id="1140927396">
      <w:bodyDiv w:val="1"/>
      <w:marLeft w:val="0"/>
      <w:marRight w:val="0"/>
      <w:marTop w:val="0"/>
      <w:marBottom w:val="0"/>
      <w:divBdr>
        <w:top w:val="none" w:sz="0" w:space="0" w:color="auto"/>
        <w:left w:val="none" w:sz="0" w:space="0" w:color="auto"/>
        <w:bottom w:val="none" w:sz="0" w:space="0" w:color="auto"/>
        <w:right w:val="none" w:sz="0" w:space="0" w:color="auto"/>
      </w:divBdr>
    </w:div>
    <w:div w:id="1146630259">
      <w:bodyDiv w:val="1"/>
      <w:marLeft w:val="0"/>
      <w:marRight w:val="0"/>
      <w:marTop w:val="0"/>
      <w:marBottom w:val="0"/>
      <w:divBdr>
        <w:top w:val="none" w:sz="0" w:space="0" w:color="auto"/>
        <w:left w:val="none" w:sz="0" w:space="0" w:color="auto"/>
        <w:bottom w:val="none" w:sz="0" w:space="0" w:color="auto"/>
        <w:right w:val="none" w:sz="0" w:space="0" w:color="auto"/>
      </w:divBdr>
    </w:div>
    <w:div w:id="1156217398">
      <w:bodyDiv w:val="1"/>
      <w:marLeft w:val="0"/>
      <w:marRight w:val="0"/>
      <w:marTop w:val="0"/>
      <w:marBottom w:val="0"/>
      <w:divBdr>
        <w:top w:val="none" w:sz="0" w:space="0" w:color="auto"/>
        <w:left w:val="none" w:sz="0" w:space="0" w:color="auto"/>
        <w:bottom w:val="none" w:sz="0" w:space="0" w:color="auto"/>
        <w:right w:val="none" w:sz="0" w:space="0" w:color="auto"/>
      </w:divBdr>
    </w:div>
    <w:div w:id="1161119131">
      <w:bodyDiv w:val="1"/>
      <w:marLeft w:val="0"/>
      <w:marRight w:val="0"/>
      <w:marTop w:val="0"/>
      <w:marBottom w:val="0"/>
      <w:divBdr>
        <w:top w:val="none" w:sz="0" w:space="0" w:color="auto"/>
        <w:left w:val="none" w:sz="0" w:space="0" w:color="auto"/>
        <w:bottom w:val="none" w:sz="0" w:space="0" w:color="auto"/>
        <w:right w:val="none" w:sz="0" w:space="0" w:color="auto"/>
      </w:divBdr>
    </w:div>
    <w:div w:id="1163468684">
      <w:bodyDiv w:val="1"/>
      <w:marLeft w:val="0"/>
      <w:marRight w:val="0"/>
      <w:marTop w:val="0"/>
      <w:marBottom w:val="0"/>
      <w:divBdr>
        <w:top w:val="none" w:sz="0" w:space="0" w:color="auto"/>
        <w:left w:val="none" w:sz="0" w:space="0" w:color="auto"/>
        <w:bottom w:val="none" w:sz="0" w:space="0" w:color="auto"/>
        <w:right w:val="none" w:sz="0" w:space="0" w:color="auto"/>
      </w:divBdr>
    </w:div>
    <w:div w:id="1164664046">
      <w:bodyDiv w:val="1"/>
      <w:marLeft w:val="0"/>
      <w:marRight w:val="0"/>
      <w:marTop w:val="0"/>
      <w:marBottom w:val="0"/>
      <w:divBdr>
        <w:top w:val="none" w:sz="0" w:space="0" w:color="auto"/>
        <w:left w:val="none" w:sz="0" w:space="0" w:color="auto"/>
        <w:bottom w:val="none" w:sz="0" w:space="0" w:color="auto"/>
        <w:right w:val="none" w:sz="0" w:space="0" w:color="auto"/>
      </w:divBdr>
    </w:div>
    <w:div w:id="1165315211">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217400123">
      <w:bodyDiv w:val="1"/>
      <w:marLeft w:val="0"/>
      <w:marRight w:val="0"/>
      <w:marTop w:val="0"/>
      <w:marBottom w:val="0"/>
      <w:divBdr>
        <w:top w:val="none" w:sz="0" w:space="0" w:color="auto"/>
        <w:left w:val="none" w:sz="0" w:space="0" w:color="auto"/>
        <w:bottom w:val="none" w:sz="0" w:space="0" w:color="auto"/>
        <w:right w:val="none" w:sz="0" w:space="0" w:color="auto"/>
      </w:divBdr>
    </w:div>
    <w:div w:id="1220557993">
      <w:bodyDiv w:val="1"/>
      <w:marLeft w:val="0"/>
      <w:marRight w:val="0"/>
      <w:marTop w:val="0"/>
      <w:marBottom w:val="0"/>
      <w:divBdr>
        <w:top w:val="none" w:sz="0" w:space="0" w:color="auto"/>
        <w:left w:val="none" w:sz="0" w:space="0" w:color="auto"/>
        <w:bottom w:val="none" w:sz="0" w:space="0" w:color="auto"/>
        <w:right w:val="none" w:sz="0" w:space="0" w:color="auto"/>
      </w:divBdr>
    </w:div>
    <w:div w:id="1222640799">
      <w:bodyDiv w:val="1"/>
      <w:marLeft w:val="0"/>
      <w:marRight w:val="0"/>
      <w:marTop w:val="0"/>
      <w:marBottom w:val="0"/>
      <w:divBdr>
        <w:top w:val="none" w:sz="0" w:space="0" w:color="auto"/>
        <w:left w:val="none" w:sz="0" w:space="0" w:color="auto"/>
        <w:bottom w:val="none" w:sz="0" w:space="0" w:color="auto"/>
        <w:right w:val="none" w:sz="0" w:space="0" w:color="auto"/>
      </w:divBdr>
    </w:div>
    <w:div w:id="1240019516">
      <w:bodyDiv w:val="1"/>
      <w:marLeft w:val="0"/>
      <w:marRight w:val="0"/>
      <w:marTop w:val="0"/>
      <w:marBottom w:val="0"/>
      <w:divBdr>
        <w:top w:val="none" w:sz="0" w:space="0" w:color="auto"/>
        <w:left w:val="none" w:sz="0" w:space="0" w:color="auto"/>
        <w:bottom w:val="none" w:sz="0" w:space="0" w:color="auto"/>
        <w:right w:val="none" w:sz="0" w:space="0" w:color="auto"/>
      </w:divBdr>
    </w:div>
    <w:div w:id="1240093602">
      <w:bodyDiv w:val="1"/>
      <w:marLeft w:val="0"/>
      <w:marRight w:val="0"/>
      <w:marTop w:val="0"/>
      <w:marBottom w:val="0"/>
      <w:divBdr>
        <w:top w:val="none" w:sz="0" w:space="0" w:color="auto"/>
        <w:left w:val="none" w:sz="0" w:space="0" w:color="auto"/>
        <w:bottom w:val="none" w:sz="0" w:space="0" w:color="auto"/>
        <w:right w:val="none" w:sz="0" w:space="0" w:color="auto"/>
      </w:divBdr>
    </w:div>
    <w:div w:id="1244727459">
      <w:bodyDiv w:val="1"/>
      <w:marLeft w:val="0"/>
      <w:marRight w:val="0"/>
      <w:marTop w:val="0"/>
      <w:marBottom w:val="0"/>
      <w:divBdr>
        <w:top w:val="none" w:sz="0" w:space="0" w:color="auto"/>
        <w:left w:val="none" w:sz="0" w:space="0" w:color="auto"/>
        <w:bottom w:val="none" w:sz="0" w:space="0" w:color="auto"/>
        <w:right w:val="none" w:sz="0" w:space="0" w:color="auto"/>
      </w:divBdr>
    </w:div>
    <w:div w:id="1258439696">
      <w:bodyDiv w:val="1"/>
      <w:marLeft w:val="0"/>
      <w:marRight w:val="0"/>
      <w:marTop w:val="0"/>
      <w:marBottom w:val="0"/>
      <w:divBdr>
        <w:top w:val="none" w:sz="0" w:space="0" w:color="auto"/>
        <w:left w:val="none" w:sz="0" w:space="0" w:color="auto"/>
        <w:bottom w:val="none" w:sz="0" w:space="0" w:color="auto"/>
        <w:right w:val="none" w:sz="0" w:space="0" w:color="auto"/>
      </w:divBdr>
    </w:div>
    <w:div w:id="1258830181">
      <w:bodyDiv w:val="1"/>
      <w:marLeft w:val="0"/>
      <w:marRight w:val="0"/>
      <w:marTop w:val="0"/>
      <w:marBottom w:val="0"/>
      <w:divBdr>
        <w:top w:val="none" w:sz="0" w:space="0" w:color="auto"/>
        <w:left w:val="none" w:sz="0" w:space="0" w:color="auto"/>
        <w:bottom w:val="none" w:sz="0" w:space="0" w:color="auto"/>
        <w:right w:val="none" w:sz="0" w:space="0" w:color="auto"/>
      </w:divBdr>
    </w:div>
    <w:div w:id="1271162283">
      <w:bodyDiv w:val="1"/>
      <w:marLeft w:val="0"/>
      <w:marRight w:val="0"/>
      <w:marTop w:val="0"/>
      <w:marBottom w:val="0"/>
      <w:divBdr>
        <w:top w:val="none" w:sz="0" w:space="0" w:color="auto"/>
        <w:left w:val="none" w:sz="0" w:space="0" w:color="auto"/>
        <w:bottom w:val="none" w:sz="0" w:space="0" w:color="auto"/>
        <w:right w:val="none" w:sz="0" w:space="0" w:color="auto"/>
      </w:divBdr>
    </w:div>
    <w:div w:id="1277059868">
      <w:bodyDiv w:val="1"/>
      <w:marLeft w:val="0"/>
      <w:marRight w:val="0"/>
      <w:marTop w:val="0"/>
      <w:marBottom w:val="0"/>
      <w:divBdr>
        <w:top w:val="none" w:sz="0" w:space="0" w:color="auto"/>
        <w:left w:val="none" w:sz="0" w:space="0" w:color="auto"/>
        <w:bottom w:val="none" w:sz="0" w:space="0" w:color="auto"/>
        <w:right w:val="none" w:sz="0" w:space="0" w:color="auto"/>
      </w:divBdr>
    </w:div>
    <w:div w:id="1277248499">
      <w:bodyDiv w:val="1"/>
      <w:marLeft w:val="0"/>
      <w:marRight w:val="0"/>
      <w:marTop w:val="0"/>
      <w:marBottom w:val="0"/>
      <w:divBdr>
        <w:top w:val="none" w:sz="0" w:space="0" w:color="auto"/>
        <w:left w:val="none" w:sz="0" w:space="0" w:color="auto"/>
        <w:bottom w:val="none" w:sz="0" w:space="0" w:color="auto"/>
        <w:right w:val="none" w:sz="0" w:space="0" w:color="auto"/>
      </w:divBdr>
    </w:div>
    <w:div w:id="1290164943">
      <w:bodyDiv w:val="1"/>
      <w:marLeft w:val="0"/>
      <w:marRight w:val="0"/>
      <w:marTop w:val="0"/>
      <w:marBottom w:val="0"/>
      <w:divBdr>
        <w:top w:val="none" w:sz="0" w:space="0" w:color="auto"/>
        <w:left w:val="none" w:sz="0" w:space="0" w:color="auto"/>
        <w:bottom w:val="none" w:sz="0" w:space="0" w:color="auto"/>
        <w:right w:val="none" w:sz="0" w:space="0" w:color="auto"/>
      </w:divBdr>
    </w:div>
    <w:div w:id="1309044813">
      <w:bodyDiv w:val="1"/>
      <w:marLeft w:val="0"/>
      <w:marRight w:val="0"/>
      <w:marTop w:val="0"/>
      <w:marBottom w:val="0"/>
      <w:divBdr>
        <w:top w:val="none" w:sz="0" w:space="0" w:color="auto"/>
        <w:left w:val="none" w:sz="0" w:space="0" w:color="auto"/>
        <w:bottom w:val="none" w:sz="0" w:space="0" w:color="auto"/>
        <w:right w:val="none" w:sz="0" w:space="0" w:color="auto"/>
      </w:divBdr>
    </w:div>
    <w:div w:id="1311862837">
      <w:bodyDiv w:val="1"/>
      <w:marLeft w:val="0"/>
      <w:marRight w:val="0"/>
      <w:marTop w:val="0"/>
      <w:marBottom w:val="0"/>
      <w:divBdr>
        <w:top w:val="none" w:sz="0" w:space="0" w:color="auto"/>
        <w:left w:val="none" w:sz="0" w:space="0" w:color="auto"/>
        <w:bottom w:val="none" w:sz="0" w:space="0" w:color="auto"/>
        <w:right w:val="none" w:sz="0" w:space="0" w:color="auto"/>
      </w:divBdr>
    </w:div>
    <w:div w:id="1324627907">
      <w:bodyDiv w:val="1"/>
      <w:marLeft w:val="0"/>
      <w:marRight w:val="0"/>
      <w:marTop w:val="0"/>
      <w:marBottom w:val="0"/>
      <w:divBdr>
        <w:top w:val="none" w:sz="0" w:space="0" w:color="auto"/>
        <w:left w:val="none" w:sz="0" w:space="0" w:color="auto"/>
        <w:bottom w:val="none" w:sz="0" w:space="0" w:color="auto"/>
        <w:right w:val="none" w:sz="0" w:space="0" w:color="auto"/>
      </w:divBdr>
    </w:div>
    <w:div w:id="1335263199">
      <w:bodyDiv w:val="1"/>
      <w:marLeft w:val="0"/>
      <w:marRight w:val="0"/>
      <w:marTop w:val="0"/>
      <w:marBottom w:val="0"/>
      <w:divBdr>
        <w:top w:val="none" w:sz="0" w:space="0" w:color="auto"/>
        <w:left w:val="none" w:sz="0" w:space="0" w:color="auto"/>
        <w:bottom w:val="none" w:sz="0" w:space="0" w:color="auto"/>
        <w:right w:val="none" w:sz="0" w:space="0" w:color="auto"/>
      </w:divBdr>
    </w:div>
    <w:div w:id="1339576279">
      <w:bodyDiv w:val="1"/>
      <w:marLeft w:val="0"/>
      <w:marRight w:val="0"/>
      <w:marTop w:val="0"/>
      <w:marBottom w:val="0"/>
      <w:divBdr>
        <w:top w:val="none" w:sz="0" w:space="0" w:color="auto"/>
        <w:left w:val="none" w:sz="0" w:space="0" w:color="auto"/>
        <w:bottom w:val="none" w:sz="0" w:space="0" w:color="auto"/>
        <w:right w:val="none" w:sz="0" w:space="0" w:color="auto"/>
      </w:divBdr>
    </w:div>
    <w:div w:id="1351221943">
      <w:bodyDiv w:val="1"/>
      <w:marLeft w:val="0"/>
      <w:marRight w:val="0"/>
      <w:marTop w:val="0"/>
      <w:marBottom w:val="0"/>
      <w:divBdr>
        <w:top w:val="none" w:sz="0" w:space="0" w:color="auto"/>
        <w:left w:val="none" w:sz="0" w:space="0" w:color="auto"/>
        <w:bottom w:val="none" w:sz="0" w:space="0" w:color="auto"/>
        <w:right w:val="none" w:sz="0" w:space="0" w:color="auto"/>
      </w:divBdr>
    </w:div>
    <w:div w:id="1354185750">
      <w:bodyDiv w:val="1"/>
      <w:marLeft w:val="0"/>
      <w:marRight w:val="0"/>
      <w:marTop w:val="0"/>
      <w:marBottom w:val="0"/>
      <w:divBdr>
        <w:top w:val="none" w:sz="0" w:space="0" w:color="auto"/>
        <w:left w:val="none" w:sz="0" w:space="0" w:color="auto"/>
        <w:bottom w:val="none" w:sz="0" w:space="0" w:color="auto"/>
        <w:right w:val="none" w:sz="0" w:space="0" w:color="auto"/>
      </w:divBdr>
    </w:div>
    <w:div w:id="1354652537">
      <w:bodyDiv w:val="1"/>
      <w:marLeft w:val="0"/>
      <w:marRight w:val="0"/>
      <w:marTop w:val="0"/>
      <w:marBottom w:val="0"/>
      <w:divBdr>
        <w:top w:val="none" w:sz="0" w:space="0" w:color="auto"/>
        <w:left w:val="none" w:sz="0" w:space="0" w:color="auto"/>
        <w:bottom w:val="none" w:sz="0" w:space="0" w:color="auto"/>
        <w:right w:val="none" w:sz="0" w:space="0" w:color="auto"/>
      </w:divBdr>
    </w:div>
    <w:div w:id="1356806155">
      <w:bodyDiv w:val="1"/>
      <w:marLeft w:val="0"/>
      <w:marRight w:val="0"/>
      <w:marTop w:val="0"/>
      <w:marBottom w:val="0"/>
      <w:divBdr>
        <w:top w:val="none" w:sz="0" w:space="0" w:color="auto"/>
        <w:left w:val="none" w:sz="0" w:space="0" w:color="auto"/>
        <w:bottom w:val="none" w:sz="0" w:space="0" w:color="auto"/>
        <w:right w:val="none" w:sz="0" w:space="0" w:color="auto"/>
      </w:divBdr>
    </w:div>
    <w:div w:id="1378700760">
      <w:bodyDiv w:val="1"/>
      <w:marLeft w:val="0"/>
      <w:marRight w:val="0"/>
      <w:marTop w:val="0"/>
      <w:marBottom w:val="0"/>
      <w:divBdr>
        <w:top w:val="none" w:sz="0" w:space="0" w:color="auto"/>
        <w:left w:val="none" w:sz="0" w:space="0" w:color="auto"/>
        <w:bottom w:val="none" w:sz="0" w:space="0" w:color="auto"/>
        <w:right w:val="none" w:sz="0" w:space="0" w:color="auto"/>
      </w:divBdr>
    </w:div>
    <w:div w:id="1382942906">
      <w:bodyDiv w:val="1"/>
      <w:marLeft w:val="0"/>
      <w:marRight w:val="0"/>
      <w:marTop w:val="0"/>
      <w:marBottom w:val="0"/>
      <w:divBdr>
        <w:top w:val="none" w:sz="0" w:space="0" w:color="auto"/>
        <w:left w:val="none" w:sz="0" w:space="0" w:color="auto"/>
        <w:bottom w:val="none" w:sz="0" w:space="0" w:color="auto"/>
        <w:right w:val="none" w:sz="0" w:space="0" w:color="auto"/>
      </w:divBdr>
    </w:div>
    <w:div w:id="1396852588">
      <w:bodyDiv w:val="1"/>
      <w:marLeft w:val="0"/>
      <w:marRight w:val="0"/>
      <w:marTop w:val="0"/>
      <w:marBottom w:val="0"/>
      <w:divBdr>
        <w:top w:val="none" w:sz="0" w:space="0" w:color="auto"/>
        <w:left w:val="none" w:sz="0" w:space="0" w:color="auto"/>
        <w:bottom w:val="none" w:sz="0" w:space="0" w:color="auto"/>
        <w:right w:val="none" w:sz="0" w:space="0" w:color="auto"/>
      </w:divBdr>
    </w:div>
    <w:div w:id="1418014124">
      <w:bodyDiv w:val="1"/>
      <w:marLeft w:val="0"/>
      <w:marRight w:val="0"/>
      <w:marTop w:val="0"/>
      <w:marBottom w:val="0"/>
      <w:divBdr>
        <w:top w:val="none" w:sz="0" w:space="0" w:color="auto"/>
        <w:left w:val="none" w:sz="0" w:space="0" w:color="auto"/>
        <w:bottom w:val="none" w:sz="0" w:space="0" w:color="auto"/>
        <w:right w:val="none" w:sz="0" w:space="0" w:color="auto"/>
      </w:divBdr>
    </w:div>
    <w:div w:id="1420519620">
      <w:bodyDiv w:val="1"/>
      <w:marLeft w:val="0"/>
      <w:marRight w:val="0"/>
      <w:marTop w:val="0"/>
      <w:marBottom w:val="0"/>
      <w:divBdr>
        <w:top w:val="none" w:sz="0" w:space="0" w:color="auto"/>
        <w:left w:val="none" w:sz="0" w:space="0" w:color="auto"/>
        <w:bottom w:val="none" w:sz="0" w:space="0" w:color="auto"/>
        <w:right w:val="none" w:sz="0" w:space="0" w:color="auto"/>
      </w:divBdr>
    </w:div>
    <w:div w:id="1424449578">
      <w:bodyDiv w:val="1"/>
      <w:marLeft w:val="0"/>
      <w:marRight w:val="0"/>
      <w:marTop w:val="0"/>
      <w:marBottom w:val="0"/>
      <w:divBdr>
        <w:top w:val="none" w:sz="0" w:space="0" w:color="auto"/>
        <w:left w:val="none" w:sz="0" w:space="0" w:color="auto"/>
        <w:bottom w:val="none" w:sz="0" w:space="0" w:color="auto"/>
        <w:right w:val="none" w:sz="0" w:space="0" w:color="auto"/>
      </w:divBdr>
    </w:div>
    <w:div w:id="1425418042">
      <w:bodyDiv w:val="1"/>
      <w:marLeft w:val="0"/>
      <w:marRight w:val="0"/>
      <w:marTop w:val="0"/>
      <w:marBottom w:val="0"/>
      <w:divBdr>
        <w:top w:val="none" w:sz="0" w:space="0" w:color="auto"/>
        <w:left w:val="none" w:sz="0" w:space="0" w:color="auto"/>
        <w:bottom w:val="none" w:sz="0" w:space="0" w:color="auto"/>
        <w:right w:val="none" w:sz="0" w:space="0" w:color="auto"/>
      </w:divBdr>
    </w:div>
    <w:div w:id="1431242116">
      <w:bodyDiv w:val="1"/>
      <w:marLeft w:val="0"/>
      <w:marRight w:val="0"/>
      <w:marTop w:val="0"/>
      <w:marBottom w:val="0"/>
      <w:divBdr>
        <w:top w:val="none" w:sz="0" w:space="0" w:color="auto"/>
        <w:left w:val="none" w:sz="0" w:space="0" w:color="auto"/>
        <w:bottom w:val="none" w:sz="0" w:space="0" w:color="auto"/>
        <w:right w:val="none" w:sz="0" w:space="0" w:color="auto"/>
      </w:divBdr>
    </w:div>
    <w:div w:id="1431852529">
      <w:bodyDiv w:val="1"/>
      <w:marLeft w:val="0"/>
      <w:marRight w:val="0"/>
      <w:marTop w:val="0"/>
      <w:marBottom w:val="0"/>
      <w:divBdr>
        <w:top w:val="none" w:sz="0" w:space="0" w:color="auto"/>
        <w:left w:val="none" w:sz="0" w:space="0" w:color="auto"/>
        <w:bottom w:val="none" w:sz="0" w:space="0" w:color="auto"/>
        <w:right w:val="none" w:sz="0" w:space="0" w:color="auto"/>
      </w:divBdr>
    </w:div>
    <w:div w:id="1432169269">
      <w:bodyDiv w:val="1"/>
      <w:marLeft w:val="0"/>
      <w:marRight w:val="0"/>
      <w:marTop w:val="0"/>
      <w:marBottom w:val="0"/>
      <w:divBdr>
        <w:top w:val="none" w:sz="0" w:space="0" w:color="auto"/>
        <w:left w:val="none" w:sz="0" w:space="0" w:color="auto"/>
        <w:bottom w:val="none" w:sz="0" w:space="0" w:color="auto"/>
        <w:right w:val="none" w:sz="0" w:space="0" w:color="auto"/>
      </w:divBdr>
    </w:div>
    <w:div w:id="1434132559">
      <w:bodyDiv w:val="1"/>
      <w:marLeft w:val="0"/>
      <w:marRight w:val="0"/>
      <w:marTop w:val="0"/>
      <w:marBottom w:val="0"/>
      <w:divBdr>
        <w:top w:val="none" w:sz="0" w:space="0" w:color="auto"/>
        <w:left w:val="none" w:sz="0" w:space="0" w:color="auto"/>
        <w:bottom w:val="none" w:sz="0" w:space="0" w:color="auto"/>
        <w:right w:val="none" w:sz="0" w:space="0" w:color="auto"/>
      </w:divBdr>
    </w:div>
    <w:div w:id="1450392600">
      <w:bodyDiv w:val="1"/>
      <w:marLeft w:val="0"/>
      <w:marRight w:val="0"/>
      <w:marTop w:val="0"/>
      <w:marBottom w:val="0"/>
      <w:divBdr>
        <w:top w:val="none" w:sz="0" w:space="0" w:color="auto"/>
        <w:left w:val="none" w:sz="0" w:space="0" w:color="auto"/>
        <w:bottom w:val="none" w:sz="0" w:space="0" w:color="auto"/>
        <w:right w:val="none" w:sz="0" w:space="0" w:color="auto"/>
      </w:divBdr>
    </w:div>
    <w:div w:id="1456096197">
      <w:bodyDiv w:val="1"/>
      <w:marLeft w:val="0"/>
      <w:marRight w:val="0"/>
      <w:marTop w:val="0"/>
      <w:marBottom w:val="0"/>
      <w:divBdr>
        <w:top w:val="none" w:sz="0" w:space="0" w:color="auto"/>
        <w:left w:val="none" w:sz="0" w:space="0" w:color="auto"/>
        <w:bottom w:val="none" w:sz="0" w:space="0" w:color="auto"/>
        <w:right w:val="none" w:sz="0" w:space="0" w:color="auto"/>
      </w:divBdr>
    </w:div>
    <w:div w:id="1464732644">
      <w:bodyDiv w:val="1"/>
      <w:marLeft w:val="0"/>
      <w:marRight w:val="0"/>
      <w:marTop w:val="0"/>
      <w:marBottom w:val="0"/>
      <w:divBdr>
        <w:top w:val="none" w:sz="0" w:space="0" w:color="auto"/>
        <w:left w:val="none" w:sz="0" w:space="0" w:color="auto"/>
        <w:bottom w:val="none" w:sz="0" w:space="0" w:color="auto"/>
        <w:right w:val="none" w:sz="0" w:space="0" w:color="auto"/>
      </w:divBdr>
    </w:div>
    <w:div w:id="1476491042">
      <w:bodyDiv w:val="1"/>
      <w:marLeft w:val="0"/>
      <w:marRight w:val="0"/>
      <w:marTop w:val="0"/>
      <w:marBottom w:val="0"/>
      <w:divBdr>
        <w:top w:val="none" w:sz="0" w:space="0" w:color="auto"/>
        <w:left w:val="none" w:sz="0" w:space="0" w:color="auto"/>
        <w:bottom w:val="none" w:sz="0" w:space="0" w:color="auto"/>
        <w:right w:val="none" w:sz="0" w:space="0" w:color="auto"/>
      </w:divBdr>
    </w:div>
    <w:div w:id="1488932912">
      <w:bodyDiv w:val="1"/>
      <w:marLeft w:val="0"/>
      <w:marRight w:val="0"/>
      <w:marTop w:val="0"/>
      <w:marBottom w:val="0"/>
      <w:divBdr>
        <w:top w:val="none" w:sz="0" w:space="0" w:color="auto"/>
        <w:left w:val="none" w:sz="0" w:space="0" w:color="auto"/>
        <w:bottom w:val="none" w:sz="0" w:space="0" w:color="auto"/>
        <w:right w:val="none" w:sz="0" w:space="0" w:color="auto"/>
      </w:divBdr>
    </w:div>
    <w:div w:id="1498494459">
      <w:bodyDiv w:val="1"/>
      <w:marLeft w:val="0"/>
      <w:marRight w:val="0"/>
      <w:marTop w:val="0"/>
      <w:marBottom w:val="0"/>
      <w:divBdr>
        <w:top w:val="none" w:sz="0" w:space="0" w:color="auto"/>
        <w:left w:val="none" w:sz="0" w:space="0" w:color="auto"/>
        <w:bottom w:val="none" w:sz="0" w:space="0" w:color="auto"/>
        <w:right w:val="none" w:sz="0" w:space="0" w:color="auto"/>
      </w:divBdr>
    </w:div>
    <w:div w:id="1499928752">
      <w:bodyDiv w:val="1"/>
      <w:marLeft w:val="0"/>
      <w:marRight w:val="0"/>
      <w:marTop w:val="0"/>
      <w:marBottom w:val="0"/>
      <w:divBdr>
        <w:top w:val="none" w:sz="0" w:space="0" w:color="auto"/>
        <w:left w:val="none" w:sz="0" w:space="0" w:color="auto"/>
        <w:bottom w:val="none" w:sz="0" w:space="0" w:color="auto"/>
        <w:right w:val="none" w:sz="0" w:space="0" w:color="auto"/>
      </w:divBdr>
    </w:div>
    <w:div w:id="1500853213">
      <w:bodyDiv w:val="1"/>
      <w:marLeft w:val="0"/>
      <w:marRight w:val="0"/>
      <w:marTop w:val="0"/>
      <w:marBottom w:val="0"/>
      <w:divBdr>
        <w:top w:val="none" w:sz="0" w:space="0" w:color="auto"/>
        <w:left w:val="none" w:sz="0" w:space="0" w:color="auto"/>
        <w:bottom w:val="none" w:sz="0" w:space="0" w:color="auto"/>
        <w:right w:val="none" w:sz="0" w:space="0" w:color="auto"/>
      </w:divBdr>
    </w:div>
    <w:div w:id="1504322742">
      <w:bodyDiv w:val="1"/>
      <w:marLeft w:val="0"/>
      <w:marRight w:val="0"/>
      <w:marTop w:val="0"/>
      <w:marBottom w:val="0"/>
      <w:divBdr>
        <w:top w:val="none" w:sz="0" w:space="0" w:color="auto"/>
        <w:left w:val="none" w:sz="0" w:space="0" w:color="auto"/>
        <w:bottom w:val="none" w:sz="0" w:space="0" w:color="auto"/>
        <w:right w:val="none" w:sz="0" w:space="0" w:color="auto"/>
      </w:divBdr>
    </w:div>
    <w:div w:id="1510023447">
      <w:bodyDiv w:val="1"/>
      <w:marLeft w:val="0"/>
      <w:marRight w:val="0"/>
      <w:marTop w:val="0"/>
      <w:marBottom w:val="0"/>
      <w:divBdr>
        <w:top w:val="none" w:sz="0" w:space="0" w:color="auto"/>
        <w:left w:val="none" w:sz="0" w:space="0" w:color="auto"/>
        <w:bottom w:val="none" w:sz="0" w:space="0" w:color="auto"/>
        <w:right w:val="none" w:sz="0" w:space="0" w:color="auto"/>
      </w:divBdr>
    </w:div>
    <w:div w:id="1512262255">
      <w:bodyDiv w:val="1"/>
      <w:marLeft w:val="0"/>
      <w:marRight w:val="0"/>
      <w:marTop w:val="0"/>
      <w:marBottom w:val="0"/>
      <w:divBdr>
        <w:top w:val="none" w:sz="0" w:space="0" w:color="auto"/>
        <w:left w:val="none" w:sz="0" w:space="0" w:color="auto"/>
        <w:bottom w:val="none" w:sz="0" w:space="0" w:color="auto"/>
        <w:right w:val="none" w:sz="0" w:space="0" w:color="auto"/>
      </w:divBdr>
    </w:div>
    <w:div w:id="1524172100">
      <w:bodyDiv w:val="1"/>
      <w:marLeft w:val="0"/>
      <w:marRight w:val="0"/>
      <w:marTop w:val="0"/>
      <w:marBottom w:val="0"/>
      <w:divBdr>
        <w:top w:val="none" w:sz="0" w:space="0" w:color="auto"/>
        <w:left w:val="none" w:sz="0" w:space="0" w:color="auto"/>
        <w:bottom w:val="none" w:sz="0" w:space="0" w:color="auto"/>
        <w:right w:val="none" w:sz="0" w:space="0" w:color="auto"/>
      </w:divBdr>
    </w:div>
    <w:div w:id="1526138531">
      <w:bodyDiv w:val="1"/>
      <w:marLeft w:val="0"/>
      <w:marRight w:val="0"/>
      <w:marTop w:val="0"/>
      <w:marBottom w:val="0"/>
      <w:divBdr>
        <w:top w:val="none" w:sz="0" w:space="0" w:color="auto"/>
        <w:left w:val="none" w:sz="0" w:space="0" w:color="auto"/>
        <w:bottom w:val="none" w:sz="0" w:space="0" w:color="auto"/>
        <w:right w:val="none" w:sz="0" w:space="0" w:color="auto"/>
      </w:divBdr>
    </w:div>
    <w:div w:id="1531528566">
      <w:bodyDiv w:val="1"/>
      <w:marLeft w:val="0"/>
      <w:marRight w:val="0"/>
      <w:marTop w:val="0"/>
      <w:marBottom w:val="0"/>
      <w:divBdr>
        <w:top w:val="none" w:sz="0" w:space="0" w:color="auto"/>
        <w:left w:val="none" w:sz="0" w:space="0" w:color="auto"/>
        <w:bottom w:val="none" w:sz="0" w:space="0" w:color="auto"/>
        <w:right w:val="none" w:sz="0" w:space="0" w:color="auto"/>
      </w:divBdr>
    </w:div>
    <w:div w:id="1541631428">
      <w:bodyDiv w:val="1"/>
      <w:marLeft w:val="0"/>
      <w:marRight w:val="0"/>
      <w:marTop w:val="0"/>
      <w:marBottom w:val="0"/>
      <w:divBdr>
        <w:top w:val="none" w:sz="0" w:space="0" w:color="auto"/>
        <w:left w:val="none" w:sz="0" w:space="0" w:color="auto"/>
        <w:bottom w:val="none" w:sz="0" w:space="0" w:color="auto"/>
        <w:right w:val="none" w:sz="0" w:space="0" w:color="auto"/>
      </w:divBdr>
    </w:div>
    <w:div w:id="1570380319">
      <w:bodyDiv w:val="1"/>
      <w:marLeft w:val="0"/>
      <w:marRight w:val="0"/>
      <w:marTop w:val="0"/>
      <w:marBottom w:val="0"/>
      <w:divBdr>
        <w:top w:val="none" w:sz="0" w:space="0" w:color="auto"/>
        <w:left w:val="none" w:sz="0" w:space="0" w:color="auto"/>
        <w:bottom w:val="none" w:sz="0" w:space="0" w:color="auto"/>
        <w:right w:val="none" w:sz="0" w:space="0" w:color="auto"/>
      </w:divBdr>
    </w:div>
    <w:div w:id="1575819310">
      <w:bodyDiv w:val="1"/>
      <w:marLeft w:val="0"/>
      <w:marRight w:val="0"/>
      <w:marTop w:val="0"/>
      <w:marBottom w:val="0"/>
      <w:divBdr>
        <w:top w:val="none" w:sz="0" w:space="0" w:color="auto"/>
        <w:left w:val="none" w:sz="0" w:space="0" w:color="auto"/>
        <w:bottom w:val="none" w:sz="0" w:space="0" w:color="auto"/>
        <w:right w:val="none" w:sz="0" w:space="0" w:color="auto"/>
      </w:divBdr>
    </w:div>
    <w:div w:id="1589271902">
      <w:bodyDiv w:val="1"/>
      <w:marLeft w:val="0"/>
      <w:marRight w:val="0"/>
      <w:marTop w:val="0"/>
      <w:marBottom w:val="0"/>
      <w:divBdr>
        <w:top w:val="none" w:sz="0" w:space="0" w:color="auto"/>
        <w:left w:val="none" w:sz="0" w:space="0" w:color="auto"/>
        <w:bottom w:val="none" w:sz="0" w:space="0" w:color="auto"/>
        <w:right w:val="none" w:sz="0" w:space="0" w:color="auto"/>
      </w:divBdr>
    </w:div>
    <w:div w:id="1611470877">
      <w:bodyDiv w:val="1"/>
      <w:marLeft w:val="0"/>
      <w:marRight w:val="0"/>
      <w:marTop w:val="0"/>
      <w:marBottom w:val="0"/>
      <w:divBdr>
        <w:top w:val="none" w:sz="0" w:space="0" w:color="auto"/>
        <w:left w:val="none" w:sz="0" w:space="0" w:color="auto"/>
        <w:bottom w:val="none" w:sz="0" w:space="0" w:color="auto"/>
        <w:right w:val="none" w:sz="0" w:space="0" w:color="auto"/>
      </w:divBdr>
    </w:div>
    <w:div w:id="1615478537">
      <w:bodyDiv w:val="1"/>
      <w:marLeft w:val="0"/>
      <w:marRight w:val="0"/>
      <w:marTop w:val="0"/>
      <w:marBottom w:val="0"/>
      <w:divBdr>
        <w:top w:val="none" w:sz="0" w:space="0" w:color="auto"/>
        <w:left w:val="none" w:sz="0" w:space="0" w:color="auto"/>
        <w:bottom w:val="none" w:sz="0" w:space="0" w:color="auto"/>
        <w:right w:val="none" w:sz="0" w:space="0" w:color="auto"/>
      </w:divBdr>
    </w:div>
    <w:div w:id="1622227547">
      <w:bodyDiv w:val="1"/>
      <w:marLeft w:val="0"/>
      <w:marRight w:val="0"/>
      <w:marTop w:val="0"/>
      <w:marBottom w:val="0"/>
      <w:divBdr>
        <w:top w:val="none" w:sz="0" w:space="0" w:color="auto"/>
        <w:left w:val="none" w:sz="0" w:space="0" w:color="auto"/>
        <w:bottom w:val="none" w:sz="0" w:space="0" w:color="auto"/>
        <w:right w:val="none" w:sz="0" w:space="0" w:color="auto"/>
      </w:divBdr>
    </w:div>
    <w:div w:id="1627470797">
      <w:bodyDiv w:val="1"/>
      <w:marLeft w:val="0"/>
      <w:marRight w:val="0"/>
      <w:marTop w:val="0"/>
      <w:marBottom w:val="0"/>
      <w:divBdr>
        <w:top w:val="none" w:sz="0" w:space="0" w:color="auto"/>
        <w:left w:val="none" w:sz="0" w:space="0" w:color="auto"/>
        <w:bottom w:val="none" w:sz="0" w:space="0" w:color="auto"/>
        <w:right w:val="none" w:sz="0" w:space="0" w:color="auto"/>
      </w:divBdr>
    </w:div>
    <w:div w:id="1628121819">
      <w:bodyDiv w:val="1"/>
      <w:marLeft w:val="0"/>
      <w:marRight w:val="0"/>
      <w:marTop w:val="0"/>
      <w:marBottom w:val="0"/>
      <w:divBdr>
        <w:top w:val="none" w:sz="0" w:space="0" w:color="auto"/>
        <w:left w:val="none" w:sz="0" w:space="0" w:color="auto"/>
        <w:bottom w:val="none" w:sz="0" w:space="0" w:color="auto"/>
        <w:right w:val="none" w:sz="0" w:space="0" w:color="auto"/>
      </w:divBdr>
    </w:div>
    <w:div w:id="1628467775">
      <w:bodyDiv w:val="1"/>
      <w:marLeft w:val="0"/>
      <w:marRight w:val="0"/>
      <w:marTop w:val="0"/>
      <w:marBottom w:val="0"/>
      <w:divBdr>
        <w:top w:val="none" w:sz="0" w:space="0" w:color="auto"/>
        <w:left w:val="none" w:sz="0" w:space="0" w:color="auto"/>
        <w:bottom w:val="none" w:sz="0" w:space="0" w:color="auto"/>
        <w:right w:val="none" w:sz="0" w:space="0" w:color="auto"/>
      </w:divBdr>
    </w:div>
    <w:div w:id="1629318059">
      <w:bodyDiv w:val="1"/>
      <w:marLeft w:val="0"/>
      <w:marRight w:val="0"/>
      <w:marTop w:val="0"/>
      <w:marBottom w:val="0"/>
      <w:divBdr>
        <w:top w:val="none" w:sz="0" w:space="0" w:color="auto"/>
        <w:left w:val="none" w:sz="0" w:space="0" w:color="auto"/>
        <w:bottom w:val="none" w:sz="0" w:space="0" w:color="auto"/>
        <w:right w:val="none" w:sz="0" w:space="0" w:color="auto"/>
      </w:divBdr>
    </w:div>
    <w:div w:id="1636444673">
      <w:bodyDiv w:val="1"/>
      <w:marLeft w:val="0"/>
      <w:marRight w:val="0"/>
      <w:marTop w:val="0"/>
      <w:marBottom w:val="0"/>
      <w:divBdr>
        <w:top w:val="none" w:sz="0" w:space="0" w:color="auto"/>
        <w:left w:val="none" w:sz="0" w:space="0" w:color="auto"/>
        <w:bottom w:val="none" w:sz="0" w:space="0" w:color="auto"/>
        <w:right w:val="none" w:sz="0" w:space="0" w:color="auto"/>
      </w:divBdr>
    </w:div>
    <w:div w:id="1640648709">
      <w:bodyDiv w:val="1"/>
      <w:marLeft w:val="0"/>
      <w:marRight w:val="0"/>
      <w:marTop w:val="0"/>
      <w:marBottom w:val="0"/>
      <w:divBdr>
        <w:top w:val="none" w:sz="0" w:space="0" w:color="auto"/>
        <w:left w:val="none" w:sz="0" w:space="0" w:color="auto"/>
        <w:bottom w:val="none" w:sz="0" w:space="0" w:color="auto"/>
        <w:right w:val="none" w:sz="0" w:space="0" w:color="auto"/>
      </w:divBdr>
    </w:div>
    <w:div w:id="1640963054">
      <w:bodyDiv w:val="1"/>
      <w:marLeft w:val="0"/>
      <w:marRight w:val="0"/>
      <w:marTop w:val="0"/>
      <w:marBottom w:val="0"/>
      <w:divBdr>
        <w:top w:val="none" w:sz="0" w:space="0" w:color="auto"/>
        <w:left w:val="none" w:sz="0" w:space="0" w:color="auto"/>
        <w:bottom w:val="none" w:sz="0" w:space="0" w:color="auto"/>
        <w:right w:val="none" w:sz="0" w:space="0" w:color="auto"/>
      </w:divBdr>
    </w:div>
    <w:div w:id="1646082277">
      <w:bodyDiv w:val="1"/>
      <w:marLeft w:val="0"/>
      <w:marRight w:val="0"/>
      <w:marTop w:val="0"/>
      <w:marBottom w:val="0"/>
      <w:divBdr>
        <w:top w:val="none" w:sz="0" w:space="0" w:color="auto"/>
        <w:left w:val="none" w:sz="0" w:space="0" w:color="auto"/>
        <w:bottom w:val="none" w:sz="0" w:space="0" w:color="auto"/>
        <w:right w:val="none" w:sz="0" w:space="0" w:color="auto"/>
      </w:divBdr>
    </w:div>
    <w:div w:id="1646275670">
      <w:bodyDiv w:val="1"/>
      <w:marLeft w:val="0"/>
      <w:marRight w:val="0"/>
      <w:marTop w:val="0"/>
      <w:marBottom w:val="0"/>
      <w:divBdr>
        <w:top w:val="none" w:sz="0" w:space="0" w:color="auto"/>
        <w:left w:val="none" w:sz="0" w:space="0" w:color="auto"/>
        <w:bottom w:val="none" w:sz="0" w:space="0" w:color="auto"/>
        <w:right w:val="none" w:sz="0" w:space="0" w:color="auto"/>
      </w:divBdr>
    </w:div>
    <w:div w:id="1651709129">
      <w:bodyDiv w:val="1"/>
      <w:marLeft w:val="0"/>
      <w:marRight w:val="0"/>
      <w:marTop w:val="0"/>
      <w:marBottom w:val="0"/>
      <w:divBdr>
        <w:top w:val="none" w:sz="0" w:space="0" w:color="auto"/>
        <w:left w:val="none" w:sz="0" w:space="0" w:color="auto"/>
        <w:bottom w:val="none" w:sz="0" w:space="0" w:color="auto"/>
        <w:right w:val="none" w:sz="0" w:space="0" w:color="auto"/>
      </w:divBdr>
    </w:div>
    <w:div w:id="1651982516">
      <w:bodyDiv w:val="1"/>
      <w:marLeft w:val="0"/>
      <w:marRight w:val="0"/>
      <w:marTop w:val="0"/>
      <w:marBottom w:val="0"/>
      <w:divBdr>
        <w:top w:val="none" w:sz="0" w:space="0" w:color="auto"/>
        <w:left w:val="none" w:sz="0" w:space="0" w:color="auto"/>
        <w:bottom w:val="none" w:sz="0" w:space="0" w:color="auto"/>
        <w:right w:val="none" w:sz="0" w:space="0" w:color="auto"/>
      </w:divBdr>
    </w:div>
    <w:div w:id="1661230174">
      <w:bodyDiv w:val="1"/>
      <w:marLeft w:val="0"/>
      <w:marRight w:val="0"/>
      <w:marTop w:val="0"/>
      <w:marBottom w:val="0"/>
      <w:divBdr>
        <w:top w:val="none" w:sz="0" w:space="0" w:color="auto"/>
        <w:left w:val="none" w:sz="0" w:space="0" w:color="auto"/>
        <w:bottom w:val="none" w:sz="0" w:space="0" w:color="auto"/>
        <w:right w:val="none" w:sz="0" w:space="0" w:color="auto"/>
      </w:divBdr>
    </w:div>
    <w:div w:id="1668828459">
      <w:bodyDiv w:val="1"/>
      <w:marLeft w:val="0"/>
      <w:marRight w:val="0"/>
      <w:marTop w:val="0"/>
      <w:marBottom w:val="0"/>
      <w:divBdr>
        <w:top w:val="none" w:sz="0" w:space="0" w:color="auto"/>
        <w:left w:val="none" w:sz="0" w:space="0" w:color="auto"/>
        <w:bottom w:val="none" w:sz="0" w:space="0" w:color="auto"/>
        <w:right w:val="none" w:sz="0" w:space="0" w:color="auto"/>
      </w:divBdr>
    </w:div>
    <w:div w:id="1671256786">
      <w:bodyDiv w:val="1"/>
      <w:marLeft w:val="0"/>
      <w:marRight w:val="0"/>
      <w:marTop w:val="0"/>
      <w:marBottom w:val="0"/>
      <w:divBdr>
        <w:top w:val="none" w:sz="0" w:space="0" w:color="auto"/>
        <w:left w:val="none" w:sz="0" w:space="0" w:color="auto"/>
        <w:bottom w:val="none" w:sz="0" w:space="0" w:color="auto"/>
        <w:right w:val="none" w:sz="0" w:space="0" w:color="auto"/>
      </w:divBdr>
    </w:div>
    <w:div w:id="1679503463">
      <w:bodyDiv w:val="1"/>
      <w:marLeft w:val="0"/>
      <w:marRight w:val="0"/>
      <w:marTop w:val="0"/>
      <w:marBottom w:val="0"/>
      <w:divBdr>
        <w:top w:val="none" w:sz="0" w:space="0" w:color="auto"/>
        <w:left w:val="none" w:sz="0" w:space="0" w:color="auto"/>
        <w:bottom w:val="none" w:sz="0" w:space="0" w:color="auto"/>
        <w:right w:val="none" w:sz="0" w:space="0" w:color="auto"/>
      </w:divBdr>
    </w:div>
    <w:div w:id="1679966582">
      <w:bodyDiv w:val="1"/>
      <w:marLeft w:val="0"/>
      <w:marRight w:val="0"/>
      <w:marTop w:val="0"/>
      <w:marBottom w:val="0"/>
      <w:divBdr>
        <w:top w:val="none" w:sz="0" w:space="0" w:color="auto"/>
        <w:left w:val="none" w:sz="0" w:space="0" w:color="auto"/>
        <w:bottom w:val="none" w:sz="0" w:space="0" w:color="auto"/>
        <w:right w:val="none" w:sz="0" w:space="0" w:color="auto"/>
      </w:divBdr>
    </w:div>
    <w:div w:id="1680548793">
      <w:bodyDiv w:val="1"/>
      <w:marLeft w:val="0"/>
      <w:marRight w:val="0"/>
      <w:marTop w:val="0"/>
      <w:marBottom w:val="0"/>
      <w:divBdr>
        <w:top w:val="none" w:sz="0" w:space="0" w:color="auto"/>
        <w:left w:val="none" w:sz="0" w:space="0" w:color="auto"/>
        <w:bottom w:val="none" w:sz="0" w:space="0" w:color="auto"/>
        <w:right w:val="none" w:sz="0" w:space="0" w:color="auto"/>
      </w:divBdr>
    </w:div>
    <w:div w:id="1690139562">
      <w:bodyDiv w:val="1"/>
      <w:marLeft w:val="0"/>
      <w:marRight w:val="0"/>
      <w:marTop w:val="0"/>
      <w:marBottom w:val="0"/>
      <w:divBdr>
        <w:top w:val="none" w:sz="0" w:space="0" w:color="auto"/>
        <w:left w:val="none" w:sz="0" w:space="0" w:color="auto"/>
        <w:bottom w:val="none" w:sz="0" w:space="0" w:color="auto"/>
        <w:right w:val="none" w:sz="0" w:space="0" w:color="auto"/>
      </w:divBdr>
    </w:div>
    <w:div w:id="1720082277">
      <w:bodyDiv w:val="1"/>
      <w:marLeft w:val="0"/>
      <w:marRight w:val="0"/>
      <w:marTop w:val="0"/>
      <w:marBottom w:val="0"/>
      <w:divBdr>
        <w:top w:val="none" w:sz="0" w:space="0" w:color="auto"/>
        <w:left w:val="none" w:sz="0" w:space="0" w:color="auto"/>
        <w:bottom w:val="none" w:sz="0" w:space="0" w:color="auto"/>
        <w:right w:val="none" w:sz="0" w:space="0" w:color="auto"/>
      </w:divBdr>
    </w:div>
    <w:div w:id="1721321586">
      <w:bodyDiv w:val="1"/>
      <w:marLeft w:val="0"/>
      <w:marRight w:val="0"/>
      <w:marTop w:val="0"/>
      <w:marBottom w:val="0"/>
      <w:divBdr>
        <w:top w:val="none" w:sz="0" w:space="0" w:color="auto"/>
        <w:left w:val="none" w:sz="0" w:space="0" w:color="auto"/>
        <w:bottom w:val="none" w:sz="0" w:space="0" w:color="auto"/>
        <w:right w:val="none" w:sz="0" w:space="0" w:color="auto"/>
      </w:divBdr>
    </w:div>
    <w:div w:id="1721979597">
      <w:bodyDiv w:val="1"/>
      <w:marLeft w:val="0"/>
      <w:marRight w:val="0"/>
      <w:marTop w:val="0"/>
      <w:marBottom w:val="0"/>
      <w:divBdr>
        <w:top w:val="none" w:sz="0" w:space="0" w:color="auto"/>
        <w:left w:val="none" w:sz="0" w:space="0" w:color="auto"/>
        <w:bottom w:val="none" w:sz="0" w:space="0" w:color="auto"/>
        <w:right w:val="none" w:sz="0" w:space="0" w:color="auto"/>
      </w:divBdr>
    </w:div>
    <w:div w:id="1737360578">
      <w:bodyDiv w:val="1"/>
      <w:marLeft w:val="0"/>
      <w:marRight w:val="0"/>
      <w:marTop w:val="0"/>
      <w:marBottom w:val="0"/>
      <w:divBdr>
        <w:top w:val="none" w:sz="0" w:space="0" w:color="auto"/>
        <w:left w:val="none" w:sz="0" w:space="0" w:color="auto"/>
        <w:bottom w:val="none" w:sz="0" w:space="0" w:color="auto"/>
        <w:right w:val="none" w:sz="0" w:space="0" w:color="auto"/>
      </w:divBdr>
    </w:div>
    <w:div w:id="1738941227">
      <w:bodyDiv w:val="1"/>
      <w:marLeft w:val="0"/>
      <w:marRight w:val="0"/>
      <w:marTop w:val="0"/>
      <w:marBottom w:val="0"/>
      <w:divBdr>
        <w:top w:val="none" w:sz="0" w:space="0" w:color="auto"/>
        <w:left w:val="none" w:sz="0" w:space="0" w:color="auto"/>
        <w:bottom w:val="none" w:sz="0" w:space="0" w:color="auto"/>
        <w:right w:val="none" w:sz="0" w:space="0" w:color="auto"/>
      </w:divBdr>
    </w:div>
    <w:div w:id="1755587538">
      <w:bodyDiv w:val="1"/>
      <w:marLeft w:val="0"/>
      <w:marRight w:val="0"/>
      <w:marTop w:val="0"/>
      <w:marBottom w:val="0"/>
      <w:divBdr>
        <w:top w:val="none" w:sz="0" w:space="0" w:color="auto"/>
        <w:left w:val="none" w:sz="0" w:space="0" w:color="auto"/>
        <w:bottom w:val="none" w:sz="0" w:space="0" w:color="auto"/>
        <w:right w:val="none" w:sz="0" w:space="0" w:color="auto"/>
      </w:divBdr>
    </w:div>
    <w:div w:id="1759710371">
      <w:bodyDiv w:val="1"/>
      <w:marLeft w:val="0"/>
      <w:marRight w:val="0"/>
      <w:marTop w:val="0"/>
      <w:marBottom w:val="0"/>
      <w:divBdr>
        <w:top w:val="none" w:sz="0" w:space="0" w:color="auto"/>
        <w:left w:val="none" w:sz="0" w:space="0" w:color="auto"/>
        <w:bottom w:val="none" w:sz="0" w:space="0" w:color="auto"/>
        <w:right w:val="none" w:sz="0" w:space="0" w:color="auto"/>
      </w:divBdr>
    </w:div>
    <w:div w:id="1773697664">
      <w:bodyDiv w:val="1"/>
      <w:marLeft w:val="0"/>
      <w:marRight w:val="0"/>
      <w:marTop w:val="0"/>
      <w:marBottom w:val="0"/>
      <w:divBdr>
        <w:top w:val="none" w:sz="0" w:space="0" w:color="auto"/>
        <w:left w:val="none" w:sz="0" w:space="0" w:color="auto"/>
        <w:bottom w:val="none" w:sz="0" w:space="0" w:color="auto"/>
        <w:right w:val="none" w:sz="0" w:space="0" w:color="auto"/>
      </w:divBdr>
    </w:div>
    <w:div w:id="1775859542">
      <w:bodyDiv w:val="1"/>
      <w:marLeft w:val="0"/>
      <w:marRight w:val="0"/>
      <w:marTop w:val="0"/>
      <w:marBottom w:val="0"/>
      <w:divBdr>
        <w:top w:val="none" w:sz="0" w:space="0" w:color="auto"/>
        <w:left w:val="none" w:sz="0" w:space="0" w:color="auto"/>
        <w:bottom w:val="none" w:sz="0" w:space="0" w:color="auto"/>
        <w:right w:val="none" w:sz="0" w:space="0" w:color="auto"/>
      </w:divBdr>
    </w:div>
    <w:div w:id="1779715589">
      <w:bodyDiv w:val="1"/>
      <w:marLeft w:val="0"/>
      <w:marRight w:val="0"/>
      <w:marTop w:val="0"/>
      <w:marBottom w:val="0"/>
      <w:divBdr>
        <w:top w:val="none" w:sz="0" w:space="0" w:color="auto"/>
        <w:left w:val="none" w:sz="0" w:space="0" w:color="auto"/>
        <w:bottom w:val="none" w:sz="0" w:space="0" w:color="auto"/>
        <w:right w:val="none" w:sz="0" w:space="0" w:color="auto"/>
      </w:divBdr>
    </w:div>
    <w:div w:id="1800030015">
      <w:bodyDiv w:val="1"/>
      <w:marLeft w:val="0"/>
      <w:marRight w:val="0"/>
      <w:marTop w:val="0"/>
      <w:marBottom w:val="0"/>
      <w:divBdr>
        <w:top w:val="none" w:sz="0" w:space="0" w:color="auto"/>
        <w:left w:val="none" w:sz="0" w:space="0" w:color="auto"/>
        <w:bottom w:val="none" w:sz="0" w:space="0" w:color="auto"/>
        <w:right w:val="none" w:sz="0" w:space="0" w:color="auto"/>
      </w:divBdr>
    </w:div>
    <w:div w:id="1836258747">
      <w:bodyDiv w:val="1"/>
      <w:marLeft w:val="0"/>
      <w:marRight w:val="0"/>
      <w:marTop w:val="0"/>
      <w:marBottom w:val="0"/>
      <w:divBdr>
        <w:top w:val="none" w:sz="0" w:space="0" w:color="auto"/>
        <w:left w:val="none" w:sz="0" w:space="0" w:color="auto"/>
        <w:bottom w:val="none" w:sz="0" w:space="0" w:color="auto"/>
        <w:right w:val="none" w:sz="0" w:space="0" w:color="auto"/>
      </w:divBdr>
    </w:div>
    <w:div w:id="1846674556">
      <w:bodyDiv w:val="1"/>
      <w:marLeft w:val="0"/>
      <w:marRight w:val="0"/>
      <w:marTop w:val="0"/>
      <w:marBottom w:val="0"/>
      <w:divBdr>
        <w:top w:val="none" w:sz="0" w:space="0" w:color="auto"/>
        <w:left w:val="none" w:sz="0" w:space="0" w:color="auto"/>
        <w:bottom w:val="none" w:sz="0" w:space="0" w:color="auto"/>
        <w:right w:val="none" w:sz="0" w:space="0" w:color="auto"/>
      </w:divBdr>
    </w:div>
    <w:div w:id="1862161078">
      <w:bodyDiv w:val="1"/>
      <w:marLeft w:val="0"/>
      <w:marRight w:val="0"/>
      <w:marTop w:val="0"/>
      <w:marBottom w:val="0"/>
      <w:divBdr>
        <w:top w:val="none" w:sz="0" w:space="0" w:color="auto"/>
        <w:left w:val="none" w:sz="0" w:space="0" w:color="auto"/>
        <w:bottom w:val="none" w:sz="0" w:space="0" w:color="auto"/>
        <w:right w:val="none" w:sz="0" w:space="0" w:color="auto"/>
      </w:divBdr>
    </w:div>
    <w:div w:id="1862432547">
      <w:bodyDiv w:val="1"/>
      <w:marLeft w:val="0"/>
      <w:marRight w:val="0"/>
      <w:marTop w:val="0"/>
      <w:marBottom w:val="0"/>
      <w:divBdr>
        <w:top w:val="none" w:sz="0" w:space="0" w:color="auto"/>
        <w:left w:val="none" w:sz="0" w:space="0" w:color="auto"/>
        <w:bottom w:val="none" w:sz="0" w:space="0" w:color="auto"/>
        <w:right w:val="none" w:sz="0" w:space="0" w:color="auto"/>
      </w:divBdr>
    </w:div>
    <w:div w:id="1863863285">
      <w:bodyDiv w:val="1"/>
      <w:marLeft w:val="0"/>
      <w:marRight w:val="0"/>
      <w:marTop w:val="0"/>
      <w:marBottom w:val="0"/>
      <w:divBdr>
        <w:top w:val="none" w:sz="0" w:space="0" w:color="auto"/>
        <w:left w:val="none" w:sz="0" w:space="0" w:color="auto"/>
        <w:bottom w:val="none" w:sz="0" w:space="0" w:color="auto"/>
        <w:right w:val="none" w:sz="0" w:space="0" w:color="auto"/>
      </w:divBdr>
    </w:div>
    <w:div w:id="1879197715">
      <w:bodyDiv w:val="1"/>
      <w:marLeft w:val="0"/>
      <w:marRight w:val="0"/>
      <w:marTop w:val="0"/>
      <w:marBottom w:val="0"/>
      <w:divBdr>
        <w:top w:val="none" w:sz="0" w:space="0" w:color="auto"/>
        <w:left w:val="none" w:sz="0" w:space="0" w:color="auto"/>
        <w:bottom w:val="none" w:sz="0" w:space="0" w:color="auto"/>
        <w:right w:val="none" w:sz="0" w:space="0" w:color="auto"/>
      </w:divBdr>
    </w:div>
    <w:div w:id="1893349390">
      <w:bodyDiv w:val="1"/>
      <w:marLeft w:val="0"/>
      <w:marRight w:val="0"/>
      <w:marTop w:val="0"/>
      <w:marBottom w:val="0"/>
      <w:divBdr>
        <w:top w:val="none" w:sz="0" w:space="0" w:color="auto"/>
        <w:left w:val="none" w:sz="0" w:space="0" w:color="auto"/>
        <w:bottom w:val="none" w:sz="0" w:space="0" w:color="auto"/>
        <w:right w:val="none" w:sz="0" w:space="0" w:color="auto"/>
      </w:divBdr>
    </w:div>
    <w:div w:id="1924487138">
      <w:bodyDiv w:val="1"/>
      <w:marLeft w:val="0"/>
      <w:marRight w:val="0"/>
      <w:marTop w:val="0"/>
      <w:marBottom w:val="0"/>
      <w:divBdr>
        <w:top w:val="none" w:sz="0" w:space="0" w:color="auto"/>
        <w:left w:val="none" w:sz="0" w:space="0" w:color="auto"/>
        <w:bottom w:val="none" w:sz="0" w:space="0" w:color="auto"/>
        <w:right w:val="none" w:sz="0" w:space="0" w:color="auto"/>
      </w:divBdr>
    </w:div>
    <w:div w:id="1929534573">
      <w:bodyDiv w:val="1"/>
      <w:marLeft w:val="0"/>
      <w:marRight w:val="0"/>
      <w:marTop w:val="0"/>
      <w:marBottom w:val="0"/>
      <w:divBdr>
        <w:top w:val="none" w:sz="0" w:space="0" w:color="auto"/>
        <w:left w:val="none" w:sz="0" w:space="0" w:color="auto"/>
        <w:bottom w:val="none" w:sz="0" w:space="0" w:color="auto"/>
        <w:right w:val="none" w:sz="0" w:space="0" w:color="auto"/>
      </w:divBdr>
    </w:div>
    <w:div w:id="1931158001">
      <w:bodyDiv w:val="1"/>
      <w:marLeft w:val="0"/>
      <w:marRight w:val="0"/>
      <w:marTop w:val="0"/>
      <w:marBottom w:val="0"/>
      <w:divBdr>
        <w:top w:val="none" w:sz="0" w:space="0" w:color="auto"/>
        <w:left w:val="none" w:sz="0" w:space="0" w:color="auto"/>
        <w:bottom w:val="none" w:sz="0" w:space="0" w:color="auto"/>
        <w:right w:val="none" w:sz="0" w:space="0" w:color="auto"/>
      </w:divBdr>
    </w:div>
    <w:div w:id="1936788111">
      <w:bodyDiv w:val="1"/>
      <w:marLeft w:val="0"/>
      <w:marRight w:val="0"/>
      <w:marTop w:val="0"/>
      <w:marBottom w:val="0"/>
      <w:divBdr>
        <w:top w:val="none" w:sz="0" w:space="0" w:color="auto"/>
        <w:left w:val="none" w:sz="0" w:space="0" w:color="auto"/>
        <w:bottom w:val="none" w:sz="0" w:space="0" w:color="auto"/>
        <w:right w:val="none" w:sz="0" w:space="0" w:color="auto"/>
      </w:divBdr>
    </w:div>
    <w:div w:id="1941178855">
      <w:bodyDiv w:val="1"/>
      <w:marLeft w:val="0"/>
      <w:marRight w:val="0"/>
      <w:marTop w:val="0"/>
      <w:marBottom w:val="0"/>
      <w:divBdr>
        <w:top w:val="none" w:sz="0" w:space="0" w:color="auto"/>
        <w:left w:val="none" w:sz="0" w:space="0" w:color="auto"/>
        <w:bottom w:val="none" w:sz="0" w:space="0" w:color="auto"/>
        <w:right w:val="none" w:sz="0" w:space="0" w:color="auto"/>
      </w:divBdr>
    </w:div>
    <w:div w:id="1948611101">
      <w:bodyDiv w:val="1"/>
      <w:marLeft w:val="0"/>
      <w:marRight w:val="0"/>
      <w:marTop w:val="0"/>
      <w:marBottom w:val="0"/>
      <w:divBdr>
        <w:top w:val="none" w:sz="0" w:space="0" w:color="auto"/>
        <w:left w:val="none" w:sz="0" w:space="0" w:color="auto"/>
        <w:bottom w:val="none" w:sz="0" w:space="0" w:color="auto"/>
        <w:right w:val="none" w:sz="0" w:space="0" w:color="auto"/>
      </w:divBdr>
    </w:div>
    <w:div w:id="1984117956">
      <w:bodyDiv w:val="1"/>
      <w:marLeft w:val="0"/>
      <w:marRight w:val="0"/>
      <w:marTop w:val="0"/>
      <w:marBottom w:val="0"/>
      <w:divBdr>
        <w:top w:val="none" w:sz="0" w:space="0" w:color="auto"/>
        <w:left w:val="none" w:sz="0" w:space="0" w:color="auto"/>
        <w:bottom w:val="none" w:sz="0" w:space="0" w:color="auto"/>
        <w:right w:val="none" w:sz="0" w:space="0" w:color="auto"/>
      </w:divBdr>
    </w:div>
    <w:div w:id="1988506884">
      <w:bodyDiv w:val="1"/>
      <w:marLeft w:val="0"/>
      <w:marRight w:val="0"/>
      <w:marTop w:val="0"/>
      <w:marBottom w:val="0"/>
      <w:divBdr>
        <w:top w:val="none" w:sz="0" w:space="0" w:color="auto"/>
        <w:left w:val="none" w:sz="0" w:space="0" w:color="auto"/>
        <w:bottom w:val="none" w:sz="0" w:space="0" w:color="auto"/>
        <w:right w:val="none" w:sz="0" w:space="0" w:color="auto"/>
      </w:divBdr>
    </w:div>
    <w:div w:id="1996251777">
      <w:bodyDiv w:val="1"/>
      <w:marLeft w:val="0"/>
      <w:marRight w:val="0"/>
      <w:marTop w:val="0"/>
      <w:marBottom w:val="0"/>
      <w:divBdr>
        <w:top w:val="none" w:sz="0" w:space="0" w:color="auto"/>
        <w:left w:val="none" w:sz="0" w:space="0" w:color="auto"/>
        <w:bottom w:val="none" w:sz="0" w:space="0" w:color="auto"/>
        <w:right w:val="none" w:sz="0" w:space="0" w:color="auto"/>
      </w:divBdr>
    </w:div>
    <w:div w:id="2006395853">
      <w:bodyDiv w:val="1"/>
      <w:marLeft w:val="0"/>
      <w:marRight w:val="0"/>
      <w:marTop w:val="0"/>
      <w:marBottom w:val="0"/>
      <w:divBdr>
        <w:top w:val="none" w:sz="0" w:space="0" w:color="auto"/>
        <w:left w:val="none" w:sz="0" w:space="0" w:color="auto"/>
        <w:bottom w:val="none" w:sz="0" w:space="0" w:color="auto"/>
        <w:right w:val="none" w:sz="0" w:space="0" w:color="auto"/>
      </w:divBdr>
    </w:div>
    <w:div w:id="2010865654">
      <w:bodyDiv w:val="1"/>
      <w:marLeft w:val="0"/>
      <w:marRight w:val="0"/>
      <w:marTop w:val="0"/>
      <w:marBottom w:val="0"/>
      <w:divBdr>
        <w:top w:val="none" w:sz="0" w:space="0" w:color="auto"/>
        <w:left w:val="none" w:sz="0" w:space="0" w:color="auto"/>
        <w:bottom w:val="none" w:sz="0" w:space="0" w:color="auto"/>
        <w:right w:val="none" w:sz="0" w:space="0" w:color="auto"/>
      </w:divBdr>
    </w:div>
    <w:div w:id="2018462141">
      <w:bodyDiv w:val="1"/>
      <w:marLeft w:val="0"/>
      <w:marRight w:val="0"/>
      <w:marTop w:val="0"/>
      <w:marBottom w:val="0"/>
      <w:divBdr>
        <w:top w:val="none" w:sz="0" w:space="0" w:color="auto"/>
        <w:left w:val="none" w:sz="0" w:space="0" w:color="auto"/>
        <w:bottom w:val="none" w:sz="0" w:space="0" w:color="auto"/>
        <w:right w:val="none" w:sz="0" w:space="0" w:color="auto"/>
      </w:divBdr>
    </w:div>
    <w:div w:id="2035377584">
      <w:bodyDiv w:val="1"/>
      <w:marLeft w:val="0"/>
      <w:marRight w:val="0"/>
      <w:marTop w:val="0"/>
      <w:marBottom w:val="0"/>
      <w:divBdr>
        <w:top w:val="none" w:sz="0" w:space="0" w:color="auto"/>
        <w:left w:val="none" w:sz="0" w:space="0" w:color="auto"/>
        <w:bottom w:val="none" w:sz="0" w:space="0" w:color="auto"/>
        <w:right w:val="none" w:sz="0" w:space="0" w:color="auto"/>
      </w:divBdr>
    </w:div>
    <w:div w:id="2037198122">
      <w:bodyDiv w:val="1"/>
      <w:marLeft w:val="0"/>
      <w:marRight w:val="0"/>
      <w:marTop w:val="0"/>
      <w:marBottom w:val="0"/>
      <w:divBdr>
        <w:top w:val="none" w:sz="0" w:space="0" w:color="auto"/>
        <w:left w:val="none" w:sz="0" w:space="0" w:color="auto"/>
        <w:bottom w:val="none" w:sz="0" w:space="0" w:color="auto"/>
        <w:right w:val="none" w:sz="0" w:space="0" w:color="auto"/>
      </w:divBdr>
    </w:div>
    <w:div w:id="2049720469">
      <w:bodyDiv w:val="1"/>
      <w:marLeft w:val="0"/>
      <w:marRight w:val="0"/>
      <w:marTop w:val="0"/>
      <w:marBottom w:val="0"/>
      <w:divBdr>
        <w:top w:val="none" w:sz="0" w:space="0" w:color="auto"/>
        <w:left w:val="none" w:sz="0" w:space="0" w:color="auto"/>
        <w:bottom w:val="none" w:sz="0" w:space="0" w:color="auto"/>
        <w:right w:val="none" w:sz="0" w:space="0" w:color="auto"/>
      </w:divBdr>
    </w:div>
    <w:div w:id="2057508517">
      <w:bodyDiv w:val="1"/>
      <w:marLeft w:val="0"/>
      <w:marRight w:val="0"/>
      <w:marTop w:val="0"/>
      <w:marBottom w:val="0"/>
      <w:divBdr>
        <w:top w:val="none" w:sz="0" w:space="0" w:color="auto"/>
        <w:left w:val="none" w:sz="0" w:space="0" w:color="auto"/>
        <w:bottom w:val="none" w:sz="0" w:space="0" w:color="auto"/>
        <w:right w:val="none" w:sz="0" w:space="0" w:color="auto"/>
      </w:divBdr>
    </w:div>
    <w:div w:id="2060393742">
      <w:bodyDiv w:val="1"/>
      <w:marLeft w:val="0"/>
      <w:marRight w:val="0"/>
      <w:marTop w:val="0"/>
      <w:marBottom w:val="0"/>
      <w:divBdr>
        <w:top w:val="none" w:sz="0" w:space="0" w:color="auto"/>
        <w:left w:val="none" w:sz="0" w:space="0" w:color="auto"/>
        <w:bottom w:val="none" w:sz="0" w:space="0" w:color="auto"/>
        <w:right w:val="none" w:sz="0" w:space="0" w:color="auto"/>
      </w:divBdr>
    </w:div>
    <w:div w:id="2061778183">
      <w:bodyDiv w:val="1"/>
      <w:marLeft w:val="0"/>
      <w:marRight w:val="0"/>
      <w:marTop w:val="0"/>
      <w:marBottom w:val="0"/>
      <w:divBdr>
        <w:top w:val="none" w:sz="0" w:space="0" w:color="auto"/>
        <w:left w:val="none" w:sz="0" w:space="0" w:color="auto"/>
        <w:bottom w:val="none" w:sz="0" w:space="0" w:color="auto"/>
        <w:right w:val="none" w:sz="0" w:space="0" w:color="auto"/>
      </w:divBdr>
    </w:div>
    <w:div w:id="2075882866">
      <w:bodyDiv w:val="1"/>
      <w:marLeft w:val="0"/>
      <w:marRight w:val="0"/>
      <w:marTop w:val="0"/>
      <w:marBottom w:val="0"/>
      <w:divBdr>
        <w:top w:val="none" w:sz="0" w:space="0" w:color="auto"/>
        <w:left w:val="none" w:sz="0" w:space="0" w:color="auto"/>
        <w:bottom w:val="none" w:sz="0" w:space="0" w:color="auto"/>
        <w:right w:val="none" w:sz="0" w:space="0" w:color="auto"/>
      </w:divBdr>
    </w:div>
    <w:div w:id="2093113245">
      <w:bodyDiv w:val="1"/>
      <w:marLeft w:val="0"/>
      <w:marRight w:val="0"/>
      <w:marTop w:val="0"/>
      <w:marBottom w:val="0"/>
      <w:divBdr>
        <w:top w:val="none" w:sz="0" w:space="0" w:color="auto"/>
        <w:left w:val="none" w:sz="0" w:space="0" w:color="auto"/>
        <w:bottom w:val="none" w:sz="0" w:space="0" w:color="auto"/>
        <w:right w:val="none" w:sz="0" w:space="0" w:color="auto"/>
      </w:divBdr>
    </w:div>
    <w:div w:id="2100056963">
      <w:bodyDiv w:val="1"/>
      <w:marLeft w:val="0"/>
      <w:marRight w:val="0"/>
      <w:marTop w:val="0"/>
      <w:marBottom w:val="0"/>
      <w:divBdr>
        <w:top w:val="none" w:sz="0" w:space="0" w:color="auto"/>
        <w:left w:val="none" w:sz="0" w:space="0" w:color="auto"/>
        <w:bottom w:val="none" w:sz="0" w:space="0" w:color="auto"/>
        <w:right w:val="none" w:sz="0" w:space="0" w:color="auto"/>
      </w:divBdr>
    </w:div>
    <w:div w:id="2112509743">
      <w:bodyDiv w:val="1"/>
      <w:marLeft w:val="0"/>
      <w:marRight w:val="0"/>
      <w:marTop w:val="0"/>
      <w:marBottom w:val="0"/>
      <w:divBdr>
        <w:top w:val="none" w:sz="0" w:space="0" w:color="auto"/>
        <w:left w:val="none" w:sz="0" w:space="0" w:color="auto"/>
        <w:bottom w:val="none" w:sz="0" w:space="0" w:color="auto"/>
        <w:right w:val="none" w:sz="0" w:space="0" w:color="auto"/>
      </w:divBdr>
    </w:div>
    <w:div w:id="2114402402">
      <w:bodyDiv w:val="1"/>
      <w:marLeft w:val="0"/>
      <w:marRight w:val="0"/>
      <w:marTop w:val="0"/>
      <w:marBottom w:val="0"/>
      <w:divBdr>
        <w:top w:val="none" w:sz="0" w:space="0" w:color="auto"/>
        <w:left w:val="none" w:sz="0" w:space="0" w:color="auto"/>
        <w:bottom w:val="none" w:sz="0" w:space="0" w:color="auto"/>
        <w:right w:val="none" w:sz="0" w:space="0" w:color="auto"/>
      </w:divBdr>
    </w:div>
    <w:div w:id="2114739715">
      <w:bodyDiv w:val="1"/>
      <w:marLeft w:val="0"/>
      <w:marRight w:val="0"/>
      <w:marTop w:val="0"/>
      <w:marBottom w:val="0"/>
      <w:divBdr>
        <w:top w:val="none" w:sz="0" w:space="0" w:color="auto"/>
        <w:left w:val="none" w:sz="0" w:space="0" w:color="auto"/>
        <w:bottom w:val="none" w:sz="0" w:space="0" w:color="auto"/>
        <w:right w:val="none" w:sz="0" w:space="0" w:color="auto"/>
      </w:divBdr>
    </w:div>
    <w:div w:id="2122256194">
      <w:bodyDiv w:val="1"/>
      <w:marLeft w:val="0"/>
      <w:marRight w:val="0"/>
      <w:marTop w:val="0"/>
      <w:marBottom w:val="0"/>
      <w:divBdr>
        <w:top w:val="none" w:sz="0" w:space="0" w:color="auto"/>
        <w:left w:val="none" w:sz="0" w:space="0" w:color="auto"/>
        <w:bottom w:val="none" w:sz="0" w:space="0" w:color="auto"/>
        <w:right w:val="none" w:sz="0" w:space="0" w:color="auto"/>
      </w:divBdr>
    </w:div>
    <w:div w:id="2142338603">
      <w:bodyDiv w:val="1"/>
      <w:marLeft w:val="0"/>
      <w:marRight w:val="0"/>
      <w:marTop w:val="0"/>
      <w:marBottom w:val="0"/>
      <w:divBdr>
        <w:top w:val="none" w:sz="0" w:space="0" w:color="auto"/>
        <w:left w:val="none" w:sz="0" w:space="0" w:color="auto"/>
        <w:bottom w:val="none" w:sz="0" w:space="0" w:color="auto"/>
        <w:right w:val="none" w:sz="0" w:space="0" w:color="auto"/>
      </w:divBdr>
    </w:div>
    <w:div w:id="2146847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3.xml"/><Relationship Id="rId26" Type="http://schemas.openxmlformats.org/officeDocument/2006/relationships/chart" Target="charts/chart10.xml"/><Relationship Id="rId39" Type="http://schemas.openxmlformats.org/officeDocument/2006/relationships/chart" Target="charts/chart18.xml"/><Relationship Id="rId21" Type="http://schemas.openxmlformats.org/officeDocument/2006/relationships/chart" Target="charts/chart5.xml"/><Relationship Id="rId34" Type="http://schemas.openxmlformats.org/officeDocument/2006/relationships/image" Target="media/image8.jpeg"/><Relationship Id="rId42" Type="http://schemas.openxmlformats.org/officeDocument/2006/relationships/chart" Target="charts/chart21.xml"/><Relationship Id="rId47" Type="http://schemas.openxmlformats.org/officeDocument/2006/relationships/chart" Target="charts/chart26.xml"/><Relationship Id="rId50" Type="http://schemas.openxmlformats.org/officeDocument/2006/relationships/chart" Target="charts/chart29.xml"/><Relationship Id="rId55" Type="http://schemas.openxmlformats.org/officeDocument/2006/relationships/hyperlink" Target="http://www.who.int/healthinfo/paper31.pdf" TargetMode="External"/><Relationship Id="rId63" Type="http://schemas.openxmlformats.org/officeDocument/2006/relationships/hyperlink" Target="http://www.TeAra.govt.nz/NewZealandInBrief/SportsAndLeisure/2/en"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chart" Target="charts/chart1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8.xml"/><Relationship Id="rId32" Type="http://schemas.openxmlformats.org/officeDocument/2006/relationships/image" Target="media/image6.jpeg"/><Relationship Id="rId37" Type="http://schemas.openxmlformats.org/officeDocument/2006/relationships/chart" Target="charts/chart16.xml"/><Relationship Id="rId40" Type="http://schemas.openxmlformats.org/officeDocument/2006/relationships/chart" Target="charts/chart19.xml"/><Relationship Id="rId45" Type="http://schemas.openxmlformats.org/officeDocument/2006/relationships/chart" Target="charts/chart24.xml"/><Relationship Id="rId53" Type="http://schemas.openxmlformats.org/officeDocument/2006/relationships/footer" Target="footer2.xml"/><Relationship Id="rId58" Type="http://schemas.openxmlformats.org/officeDocument/2006/relationships/hyperlink" Target="http://www.dia.govt.nz/diawebsite.nsf/wpg_URL/Resource-material-Information-We-Provide-Gambling-Expenditure-Statistics"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5.xml"/><Relationship Id="rId49" Type="http://schemas.openxmlformats.org/officeDocument/2006/relationships/chart" Target="charts/chart28.xml"/><Relationship Id="rId57" Type="http://schemas.openxmlformats.org/officeDocument/2006/relationships/hyperlink" Target="http://www.dia.govt.nz/diawebsite.nsf/Files/GamblingFactSheets-Feb2013/$file/FactSheet1-Feb2013.pdf" TargetMode="External"/><Relationship Id="rId61" Type="http://schemas.openxmlformats.org/officeDocument/2006/relationships/hyperlink" Target="http://www.hsc.org.nz/researchpublications.html" TargetMode="External"/><Relationship Id="rId10" Type="http://schemas.openxmlformats.org/officeDocument/2006/relationships/hyperlink" Target="mailto:f.rossen@auckland.ac.nz" TargetMode="External"/><Relationship Id="rId19" Type="http://schemas.openxmlformats.org/officeDocument/2006/relationships/image" Target="media/image4.png"/><Relationship Id="rId31" Type="http://schemas.openxmlformats.org/officeDocument/2006/relationships/image" Target="media/image5.jpeg"/><Relationship Id="rId44" Type="http://schemas.openxmlformats.org/officeDocument/2006/relationships/chart" Target="charts/chart23.xml"/><Relationship Id="rId52" Type="http://schemas.openxmlformats.org/officeDocument/2006/relationships/header" Target="header5.xml"/><Relationship Id="rId60" Type="http://schemas.openxmlformats.org/officeDocument/2006/relationships/hyperlink" Target="http://www.dia.govt.nz/pubforms.nsf/URL/ProblemGamblingFactsFinal.pdf/$file/ProblemGamblingFactsFinal.pdf" TargetMode="External"/><Relationship Id="rId65" Type="http://schemas.openxmlformats.org/officeDocument/2006/relationships/hyperlink" Target="http://www.who.int/gender/whatisgender/e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image" Target="media/image9.jpeg"/><Relationship Id="rId43" Type="http://schemas.openxmlformats.org/officeDocument/2006/relationships/chart" Target="charts/chart22.xml"/><Relationship Id="rId48" Type="http://schemas.openxmlformats.org/officeDocument/2006/relationships/chart" Target="charts/chart27.xml"/><Relationship Id="rId56" Type="http://schemas.openxmlformats.org/officeDocument/2006/relationships/hyperlink" Target="http://www.cdc.gov/pcd/issues/2005/jan/2004_0050.htm" TargetMode="External"/><Relationship Id="rId64" Type="http://schemas.openxmlformats.org/officeDocument/2006/relationships/hyperlink" Target="http://www.stats.govt.nz/methods/classifications-and-standards/classification-related-stats-standards/sex/definition.aspx" TargetMode="External"/><Relationship Id="rId69" Type="http://schemas.microsoft.com/office/2011/relationships/people" Target="people.xml"/><Relationship Id="rId8" Type="http://schemas.openxmlformats.org/officeDocument/2006/relationships/image" Target="media/image1.jpeg"/><Relationship Id="rId51" Type="http://schemas.openxmlformats.org/officeDocument/2006/relationships/header" Target="header4.xml"/><Relationship Id="rId3" Type="http://schemas.microsoft.com/office/2007/relationships/stylesWithEffects" Target="stylesWithEffects.xml"/><Relationship Id="rId12" Type="http://schemas.openxmlformats.org/officeDocument/2006/relationships/header" Target="header2.xml"/><Relationship Id="rId17" Type="http://schemas.openxmlformats.org/officeDocument/2006/relationships/chart" Target="charts/chart2.xml"/><Relationship Id="rId25" Type="http://schemas.openxmlformats.org/officeDocument/2006/relationships/chart" Target="charts/chart9.xml"/><Relationship Id="rId33" Type="http://schemas.openxmlformats.org/officeDocument/2006/relationships/image" Target="media/image7.png"/><Relationship Id="rId38" Type="http://schemas.openxmlformats.org/officeDocument/2006/relationships/chart" Target="charts/chart17.xml"/><Relationship Id="rId46" Type="http://schemas.openxmlformats.org/officeDocument/2006/relationships/chart" Target="charts/chart25.xml"/><Relationship Id="rId59" Type="http://schemas.openxmlformats.org/officeDocument/2006/relationships/hyperlink" Target="http://www.dia.govt.nz/Pubforms.nsf/URL/LineGraph_30%20September%202014.pdf/$file/LineGraph_30%20September%202014.pdf" TargetMode="External"/><Relationship Id="rId67"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chart" Target="charts/chart20.xml"/><Relationship Id="rId54" Type="http://schemas.openxmlformats.org/officeDocument/2006/relationships/header" Target="header6.xml"/><Relationship Id="rId62" Type="http://schemas.openxmlformats.org/officeDocument/2006/relationships/hyperlink" Target="http://www.health.govt.nz/our-work/mental-health-and-addictions/problem-gambling/service-user-data/intervention-client-data" TargetMode="External"/><Relationship Id="rId70" Type="http://schemas.microsoft.com/office/2011/relationships/commentsExtended" Target="commentsExtended.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13%20August%20201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mhsb3\home2$\fros001\A%20MoH%20-%20NZ%20Health%20Survey\Analysis%20-%20SAS\Results\Fionas%20results%20-%2024%20July2015.xlsx" TargetMode="Externa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6.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3%20Sep%20201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fros001.000\Desktop\NZHS%20-%20April%202014\Results%20-%20exce;l\Fionas%20results%20-%2020%20Oct%202014.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9%20Sep%202014.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1%20Oct%202014.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6%20May%202014.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29%20August%202014.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13%20August%20201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12%20August%20201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12%20August%20201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fros001.000\Desktop\NZHS%20-%20April%202014\Fionas%20results%20-%2026%20Sep%20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91415976849048"/>
          <c:y val="2.9879901452820729E-2"/>
          <c:w val="0.86016959418534222"/>
          <c:h val="0.7962387642954073"/>
        </c:manualLayout>
      </c:layout>
      <c:barChart>
        <c:barDir val="col"/>
        <c:grouping val="stacked"/>
        <c:varyColors val="0"/>
        <c:ser>
          <c:idx val="0"/>
          <c:order val="0"/>
          <c:tx>
            <c:strRef>
              <c:f>Statistics!$A$42</c:f>
              <c:strCache>
                <c:ptCount val="1"/>
                <c:pt idx="0">
                  <c:v>NZ RACING BOARD (TAB)</c:v>
                </c:pt>
              </c:strCache>
            </c:strRef>
          </c:tx>
          <c:spPr>
            <a:solidFill>
              <a:schemeClr val="accent1">
                <a:lumMod val="40000"/>
                <a:lumOff val="60000"/>
              </a:schemeClr>
            </a:solidFill>
          </c:spPr>
          <c:invertIfNegative val="0"/>
          <c:cat>
            <c:numRef>
              <c:f>Statistics!$C$41:$AA$41</c:f>
              <c:numCache>
                <c:formatCode>General</c:formatCode>
                <c:ptCount val="25"/>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numCache>
            </c:numRef>
          </c:cat>
          <c:val>
            <c:numRef>
              <c:f>Statistics!$C$42:$AA$42</c:f>
              <c:numCache>
                <c:formatCode>0</c:formatCode>
                <c:ptCount val="25"/>
                <c:pt idx="0">
                  <c:v>232</c:v>
                </c:pt>
                <c:pt idx="1">
                  <c:v>230</c:v>
                </c:pt>
                <c:pt idx="2">
                  <c:v>222</c:v>
                </c:pt>
                <c:pt idx="3">
                  <c:v>203</c:v>
                </c:pt>
                <c:pt idx="4">
                  <c:v>198</c:v>
                </c:pt>
                <c:pt idx="5">
                  <c:v>199</c:v>
                </c:pt>
                <c:pt idx="6">
                  <c:v>209</c:v>
                </c:pt>
                <c:pt idx="7">
                  <c:v>211</c:v>
                </c:pt>
                <c:pt idx="8">
                  <c:v>217</c:v>
                </c:pt>
                <c:pt idx="9">
                  <c:v>220</c:v>
                </c:pt>
                <c:pt idx="10">
                  <c:v>225</c:v>
                </c:pt>
                <c:pt idx="11">
                  <c:v>227</c:v>
                </c:pt>
                <c:pt idx="12">
                  <c:v>224</c:v>
                </c:pt>
                <c:pt idx="13">
                  <c:v>228</c:v>
                </c:pt>
                <c:pt idx="14">
                  <c:v>234</c:v>
                </c:pt>
                <c:pt idx="15">
                  <c:v>238.67100000000005</c:v>
                </c:pt>
                <c:pt idx="16">
                  <c:v>247.29999999999995</c:v>
                </c:pt>
                <c:pt idx="17">
                  <c:v>258.31299999999987</c:v>
                </c:pt>
                <c:pt idx="18">
                  <c:v>269.15200000000004</c:v>
                </c:pt>
                <c:pt idx="19">
                  <c:v>272.42599999999993</c:v>
                </c:pt>
                <c:pt idx="20">
                  <c:v>269.25</c:v>
                </c:pt>
                <c:pt idx="21">
                  <c:v>278.39300000000003</c:v>
                </c:pt>
                <c:pt idx="22">
                  <c:v>272.79300000000012</c:v>
                </c:pt>
                <c:pt idx="23">
                  <c:v>282.95100000000002</c:v>
                </c:pt>
                <c:pt idx="24">
                  <c:v>294.28499999999985</c:v>
                </c:pt>
              </c:numCache>
            </c:numRef>
          </c:val>
        </c:ser>
        <c:ser>
          <c:idx val="1"/>
          <c:order val="1"/>
          <c:tx>
            <c:strRef>
              <c:f>Statistics!$A$43</c:f>
              <c:strCache>
                <c:ptCount val="1"/>
                <c:pt idx="0">
                  <c:v>NZ LOTTERIES COMMISSION</c:v>
                </c:pt>
              </c:strCache>
            </c:strRef>
          </c:tx>
          <c:spPr>
            <a:solidFill>
              <a:schemeClr val="accent1">
                <a:lumMod val="75000"/>
              </a:schemeClr>
            </a:solidFill>
          </c:spPr>
          <c:invertIfNegative val="0"/>
          <c:cat>
            <c:numRef>
              <c:f>Statistics!$C$41:$AA$41</c:f>
              <c:numCache>
                <c:formatCode>General</c:formatCode>
                <c:ptCount val="25"/>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numCache>
            </c:numRef>
          </c:cat>
          <c:val>
            <c:numRef>
              <c:f>Statistics!$C$43:$AA$43</c:f>
              <c:numCache>
                <c:formatCode>0</c:formatCode>
                <c:ptCount val="25"/>
                <c:pt idx="0">
                  <c:v>194</c:v>
                </c:pt>
                <c:pt idx="1">
                  <c:v>252</c:v>
                </c:pt>
                <c:pt idx="2">
                  <c:v>246</c:v>
                </c:pt>
                <c:pt idx="3">
                  <c:v>250</c:v>
                </c:pt>
                <c:pt idx="4">
                  <c:v>247</c:v>
                </c:pt>
                <c:pt idx="5">
                  <c:v>270</c:v>
                </c:pt>
                <c:pt idx="6">
                  <c:v>275</c:v>
                </c:pt>
                <c:pt idx="7">
                  <c:v>281</c:v>
                </c:pt>
                <c:pt idx="8">
                  <c:v>285</c:v>
                </c:pt>
                <c:pt idx="9">
                  <c:v>288.077</c:v>
                </c:pt>
                <c:pt idx="10">
                  <c:v>288</c:v>
                </c:pt>
                <c:pt idx="11">
                  <c:v>276.74099999999999</c:v>
                </c:pt>
                <c:pt idx="12">
                  <c:v>268.46399999999994</c:v>
                </c:pt>
                <c:pt idx="13">
                  <c:v>251.35399999999998</c:v>
                </c:pt>
                <c:pt idx="14">
                  <c:v>238.67200000000003</c:v>
                </c:pt>
                <c:pt idx="15">
                  <c:v>281.54899999999998</c:v>
                </c:pt>
                <c:pt idx="16">
                  <c:v>280.08299999999997</c:v>
                </c:pt>
                <c:pt idx="17">
                  <c:v>321.05</c:v>
                </c:pt>
                <c:pt idx="18">
                  <c:v>330.54200000000009</c:v>
                </c:pt>
                <c:pt idx="19">
                  <c:v>345.96300000000002</c:v>
                </c:pt>
                <c:pt idx="20">
                  <c:v>403.80100000000004</c:v>
                </c:pt>
                <c:pt idx="21">
                  <c:v>346.62200000000001</c:v>
                </c:pt>
                <c:pt idx="22">
                  <c:v>404.47699999999998</c:v>
                </c:pt>
                <c:pt idx="23">
                  <c:v>418.73900000000003</c:v>
                </c:pt>
                <c:pt idx="24">
                  <c:v>431.82400000000007</c:v>
                </c:pt>
              </c:numCache>
            </c:numRef>
          </c:val>
        </c:ser>
        <c:ser>
          <c:idx val="2"/>
          <c:order val="2"/>
          <c:tx>
            <c:strRef>
              <c:f>Statistics!$A$44</c:f>
              <c:strCache>
                <c:ptCount val="1"/>
                <c:pt idx="0">
                  <c:v>GAMING MACHINES (outside Casinos)</c:v>
                </c:pt>
              </c:strCache>
            </c:strRef>
          </c:tx>
          <c:invertIfNegative val="0"/>
          <c:cat>
            <c:numRef>
              <c:f>Statistics!$C$41:$AA$41</c:f>
              <c:numCache>
                <c:formatCode>General</c:formatCode>
                <c:ptCount val="25"/>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numCache>
            </c:numRef>
          </c:cat>
          <c:val>
            <c:numRef>
              <c:f>Statistics!$C$44:$AA$44</c:f>
              <c:numCache>
                <c:formatCode>General</c:formatCode>
                <c:ptCount val="25"/>
                <c:pt idx="2" formatCode="0">
                  <c:v>107</c:v>
                </c:pt>
                <c:pt idx="3" formatCode="0">
                  <c:v>110</c:v>
                </c:pt>
                <c:pt idx="4" formatCode="0">
                  <c:v>122</c:v>
                </c:pt>
                <c:pt idx="5" formatCode="0">
                  <c:v>145</c:v>
                </c:pt>
                <c:pt idx="6" formatCode="0">
                  <c:v>171</c:v>
                </c:pt>
                <c:pt idx="7" formatCode="0">
                  <c:v>197</c:v>
                </c:pt>
                <c:pt idx="8" formatCode="0">
                  <c:v>230</c:v>
                </c:pt>
                <c:pt idx="9" formatCode="0">
                  <c:v>292</c:v>
                </c:pt>
                <c:pt idx="10" formatCode="0">
                  <c:v>360</c:v>
                </c:pt>
                <c:pt idx="11" formatCode="0">
                  <c:v>449.63126</c:v>
                </c:pt>
                <c:pt idx="12" formatCode="0">
                  <c:v>597.33100000000002</c:v>
                </c:pt>
                <c:pt idx="13" formatCode="0">
                  <c:v>777.30610999999999</c:v>
                </c:pt>
                <c:pt idx="14" formatCode="0">
                  <c:v>941.43132000000003</c:v>
                </c:pt>
                <c:pt idx="15" formatCode="0">
                  <c:v>1035</c:v>
                </c:pt>
                <c:pt idx="16" formatCode="0">
                  <c:v>1026.99533</c:v>
                </c:pt>
                <c:pt idx="17" formatCode="0">
                  <c:v>905.57899999999995</c:v>
                </c:pt>
                <c:pt idx="18" formatCode="0">
                  <c:v>950.46199999999999</c:v>
                </c:pt>
                <c:pt idx="19" formatCode="0">
                  <c:v>938.31500000000005</c:v>
                </c:pt>
                <c:pt idx="20" formatCode="0">
                  <c:v>889.09947499999998</c:v>
                </c:pt>
                <c:pt idx="21" formatCode="0">
                  <c:v>849.16251699999998</c:v>
                </c:pt>
                <c:pt idx="22" formatCode="0">
                  <c:v>856.19639199999995</c:v>
                </c:pt>
                <c:pt idx="23" formatCode="0">
                  <c:v>853.95445552000001</c:v>
                </c:pt>
                <c:pt idx="24" formatCode="0">
                  <c:v>825.99563701000068</c:v>
                </c:pt>
              </c:numCache>
            </c:numRef>
          </c:val>
        </c:ser>
        <c:ser>
          <c:idx val="3"/>
          <c:order val="3"/>
          <c:tx>
            <c:strRef>
              <c:f>Statistics!$A$45</c:f>
              <c:strCache>
                <c:ptCount val="1"/>
                <c:pt idx="0">
                  <c:v>CASINOS</c:v>
                </c:pt>
              </c:strCache>
            </c:strRef>
          </c:tx>
          <c:invertIfNegative val="0"/>
          <c:cat>
            <c:numRef>
              <c:f>Statistics!$C$41:$AA$41</c:f>
              <c:numCache>
                <c:formatCode>General</c:formatCode>
                <c:ptCount val="25"/>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numCache>
            </c:numRef>
          </c:cat>
          <c:val>
            <c:numRef>
              <c:f>Statistics!$C$45:$AA$45</c:f>
              <c:numCache>
                <c:formatCode>General</c:formatCode>
                <c:ptCount val="25"/>
                <c:pt idx="6" formatCode="0">
                  <c:v>40</c:v>
                </c:pt>
                <c:pt idx="7" formatCode="0">
                  <c:v>117.4</c:v>
                </c:pt>
                <c:pt idx="8" formatCode="0">
                  <c:v>241</c:v>
                </c:pt>
                <c:pt idx="9" formatCode="0">
                  <c:v>244.826705</c:v>
                </c:pt>
                <c:pt idx="10" formatCode="0">
                  <c:v>294</c:v>
                </c:pt>
                <c:pt idx="11" formatCode="0">
                  <c:v>343.48496899999998</c:v>
                </c:pt>
                <c:pt idx="12" formatCode="0">
                  <c:v>369.30399999999997</c:v>
                </c:pt>
                <c:pt idx="13" formatCode="0">
                  <c:v>410.001442</c:v>
                </c:pt>
                <c:pt idx="14" formatCode="0">
                  <c:v>456.65980000000002</c:v>
                </c:pt>
                <c:pt idx="15" formatCode="0">
                  <c:v>484</c:v>
                </c:pt>
                <c:pt idx="16" formatCode="0">
                  <c:v>472.32526899999999</c:v>
                </c:pt>
                <c:pt idx="17" formatCode="0">
                  <c:v>492.53095100000002</c:v>
                </c:pt>
                <c:pt idx="18" formatCode="0">
                  <c:v>469.38942500000002</c:v>
                </c:pt>
                <c:pt idx="19" formatCode="0">
                  <c:v>476.85708699000003</c:v>
                </c:pt>
                <c:pt idx="20" formatCode="0">
                  <c:v>465.39930225000001</c:v>
                </c:pt>
                <c:pt idx="21" formatCode="0">
                  <c:v>453.9288201</c:v>
                </c:pt>
                <c:pt idx="22" formatCode="0">
                  <c:v>471.44099944999999</c:v>
                </c:pt>
                <c:pt idx="23" formatCode="0">
                  <c:v>509.33177157300008</c:v>
                </c:pt>
                <c:pt idx="24" formatCode="0">
                  <c:v>520.05940399999997</c:v>
                </c:pt>
              </c:numCache>
            </c:numRef>
          </c:val>
        </c:ser>
        <c:dLbls>
          <c:showLegendKey val="0"/>
          <c:showVal val="0"/>
          <c:showCatName val="0"/>
          <c:showSerName val="0"/>
          <c:showPercent val="0"/>
          <c:showBubbleSize val="0"/>
        </c:dLbls>
        <c:gapWidth val="150"/>
        <c:overlap val="100"/>
        <c:axId val="827819520"/>
        <c:axId val="767133184"/>
      </c:barChart>
      <c:catAx>
        <c:axId val="827819520"/>
        <c:scaling>
          <c:orientation val="minMax"/>
        </c:scaling>
        <c:delete val="0"/>
        <c:axPos val="b"/>
        <c:title>
          <c:tx>
            <c:rich>
              <a:bodyPr/>
              <a:lstStyle/>
              <a:p>
                <a:pPr>
                  <a:defRPr/>
                </a:pPr>
                <a:r>
                  <a:rPr lang="en-NZ"/>
                  <a:t>Year</a:t>
                </a:r>
              </a:p>
            </c:rich>
          </c:tx>
          <c:layout>
            <c:manualLayout>
              <c:xMode val="edge"/>
              <c:yMode val="edge"/>
              <c:x val="0.48535752742445654"/>
              <c:y val="0.94592468745377067"/>
            </c:manualLayout>
          </c:layout>
          <c:overlay val="0"/>
        </c:title>
        <c:numFmt formatCode="General" sourceLinked="1"/>
        <c:majorTickMark val="out"/>
        <c:minorTickMark val="none"/>
        <c:tickLblPos val="nextTo"/>
        <c:txPr>
          <a:bodyPr rot="-2700000" vert="horz"/>
          <a:lstStyle/>
          <a:p>
            <a:pPr>
              <a:defRPr sz="900"/>
            </a:pPr>
            <a:endParaRPr lang="en-US"/>
          </a:p>
        </c:txPr>
        <c:crossAx val="767133184"/>
        <c:crosses val="autoZero"/>
        <c:auto val="1"/>
        <c:lblAlgn val="ctr"/>
        <c:lblOffset val="100"/>
        <c:noMultiLvlLbl val="0"/>
      </c:catAx>
      <c:valAx>
        <c:axId val="767133184"/>
        <c:scaling>
          <c:orientation val="minMax"/>
        </c:scaling>
        <c:delete val="0"/>
        <c:axPos val="l"/>
        <c:majorGridlines/>
        <c:title>
          <c:tx>
            <c:rich>
              <a:bodyPr rot="-5400000" vert="horz"/>
              <a:lstStyle/>
              <a:p>
                <a:pPr>
                  <a:defRPr sz="1050"/>
                </a:pPr>
                <a:r>
                  <a:rPr lang="en-US" sz="1050"/>
                  <a:t>Expendiiture ($m)</a:t>
                </a:r>
              </a:p>
            </c:rich>
          </c:tx>
          <c:layout>
            <c:manualLayout>
              <c:xMode val="edge"/>
              <c:yMode val="edge"/>
              <c:x val="6.9017094017094025E-3"/>
              <c:y val="0.30766922832706856"/>
            </c:manualLayout>
          </c:layout>
          <c:overlay val="0"/>
        </c:title>
        <c:numFmt formatCode="#,##0" sourceLinked="0"/>
        <c:majorTickMark val="out"/>
        <c:minorTickMark val="none"/>
        <c:tickLblPos val="nextTo"/>
        <c:crossAx val="827819520"/>
        <c:crosses val="autoZero"/>
        <c:crossBetween val="between"/>
      </c:valAx>
    </c:plotArea>
    <c:legend>
      <c:legendPos val="r"/>
      <c:layout>
        <c:manualLayout>
          <c:xMode val="edge"/>
          <c:yMode val="edge"/>
          <c:x val="0.11968268389528232"/>
          <c:y val="3.6077004022139918E-2"/>
          <c:w val="0.35700635978195033"/>
          <c:h val="0.19614190424657418"/>
        </c:manualLayout>
      </c:layout>
      <c:overlay val="0"/>
      <c:spPr>
        <a:solidFill>
          <a:schemeClr val="bg1"/>
        </a:solidFill>
      </c:spPr>
      <c:txPr>
        <a:bodyPr/>
        <a:lstStyle/>
        <a:p>
          <a:pPr>
            <a:defRPr sz="900"/>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96073705011116E-2"/>
          <c:y val="3.137253331393159E-2"/>
          <c:w val="0.88722724045240842"/>
          <c:h val="0.60415254705647947"/>
        </c:manualLayout>
      </c:layout>
      <c:barChart>
        <c:barDir val="col"/>
        <c:grouping val="clustered"/>
        <c:varyColors val="0"/>
        <c:ser>
          <c:idx val="0"/>
          <c:order val="0"/>
          <c:tx>
            <c:strRef>
              <c:f>'Time trends'!$AE$54</c:f>
              <c:strCache>
                <c:ptCount val="1"/>
                <c:pt idx="0">
                  <c:v>2002/03</c:v>
                </c:pt>
              </c:strCache>
            </c:strRef>
          </c:tx>
          <c:spPr>
            <a:solidFill>
              <a:schemeClr val="accent5">
                <a:lumMod val="75000"/>
              </a:schemeClr>
            </a:solidFill>
          </c:spPr>
          <c:invertIfNegative val="0"/>
          <c:errBars>
            <c:errBarType val="both"/>
            <c:errValType val="cust"/>
            <c:noEndCap val="0"/>
            <c:plus>
              <c:numLit>
                <c:formatCode>General</c:formatCode>
                <c:ptCount val="13"/>
                <c:pt idx="0">
                  <c:v>1.9</c:v>
                </c:pt>
                <c:pt idx="1">
                  <c:v>1.7</c:v>
                </c:pt>
                <c:pt idx="2">
                  <c:v>2</c:v>
                </c:pt>
                <c:pt idx="3">
                  <c:v>1.5</c:v>
                </c:pt>
                <c:pt idx="4">
                  <c:v>1.1000000000000001</c:v>
                </c:pt>
                <c:pt idx="5">
                  <c:v>0</c:v>
                </c:pt>
                <c:pt idx="6">
                  <c:v>0.8</c:v>
                </c:pt>
                <c:pt idx="7">
                  <c:v>0</c:v>
                </c:pt>
                <c:pt idx="8">
                  <c:v>0.5</c:v>
                </c:pt>
                <c:pt idx="9">
                  <c:v>0.4</c:v>
                </c:pt>
                <c:pt idx="10">
                  <c:v>0.4</c:v>
                </c:pt>
                <c:pt idx="11">
                  <c:v>0</c:v>
                </c:pt>
                <c:pt idx="12">
                  <c:v>0.9</c:v>
                </c:pt>
              </c:numLit>
            </c:plus>
            <c:minus>
              <c:numLit>
                <c:formatCode>General</c:formatCode>
                <c:ptCount val="13"/>
                <c:pt idx="0">
                  <c:v>1.9</c:v>
                </c:pt>
                <c:pt idx="1">
                  <c:v>1.7</c:v>
                </c:pt>
                <c:pt idx="2">
                  <c:v>2</c:v>
                </c:pt>
                <c:pt idx="3">
                  <c:v>1.5</c:v>
                </c:pt>
                <c:pt idx="4">
                  <c:v>1.1000000000000001</c:v>
                </c:pt>
                <c:pt idx="5">
                  <c:v>0</c:v>
                </c:pt>
                <c:pt idx="6">
                  <c:v>0.8</c:v>
                </c:pt>
                <c:pt idx="7">
                  <c:v>0</c:v>
                </c:pt>
                <c:pt idx="8">
                  <c:v>0.5</c:v>
                </c:pt>
                <c:pt idx="9">
                  <c:v>0.4</c:v>
                </c:pt>
                <c:pt idx="10">
                  <c:v>0.4</c:v>
                </c:pt>
                <c:pt idx="11">
                  <c:v>0</c:v>
                </c:pt>
                <c:pt idx="12">
                  <c:v>0.9</c:v>
                </c:pt>
              </c:numLit>
            </c:minus>
          </c:errBars>
          <c:cat>
            <c:strRef>
              <c:f>'Time trends'!$AD$55:$AD$67</c:f>
              <c:strCache>
                <c:ptCount val="13"/>
                <c:pt idx="0">
                  <c:v>Any gambling activity</c:v>
                </c:pt>
                <c:pt idx="1">
                  <c:v>Lotto</c:v>
                </c:pt>
                <c:pt idx="2">
                  <c:v>Instant Kiwi</c:v>
                </c:pt>
                <c:pt idx="3">
                  <c:v>Non-casino EGMs</c:v>
                </c:pt>
                <c:pt idx="4">
                  <c:v>Track betting</c:v>
                </c:pt>
                <c:pt idx="5">
                  <c:v>Casino EGMs</c:v>
                </c:pt>
                <c:pt idx="6">
                  <c:v>Sports betting</c:v>
                </c:pt>
                <c:pt idx="7">
                  <c:v>Casino tables</c:v>
                </c:pt>
                <c:pt idx="8">
                  <c:v>Other</c:v>
                </c:pt>
                <c:pt idx="9">
                  <c:v>Keno</c:v>
                </c:pt>
                <c:pt idx="10">
                  <c:v>Housie</c:v>
                </c:pt>
                <c:pt idx="11">
                  <c:v>Any EGM</c:v>
                </c:pt>
                <c:pt idx="12">
                  <c:v>Any casino gambling</c:v>
                </c:pt>
              </c:strCache>
            </c:strRef>
          </c:cat>
          <c:val>
            <c:numRef>
              <c:f>'Time trends'!$AE$55:$AE$67</c:f>
              <c:numCache>
                <c:formatCode>General</c:formatCode>
                <c:ptCount val="13"/>
                <c:pt idx="0">
                  <c:v>65.900000000000006</c:v>
                </c:pt>
                <c:pt idx="1">
                  <c:v>49.4</c:v>
                </c:pt>
                <c:pt idx="2">
                  <c:v>32.700000000000003</c:v>
                </c:pt>
                <c:pt idx="3">
                  <c:v>15.1</c:v>
                </c:pt>
                <c:pt idx="4">
                  <c:v>10.5</c:v>
                </c:pt>
                <c:pt idx="6">
                  <c:v>4.9000000000000004</c:v>
                </c:pt>
                <c:pt idx="8">
                  <c:v>1.4</c:v>
                </c:pt>
                <c:pt idx="9">
                  <c:v>1.9</c:v>
                </c:pt>
                <c:pt idx="10">
                  <c:v>1.7</c:v>
                </c:pt>
                <c:pt idx="12">
                  <c:v>8.1999999999999993</c:v>
                </c:pt>
              </c:numCache>
            </c:numRef>
          </c:val>
        </c:ser>
        <c:ser>
          <c:idx val="1"/>
          <c:order val="1"/>
          <c:tx>
            <c:strRef>
              <c:f>'Time trends'!$AF$54</c:f>
              <c:strCache>
                <c:ptCount val="1"/>
                <c:pt idx="0">
                  <c:v>2006/07</c:v>
                </c:pt>
              </c:strCache>
            </c:strRef>
          </c:tx>
          <c:spPr>
            <a:solidFill>
              <a:schemeClr val="accent5">
                <a:lumMod val="60000"/>
                <a:lumOff val="40000"/>
              </a:schemeClr>
            </a:solidFill>
          </c:spPr>
          <c:invertIfNegative val="0"/>
          <c:errBars>
            <c:errBarType val="both"/>
            <c:errValType val="cust"/>
            <c:noEndCap val="0"/>
            <c:plus>
              <c:numLit>
                <c:formatCode>General</c:formatCode>
                <c:ptCount val="13"/>
                <c:pt idx="0">
                  <c:v>1.6</c:v>
                </c:pt>
                <c:pt idx="1">
                  <c:v>1.4</c:v>
                </c:pt>
                <c:pt idx="2">
                  <c:v>1.5</c:v>
                </c:pt>
                <c:pt idx="3">
                  <c:v>1.1000000000000001</c:v>
                </c:pt>
                <c:pt idx="4">
                  <c:v>0.8</c:v>
                </c:pt>
                <c:pt idx="5">
                  <c:v>0.8</c:v>
                </c:pt>
                <c:pt idx="6">
                  <c:v>0.7</c:v>
                </c:pt>
                <c:pt idx="7">
                  <c:v>0.5</c:v>
                </c:pt>
                <c:pt idx="8">
                  <c:v>0.2</c:v>
                </c:pt>
                <c:pt idx="9">
                  <c:v>0.3</c:v>
                </c:pt>
                <c:pt idx="10">
                  <c:v>0.4</c:v>
                </c:pt>
                <c:pt idx="11">
                  <c:v>1.2</c:v>
                </c:pt>
                <c:pt idx="12">
                  <c:v>0.9</c:v>
                </c:pt>
              </c:numLit>
            </c:plus>
            <c:minus>
              <c:numLit>
                <c:formatCode>General</c:formatCode>
                <c:ptCount val="13"/>
                <c:pt idx="0">
                  <c:v>1.6</c:v>
                </c:pt>
                <c:pt idx="1">
                  <c:v>1.4</c:v>
                </c:pt>
                <c:pt idx="2">
                  <c:v>1.5</c:v>
                </c:pt>
                <c:pt idx="3">
                  <c:v>1.1000000000000001</c:v>
                </c:pt>
                <c:pt idx="4">
                  <c:v>0.8</c:v>
                </c:pt>
                <c:pt idx="5">
                  <c:v>0.8</c:v>
                </c:pt>
                <c:pt idx="6">
                  <c:v>0.7</c:v>
                </c:pt>
                <c:pt idx="7">
                  <c:v>0.5</c:v>
                </c:pt>
                <c:pt idx="8">
                  <c:v>0.2</c:v>
                </c:pt>
                <c:pt idx="9">
                  <c:v>0.3</c:v>
                </c:pt>
                <c:pt idx="10">
                  <c:v>0.4</c:v>
                </c:pt>
                <c:pt idx="11">
                  <c:v>1.2</c:v>
                </c:pt>
                <c:pt idx="12">
                  <c:v>0.9</c:v>
                </c:pt>
              </c:numLit>
            </c:minus>
          </c:errBars>
          <c:cat>
            <c:strRef>
              <c:f>'Time trends'!$AD$55:$AD$67</c:f>
              <c:strCache>
                <c:ptCount val="13"/>
                <c:pt idx="0">
                  <c:v>Any gambling activity</c:v>
                </c:pt>
                <c:pt idx="1">
                  <c:v>Lotto</c:v>
                </c:pt>
                <c:pt idx="2">
                  <c:v>Instant Kiwi</c:v>
                </c:pt>
                <c:pt idx="3">
                  <c:v>Non-casino EGMs</c:v>
                </c:pt>
                <c:pt idx="4">
                  <c:v>Track betting</c:v>
                </c:pt>
                <c:pt idx="5">
                  <c:v>Casino EGMs</c:v>
                </c:pt>
                <c:pt idx="6">
                  <c:v>Sports betting</c:v>
                </c:pt>
                <c:pt idx="7">
                  <c:v>Casino tables</c:v>
                </c:pt>
                <c:pt idx="8">
                  <c:v>Other</c:v>
                </c:pt>
                <c:pt idx="9">
                  <c:v>Keno</c:v>
                </c:pt>
                <c:pt idx="10">
                  <c:v>Housie</c:v>
                </c:pt>
                <c:pt idx="11">
                  <c:v>Any EGM</c:v>
                </c:pt>
                <c:pt idx="12">
                  <c:v>Any casino gambling</c:v>
                </c:pt>
              </c:strCache>
            </c:strRef>
          </c:cat>
          <c:val>
            <c:numRef>
              <c:f>'Time trends'!$AF$55:$AF$67</c:f>
              <c:numCache>
                <c:formatCode>General</c:formatCode>
                <c:ptCount val="13"/>
                <c:pt idx="0">
                  <c:v>60.3</c:v>
                </c:pt>
                <c:pt idx="1">
                  <c:v>45.6</c:v>
                </c:pt>
                <c:pt idx="2">
                  <c:v>28.7</c:v>
                </c:pt>
                <c:pt idx="3">
                  <c:v>11.1</c:v>
                </c:pt>
                <c:pt idx="4">
                  <c:v>7.8</c:v>
                </c:pt>
                <c:pt idx="5">
                  <c:v>7.9</c:v>
                </c:pt>
                <c:pt idx="6">
                  <c:v>5.2</c:v>
                </c:pt>
                <c:pt idx="7">
                  <c:v>2.5</c:v>
                </c:pt>
                <c:pt idx="8">
                  <c:v>0.7</c:v>
                </c:pt>
                <c:pt idx="9">
                  <c:v>1.5</c:v>
                </c:pt>
                <c:pt idx="10">
                  <c:v>1.5</c:v>
                </c:pt>
                <c:pt idx="11">
                  <c:v>16.2</c:v>
                </c:pt>
                <c:pt idx="12">
                  <c:v>9</c:v>
                </c:pt>
              </c:numCache>
            </c:numRef>
          </c:val>
        </c:ser>
        <c:ser>
          <c:idx val="2"/>
          <c:order val="2"/>
          <c:tx>
            <c:strRef>
              <c:f>'Time trends'!$AG$54</c:f>
              <c:strCache>
                <c:ptCount val="1"/>
                <c:pt idx="0">
                  <c:v>2011/12</c:v>
                </c:pt>
              </c:strCache>
            </c:strRef>
          </c:tx>
          <c:invertIfNegative val="0"/>
          <c:errBars>
            <c:errBarType val="both"/>
            <c:errValType val="cust"/>
            <c:noEndCap val="0"/>
            <c:plus>
              <c:numLit>
                <c:formatCode>General</c:formatCode>
                <c:ptCount val="13"/>
                <c:pt idx="0">
                  <c:v>1.6</c:v>
                </c:pt>
                <c:pt idx="1">
                  <c:v>1.5</c:v>
                </c:pt>
                <c:pt idx="2">
                  <c:v>1.2</c:v>
                </c:pt>
                <c:pt idx="3">
                  <c:v>0.8</c:v>
                </c:pt>
                <c:pt idx="4">
                  <c:v>0.6</c:v>
                </c:pt>
                <c:pt idx="5">
                  <c:v>0.6</c:v>
                </c:pt>
                <c:pt idx="6">
                  <c:v>0.6</c:v>
                </c:pt>
                <c:pt idx="7">
                  <c:v>0.6</c:v>
                </c:pt>
                <c:pt idx="8">
                  <c:v>0.4</c:v>
                </c:pt>
                <c:pt idx="9">
                  <c:v>0.3</c:v>
                </c:pt>
                <c:pt idx="10">
                  <c:v>0.2</c:v>
                </c:pt>
                <c:pt idx="11">
                  <c:v>1</c:v>
                </c:pt>
                <c:pt idx="12">
                  <c:v>0.8</c:v>
                </c:pt>
              </c:numLit>
            </c:plus>
            <c:minus>
              <c:numLit>
                <c:formatCode>General</c:formatCode>
                <c:ptCount val="13"/>
                <c:pt idx="0">
                  <c:v>1.6</c:v>
                </c:pt>
                <c:pt idx="1">
                  <c:v>1.5</c:v>
                </c:pt>
                <c:pt idx="2">
                  <c:v>1.2</c:v>
                </c:pt>
                <c:pt idx="3">
                  <c:v>0.8</c:v>
                </c:pt>
                <c:pt idx="4">
                  <c:v>0.6</c:v>
                </c:pt>
                <c:pt idx="5">
                  <c:v>0.6</c:v>
                </c:pt>
                <c:pt idx="6">
                  <c:v>0.6</c:v>
                </c:pt>
                <c:pt idx="7">
                  <c:v>0.6</c:v>
                </c:pt>
                <c:pt idx="8">
                  <c:v>0.4</c:v>
                </c:pt>
                <c:pt idx="9">
                  <c:v>0.3</c:v>
                </c:pt>
                <c:pt idx="10">
                  <c:v>0.2</c:v>
                </c:pt>
                <c:pt idx="11">
                  <c:v>1</c:v>
                </c:pt>
                <c:pt idx="12">
                  <c:v>0.8</c:v>
                </c:pt>
              </c:numLit>
            </c:minus>
          </c:errBars>
          <c:cat>
            <c:strRef>
              <c:f>'Time trends'!$AD$55:$AD$67</c:f>
              <c:strCache>
                <c:ptCount val="13"/>
                <c:pt idx="0">
                  <c:v>Any gambling activity</c:v>
                </c:pt>
                <c:pt idx="1">
                  <c:v>Lotto</c:v>
                </c:pt>
                <c:pt idx="2">
                  <c:v>Instant Kiwi</c:v>
                </c:pt>
                <c:pt idx="3">
                  <c:v>Non-casino EGMs</c:v>
                </c:pt>
                <c:pt idx="4">
                  <c:v>Track betting</c:v>
                </c:pt>
                <c:pt idx="5">
                  <c:v>Casino EGMs</c:v>
                </c:pt>
                <c:pt idx="6">
                  <c:v>Sports betting</c:v>
                </c:pt>
                <c:pt idx="7">
                  <c:v>Casino tables</c:v>
                </c:pt>
                <c:pt idx="8">
                  <c:v>Other</c:v>
                </c:pt>
                <c:pt idx="9">
                  <c:v>Keno</c:v>
                </c:pt>
                <c:pt idx="10">
                  <c:v>Housie</c:v>
                </c:pt>
                <c:pt idx="11">
                  <c:v>Any EGM</c:v>
                </c:pt>
                <c:pt idx="12">
                  <c:v>Any casino gambling</c:v>
                </c:pt>
              </c:strCache>
            </c:strRef>
          </c:cat>
          <c:val>
            <c:numRef>
              <c:f>'Time trends'!$AG$55:$AG$67</c:f>
              <c:numCache>
                <c:formatCode>General</c:formatCode>
                <c:ptCount val="13"/>
                <c:pt idx="0">
                  <c:v>45.7</c:v>
                </c:pt>
                <c:pt idx="1">
                  <c:v>36.4</c:v>
                </c:pt>
                <c:pt idx="2">
                  <c:v>14.9</c:v>
                </c:pt>
                <c:pt idx="3">
                  <c:v>6.4</c:v>
                </c:pt>
                <c:pt idx="4">
                  <c:v>5.3</c:v>
                </c:pt>
                <c:pt idx="5">
                  <c:v>4.0999999999999996</c:v>
                </c:pt>
                <c:pt idx="6">
                  <c:v>3</c:v>
                </c:pt>
                <c:pt idx="7">
                  <c:v>2.4</c:v>
                </c:pt>
                <c:pt idx="8">
                  <c:v>1.8</c:v>
                </c:pt>
                <c:pt idx="9">
                  <c:v>1</c:v>
                </c:pt>
                <c:pt idx="10">
                  <c:v>0.7</c:v>
                </c:pt>
                <c:pt idx="11">
                  <c:v>9.1</c:v>
                </c:pt>
                <c:pt idx="12">
                  <c:v>5.6</c:v>
                </c:pt>
              </c:numCache>
            </c:numRef>
          </c:val>
        </c:ser>
        <c:dLbls>
          <c:showLegendKey val="0"/>
          <c:showVal val="0"/>
          <c:showCatName val="0"/>
          <c:showSerName val="0"/>
          <c:showPercent val="0"/>
          <c:showBubbleSize val="0"/>
        </c:dLbls>
        <c:gapWidth val="150"/>
        <c:axId val="768447232"/>
        <c:axId val="768448768"/>
      </c:barChart>
      <c:catAx>
        <c:axId val="768447232"/>
        <c:scaling>
          <c:orientation val="minMax"/>
        </c:scaling>
        <c:delete val="0"/>
        <c:axPos val="b"/>
        <c:numFmt formatCode="General" sourceLinked="0"/>
        <c:majorTickMark val="out"/>
        <c:minorTickMark val="none"/>
        <c:tickLblPos val="nextTo"/>
        <c:txPr>
          <a:bodyPr/>
          <a:lstStyle/>
          <a:p>
            <a:pPr>
              <a:defRPr sz="1100"/>
            </a:pPr>
            <a:endParaRPr lang="en-US"/>
          </a:p>
        </c:txPr>
        <c:crossAx val="768448768"/>
        <c:crosses val="autoZero"/>
        <c:auto val="1"/>
        <c:lblAlgn val="ctr"/>
        <c:lblOffset val="100"/>
        <c:noMultiLvlLbl val="0"/>
      </c:catAx>
      <c:valAx>
        <c:axId val="768448768"/>
        <c:scaling>
          <c:orientation val="minMax"/>
        </c:scaling>
        <c:delete val="0"/>
        <c:axPos val="l"/>
        <c:majorGridlines/>
        <c:numFmt formatCode="General" sourceLinked="1"/>
        <c:majorTickMark val="out"/>
        <c:minorTickMark val="none"/>
        <c:tickLblPos val="nextTo"/>
        <c:crossAx val="768447232"/>
        <c:crosses val="autoZero"/>
        <c:crossBetween val="between"/>
      </c:valAx>
    </c:plotArea>
    <c:legend>
      <c:legendPos val="r"/>
      <c:layout>
        <c:manualLayout>
          <c:xMode val="edge"/>
          <c:yMode val="edge"/>
          <c:x val="0.86538688216315196"/>
          <c:y val="6.1663063326451502E-2"/>
          <c:w val="0.1181412540509692"/>
          <c:h val="0.22393418892360584"/>
        </c:manualLayout>
      </c:layout>
      <c:overlay val="0"/>
      <c:spPr>
        <a:solidFill>
          <a:schemeClr val="bg1"/>
        </a:solidFill>
      </c:spPr>
      <c:txPr>
        <a:bodyPr/>
        <a:lstStyle/>
        <a:p>
          <a:pPr>
            <a:defRPr sz="1050"/>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19595262197768E-2"/>
          <c:y val="5.1400554097404488E-2"/>
          <c:w val="0.90520627549173094"/>
          <c:h val="0.81850555126289304"/>
        </c:manualLayout>
      </c:layout>
      <c:barChart>
        <c:barDir val="col"/>
        <c:grouping val="clustered"/>
        <c:varyColors val="0"/>
        <c:ser>
          <c:idx val="0"/>
          <c:order val="0"/>
          <c:tx>
            <c:strRef>
              <c:f>'+ # of gambling activities'!$P$146</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5"/>
                <c:pt idx="0">
                  <c:v>1.9</c:v>
                </c:pt>
                <c:pt idx="1">
                  <c:v>1.7</c:v>
                </c:pt>
                <c:pt idx="2">
                  <c:v>1.2</c:v>
                </c:pt>
                <c:pt idx="3">
                  <c:v>0.7</c:v>
                </c:pt>
                <c:pt idx="4">
                  <c:v>0.7</c:v>
                </c:pt>
              </c:numLit>
            </c:plus>
            <c:minus>
              <c:numLit>
                <c:formatCode>General</c:formatCode>
                <c:ptCount val="5"/>
                <c:pt idx="0">
                  <c:v>1.9</c:v>
                </c:pt>
                <c:pt idx="1">
                  <c:v>1.7</c:v>
                </c:pt>
                <c:pt idx="2">
                  <c:v>1.2</c:v>
                </c:pt>
                <c:pt idx="3">
                  <c:v>0.7</c:v>
                </c:pt>
                <c:pt idx="4">
                  <c:v>0.7</c:v>
                </c:pt>
              </c:numLit>
            </c:minus>
          </c:errBars>
          <c:cat>
            <c:strRef>
              <c:f>'+ # of gambling activities'!$O$147:$O$151</c:f>
              <c:strCache>
                <c:ptCount val="5"/>
                <c:pt idx="0">
                  <c:v>None</c:v>
                </c:pt>
                <c:pt idx="1">
                  <c:v>One</c:v>
                </c:pt>
                <c:pt idx="2">
                  <c:v>Two</c:v>
                </c:pt>
                <c:pt idx="3">
                  <c:v>Three</c:v>
                </c:pt>
                <c:pt idx="4">
                  <c:v>Four or more</c:v>
                </c:pt>
              </c:strCache>
            </c:strRef>
          </c:cat>
          <c:val>
            <c:numRef>
              <c:f>'+ # of gambling activities'!$P$147:$P$151</c:f>
              <c:numCache>
                <c:formatCode>0.0</c:formatCode>
                <c:ptCount val="5"/>
                <c:pt idx="0">
                  <c:v>46.076900000000002</c:v>
                </c:pt>
                <c:pt idx="1">
                  <c:v>33.303899999999999</c:v>
                </c:pt>
                <c:pt idx="2">
                  <c:v>12.3886</c:v>
                </c:pt>
                <c:pt idx="3">
                  <c:v>4.5102000000000002</c:v>
                </c:pt>
                <c:pt idx="4">
                  <c:v>3.7204000000000002</c:v>
                </c:pt>
              </c:numCache>
            </c:numRef>
          </c:val>
        </c:ser>
        <c:ser>
          <c:idx val="1"/>
          <c:order val="1"/>
          <c:tx>
            <c:strRef>
              <c:f>'+ # of gambling activities'!$Q$146</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5"/>
                <c:pt idx="0">
                  <c:v>1.7</c:v>
                </c:pt>
                <c:pt idx="1">
                  <c:v>1.5</c:v>
                </c:pt>
                <c:pt idx="2">
                  <c:v>1</c:v>
                </c:pt>
                <c:pt idx="3">
                  <c:v>0.6</c:v>
                </c:pt>
                <c:pt idx="4">
                  <c:v>0.4</c:v>
                </c:pt>
              </c:numLit>
            </c:plus>
            <c:minus>
              <c:numLit>
                <c:formatCode>General</c:formatCode>
                <c:ptCount val="5"/>
                <c:pt idx="0">
                  <c:v>1.7</c:v>
                </c:pt>
                <c:pt idx="1">
                  <c:v>1.5</c:v>
                </c:pt>
                <c:pt idx="2">
                  <c:v>1</c:v>
                </c:pt>
                <c:pt idx="3">
                  <c:v>0.6</c:v>
                </c:pt>
                <c:pt idx="4">
                  <c:v>0.4</c:v>
                </c:pt>
              </c:numLit>
            </c:minus>
          </c:errBars>
          <c:cat>
            <c:strRef>
              <c:f>'+ # of gambling activities'!$O$147:$O$151</c:f>
              <c:strCache>
                <c:ptCount val="5"/>
                <c:pt idx="0">
                  <c:v>None</c:v>
                </c:pt>
                <c:pt idx="1">
                  <c:v>One</c:v>
                </c:pt>
                <c:pt idx="2">
                  <c:v>Two</c:v>
                </c:pt>
                <c:pt idx="3">
                  <c:v>Three</c:v>
                </c:pt>
                <c:pt idx="4">
                  <c:v>Four or more</c:v>
                </c:pt>
              </c:strCache>
            </c:strRef>
          </c:cat>
          <c:val>
            <c:numRef>
              <c:f>'+ # of gambling activities'!$Q$147:$Q$151</c:f>
              <c:numCache>
                <c:formatCode>0.0</c:formatCode>
                <c:ptCount val="5"/>
                <c:pt idx="0">
                  <c:v>49.289200000000001</c:v>
                </c:pt>
                <c:pt idx="1">
                  <c:v>32.370600000000003</c:v>
                </c:pt>
                <c:pt idx="2">
                  <c:v>12.165699999999999</c:v>
                </c:pt>
                <c:pt idx="3">
                  <c:v>4.28</c:v>
                </c:pt>
                <c:pt idx="4">
                  <c:v>1.8945000000000001</c:v>
                </c:pt>
              </c:numCache>
            </c:numRef>
          </c:val>
        </c:ser>
        <c:dLbls>
          <c:showLegendKey val="0"/>
          <c:showVal val="0"/>
          <c:showCatName val="0"/>
          <c:showSerName val="0"/>
          <c:showPercent val="0"/>
          <c:showBubbleSize val="0"/>
        </c:dLbls>
        <c:gapWidth val="150"/>
        <c:axId val="770817408"/>
        <c:axId val="770860544"/>
      </c:barChart>
      <c:catAx>
        <c:axId val="770817408"/>
        <c:scaling>
          <c:orientation val="minMax"/>
        </c:scaling>
        <c:delete val="0"/>
        <c:axPos val="b"/>
        <c:title>
          <c:tx>
            <c:rich>
              <a:bodyPr/>
              <a:lstStyle/>
              <a:p>
                <a:pPr>
                  <a:defRPr/>
                </a:pPr>
                <a:r>
                  <a:rPr lang="en-US"/>
                  <a:t>Number of gambling activities</a:t>
                </a:r>
                <a:r>
                  <a:rPr lang="en-US" baseline="0"/>
                  <a:t> participated in during the last 12 months</a:t>
                </a:r>
              </a:p>
            </c:rich>
          </c:tx>
          <c:layout>
            <c:manualLayout>
              <c:xMode val="edge"/>
              <c:yMode val="edge"/>
              <c:x val="0.18868863080426151"/>
              <c:y val="0.93909457492457948"/>
            </c:manualLayout>
          </c:layout>
          <c:overlay val="0"/>
        </c:title>
        <c:numFmt formatCode="General" sourceLinked="1"/>
        <c:majorTickMark val="out"/>
        <c:minorTickMark val="none"/>
        <c:tickLblPos val="nextTo"/>
        <c:crossAx val="770860544"/>
        <c:crosses val="autoZero"/>
        <c:auto val="1"/>
        <c:lblAlgn val="ctr"/>
        <c:lblOffset val="100"/>
        <c:noMultiLvlLbl val="0"/>
      </c:catAx>
      <c:valAx>
        <c:axId val="770860544"/>
        <c:scaling>
          <c:orientation val="minMax"/>
          <c:max val="7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70817408"/>
        <c:crosses val="autoZero"/>
        <c:crossBetween val="between"/>
      </c:valAx>
    </c:plotArea>
    <c:legend>
      <c:legendPos val="r"/>
      <c:layout>
        <c:manualLayout>
          <c:xMode val="edge"/>
          <c:yMode val="edge"/>
          <c:x val="0.86143167162232936"/>
          <c:y val="7.9711623557778485E-2"/>
          <c:w val="0.12641429841039586"/>
          <c:h val="0.12551540773016001"/>
        </c:manualLayout>
      </c:layout>
      <c:overlay val="0"/>
      <c:spPr>
        <a:solidFill>
          <a:schemeClr val="bg1"/>
        </a:solidFill>
      </c:sp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725754322032056E-2"/>
          <c:y val="6.6316248727484262E-2"/>
          <c:w val="0.89219547213382555"/>
          <c:h val="0.7518272850647798"/>
        </c:manualLayout>
      </c:layout>
      <c:lineChart>
        <c:grouping val="standard"/>
        <c:varyColors val="0"/>
        <c:ser>
          <c:idx val="0"/>
          <c:order val="0"/>
          <c:tx>
            <c:v>Zero</c:v>
          </c:tx>
          <c:cat>
            <c:strRef>
              <c:f>'Time trends'!$AA$163:$AC$163</c:f>
              <c:strCache>
                <c:ptCount val="3"/>
                <c:pt idx="0">
                  <c:v>2002/03</c:v>
                </c:pt>
                <c:pt idx="1">
                  <c:v>2006/07</c:v>
                </c:pt>
                <c:pt idx="2">
                  <c:v>2011/12</c:v>
                </c:pt>
              </c:strCache>
            </c:strRef>
          </c:cat>
          <c:val>
            <c:numRef>
              <c:f>'Time trends'!$AA$164:$AC$164</c:f>
              <c:numCache>
                <c:formatCode>General</c:formatCode>
                <c:ptCount val="3"/>
                <c:pt idx="0">
                  <c:v>34.1</c:v>
                </c:pt>
                <c:pt idx="1">
                  <c:v>39.700000000000003</c:v>
                </c:pt>
                <c:pt idx="2">
                  <c:v>54.3</c:v>
                </c:pt>
              </c:numCache>
            </c:numRef>
          </c:val>
          <c:smooth val="0"/>
        </c:ser>
        <c:ser>
          <c:idx val="1"/>
          <c:order val="1"/>
          <c:tx>
            <c:v>One</c:v>
          </c:tx>
          <c:cat>
            <c:strRef>
              <c:f>'Time trends'!$AA$163:$AC$163</c:f>
              <c:strCache>
                <c:ptCount val="3"/>
                <c:pt idx="0">
                  <c:v>2002/03</c:v>
                </c:pt>
                <c:pt idx="1">
                  <c:v>2006/07</c:v>
                </c:pt>
                <c:pt idx="2">
                  <c:v>2011/12</c:v>
                </c:pt>
              </c:strCache>
            </c:strRef>
          </c:cat>
          <c:val>
            <c:numRef>
              <c:f>'Time trends'!$AA$165:$AC$165</c:f>
              <c:numCache>
                <c:formatCode>General</c:formatCode>
                <c:ptCount val="3"/>
                <c:pt idx="0">
                  <c:v>30.4</c:v>
                </c:pt>
                <c:pt idx="1">
                  <c:v>27.6</c:v>
                </c:pt>
                <c:pt idx="2">
                  <c:v>27.6</c:v>
                </c:pt>
              </c:numCache>
            </c:numRef>
          </c:val>
          <c:smooth val="0"/>
        </c:ser>
        <c:ser>
          <c:idx val="2"/>
          <c:order val="2"/>
          <c:tx>
            <c:v>Two</c:v>
          </c:tx>
          <c:cat>
            <c:strRef>
              <c:f>'Time trends'!$AA$163:$AC$163</c:f>
              <c:strCache>
                <c:ptCount val="3"/>
                <c:pt idx="0">
                  <c:v>2002/03</c:v>
                </c:pt>
                <c:pt idx="1">
                  <c:v>2006/07</c:v>
                </c:pt>
                <c:pt idx="2">
                  <c:v>2011/12</c:v>
                </c:pt>
              </c:strCache>
            </c:strRef>
          </c:cat>
          <c:val>
            <c:numRef>
              <c:f>'Time trends'!$AA$166:$AC$166</c:f>
              <c:numCache>
                <c:formatCode>General</c:formatCode>
                <c:ptCount val="3"/>
                <c:pt idx="0">
                  <c:v>20.2</c:v>
                </c:pt>
                <c:pt idx="1">
                  <c:v>18.100000000000001</c:v>
                </c:pt>
                <c:pt idx="2">
                  <c:v>10.9</c:v>
                </c:pt>
              </c:numCache>
            </c:numRef>
          </c:val>
          <c:smooth val="0"/>
        </c:ser>
        <c:ser>
          <c:idx val="3"/>
          <c:order val="3"/>
          <c:tx>
            <c:v>Three</c:v>
          </c:tx>
          <c:cat>
            <c:strRef>
              <c:f>'Time trends'!$AA$163:$AC$163</c:f>
              <c:strCache>
                <c:ptCount val="3"/>
                <c:pt idx="0">
                  <c:v>2002/03</c:v>
                </c:pt>
                <c:pt idx="1">
                  <c:v>2006/07</c:v>
                </c:pt>
                <c:pt idx="2">
                  <c:v>2011/12</c:v>
                </c:pt>
              </c:strCache>
            </c:strRef>
          </c:cat>
          <c:val>
            <c:numRef>
              <c:f>'Time trends'!$AA$167:$AC$167</c:f>
              <c:numCache>
                <c:formatCode>General</c:formatCode>
                <c:ptCount val="3"/>
                <c:pt idx="0">
                  <c:v>9.4</c:v>
                </c:pt>
                <c:pt idx="1">
                  <c:v>7.7</c:v>
                </c:pt>
                <c:pt idx="2">
                  <c:v>4.2</c:v>
                </c:pt>
              </c:numCache>
            </c:numRef>
          </c:val>
          <c:smooth val="0"/>
        </c:ser>
        <c:ser>
          <c:idx val="4"/>
          <c:order val="4"/>
          <c:tx>
            <c:v>Four or more</c:v>
          </c:tx>
          <c:cat>
            <c:strRef>
              <c:f>'Time trends'!$AA$163:$AC$163</c:f>
              <c:strCache>
                <c:ptCount val="3"/>
                <c:pt idx="0">
                  <c:v>2002/03</c:v>
                </c:pt>
                <c:pt idx="1">
                  <c:v>2006/07</c:v>
                </c:pt>
                <c:pt idx="2">
                  <c:v>2011/12</c:v>
                </c:pt>
              </c:strCache>
            </c:strRef>
          </c:cat>
          <c:val>
            <c:numRef>
              <c:f>'Time trends'!$AA$168:$AC$168</c:f>
              <c:numCache>
                <c:formatCode>General</c:formatCode>
                <c:ptCount val="3"/>
                <c:pt idx="0">
                  <c:v>5.9</c:v>
                </c:pt>
                <c:pt idx="1">
                  <c:v>5.2</c:v>
                </c:pt>
                <c:pt idx="2">
                  <c:v>3</c:v>
                </c:pt>
              </c:numCache>
            </c:numRef>
          </c:val>
          <c:smooth val="0"/>
        </c:ser>
        <c:dLbls>
          <c:showLegendKey val="0"/>
          <c:showVal val="0"/>
          <c:showCatName val="0"/>
          <c:showSerName val="0"/>
          <c:showPercent val="0"/>
          <c:showBubbleSize val="0"/>
        </c:dLbls>
        <c:marker val="1"/>
        <c:smooth val="0"/>
        <c:axId val="770880256"/>
        <c:axId val="770882176"/>
      </c:lineChart>
      <c:catAx>
        <c:axId val="770880256"/>
        <c:scaling>
          <c:orientation val="minMax"/>
        </c:scaling>
        <c:delete val="0"/>
        <c:axPos val="b"/>
        <c:title>
          <c:tx>
            <c:rich>
              <a:bodyPr/>
              <a:lstStyle/>
              <a:p>
                <a:pPr>
                  <a:defRPr/>
                </a:pPr>
                <a:r>
                  <a:rPr lang="en-NZ"/>
                  <a:t>NZHS Survey Wave</a:t>
                </a:r>
              </a:p>
            </c:rich>
          </c:tx>
          <c:overlay val="0"/>
        </c:title>
        <c:majorTickMark val="out"/>
        <c:minorTickMark val="none"/>
        <c:tickLblPos val="nextTo"/>
        <c:crossAx val="770882176"/>
        <c:crosses val="autoZero"/>
        <c:auto val="1"/>
        <c:lblAlgn val="ctr"/>
        <c:lblOffset val="100"/>
        <c:noMultiLvlLbl val="0"/>
      </c:catAx>
      <c:valAx>
        <c:axId val="770882176"/>
        <c:scaling>
          <c:orientation val="minMax"/>
        </c:scaling>
        <c:delete val="0"/>
        <c:axPos val="l"/>
        <c:majorGridlines/>
        <c:title>
          <c:tx>
            <c:rich>
              <a:bodyPr rot="-5400000" vert="horz"/>
              <a:lstStyle/>
              <a:p>
                <a:pPr>
                  <a:defRPr/>
                </a:pPr>
                <a:r>
                  <a:rPr lang="en-NZ"/>
                  <a:t>Percent</a:t>
                </a:r>
              </a:p>
            </c:rich>
          </c:tx>
          <c:overlay val="0"/>
        </c:title>
        <c:numFmt formatCode="General" sourceLinked="1"/>
        <c:majorTickMark val="out"/>
        <c:minorTickMark val="none"/>
        <c:tickLblPos val="nextTo"/>
        <c:crossAx val="770880256"/>
        <c:crosses val="autoZero"/>
        <c:crossBetween val="between"/>
      </c:valAx>
    </c:plotArea>
    <c:legend>
      <c:legendPos val="r"/>
      <c:layout>
        <c:manualLayout>
          <c:xMode val="edge"/>
          <c:yMode val="edge"/>
          <c:x val="0.17783710030823308"/>
          <c:y val="2.193528461048453E-2"/>
          <c:w val="0.6993779744474089"/>
          <c:h val="8.7937681736740769E-2"/>
        </c:manualLayout>
      </c:layout>
      <c:overlay val="0"/>
      <c:spPr>
        <a:solidFill>
          <a:schemeClr val="bg1"/>
        </a:solidFill>
      </c:sp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18035299978515E-2"/>
          <c:y val="4.2329862634038914E-2"/>
          <c:w val="0.88550505939414226"/>
          <c:h val="0.80200558147213785"/>
        </c:manualLayout>
      </c:layout>
      <c:lineChart>
        <c:grouping val="standard"/>
        <c:varyColors val="0"/>
        <c:ser>
          <c:idx val="0"/>
          <c:order val="0"/>
          <c:tx>
            <c:strRef>
              <c:f>'Time trends'!$AP$191</c:f>
              <c:strCache>
                <c:ptCount val="1"/>
                <c:pt idx="0">
                  <c:v>Low-risk</c:v>
                </c:pt>
              </c:strCache>
            </c:strRef>
          </c:tx>
          <c:cat>
            <c:strRef>
              <c:f>'Time trends'!$AQ$190:$AR$190</c:f>
              <c:strCache>
                <c:ptCount val="2"/>
                <c:pt idx="0">
                  <c:v>2006/07</c:v>
                </c:pt>
                <c:pt idx="1">
                  <c:v>2011/12</c:v>
                </c:pt>
              </c:strCache>
            </c:strRef>
          </c:cat>
          <c:val>
            <c:numRef>
              <c:f>'Time trends'!$AQ$191:$AR$191</c:f>
              <c:numCache>
                <c:formatCode>General</c:formatCode>
                <c:ptCount val="2"/>
                <c:pt idx="0">
                  <c:v>3.7</c:v>
                </c:pt>
                <c:pt idx="1">
                  <c:v>2.1</c:v>
                </c:pt>
              </c:numCache>
            </c:numRef>
          </c:val>
          <c:smooth val="0"/>
        </c:ser>
        <c:ser>
          <c:idx val="1"/>
          <c:order val="1"/>
          <c:tx>
            <c:strRef>
              <c:f>'Time trends'!$AP$192</c:f>
              <c:strCache>
                <c:ptCount val="1"/>
                <c:pt idx="0">
                  <c:v>Moderate-risk</c:v>
                </c:pt>
              </c:strCache>
            </c:strRef>
          </c:tx>
          <c:cat>
            <c:strRef>
              <c:f>'Time trends'!$AQ$190:$AR$190</c:f>
              <c:strCache>
                <c:ptCount val="2"/>
                <c:pt idx="0">
                  <c:v>2006/07</c:v>
                </c:pt>
                <c:pt idx="1">
                  <c:v>2011/12</c:v>
                </c:pt>
              </c:strCache>
            </c:strRef>
          </c:cat>
          <c:val>
            <c:numRef>
              <c:f>'Time trends'!$AQ$192:$AR$192</c:f>
              <c:numCache>
                <c:formatCode>General</c:formatCode>
                <c:ptCount val="2"/>
                <c:pt idx="0">
                  <c:v>1.4</c:v>
                </c:pt>
                <c:pt idx="1">
                  <c:v>1</c:v>
                </c:pt>
              </c:numCache>
            </c:numRef>
          </c:val>
          <c:smooth val="0"/>
        </c:ser>
        <c:ser>
          <c:idx val="2"/>
          <c:order val="2"/>
          <c:tx>
            <c:strRef>
              <c:f>'Time trends'!$AP$193</c:f>
              <c:strCache>
                <c:ptCount val="1"/>
                <c:pt idx="0">
                  <c:v>Problem</c:v>
                </c:pt>
              </c:strCache>
            </c:strRef>
          </c:tx>
          <c:cat>
            <c:strRef>
              <c:f>'Time trends'!$AQ$190:$AR$190</c:f>
              <c:strCache>
                <c:ptCount val="2"/>
                <c:pt idx="0">
                  <c:v>2006/07</c:v>
                </c:pt>
                <c:pt idx="1">
                  <c:v>2011/12</c:v>
                </c:pt>
              </c:strCache>
            </c:strRef>
          </c:cat>
          <c:val>
            <c:numRef>
              <c:f>'Time trends'!$AQ$193:$AR$193</c:f>
              <c:numCache>
                <c:formatCode>General</c:formatCode>
                <c:ptCount val="2"/>
                <c:pt idx="0">
                  <c:v>0.4</c:v>
                </c:pt>
                <c:pt idx="1">
                  <c:v>0.2</c:v>
                </c:pt>
              </c:numCache>
            </c:numRef>
          </c:val>
          <c:smooth val="0"/>
        </c:ser>
        <c:ser>
          <c:idx val="3"/>
          <c:order val="3"/>
          <c:tx>
            <c:strRef>
              <c:f>'Time trends'!$AP$194</c:f>
              <c:strCache>
                <c:ptCount val="1"/>
                <c:pt idx="0">
                  <c:v>Combined moderate-risk and problem</c:v>
                </c:pt>
              </c:strCache>
            </c:strRef>
          </c:tx>
          <c:cat>
            <c:strRef>
              <c:f>'Time trends'!$AQ$190:$AR$190</c:f>
              <c:strCache>
                <c:ptCount val="2"/>
                <c:pt idx="0">
                  <c:v>2006/07</c:v>
                </c:pt>
                <c:pt idx="1">
                  <c:v>2011/12</c:v>
                </c:pt>
              </c:strCache>
            </c:strRef>
          </c:cat>
          <c:val>
            <c:numRef>
              <c:f>'Time trends'!$AQ$194:$AR$194</c:f>
              <c:numCache>
                <c:formatCode>General</c:formatCode>
                <c:ptCount val="2"/>
                <c:pt idx="0">
                  <c:v>1.8</c:v>
                </c:pt>
                <c:pt idx="1">
                  <c:v>1.3</c:v>
                </c:pt>
              </c:numCache>
            </c:numRef>
          </c:val>
          <c:smooth val="0"/>
        </c:ser>
        <c:dLbls>
          <c:showLegendKey val="0"/>
          <c:showVal val="0"/>
          <c:showCatName val="0"/>
          <c:showSerName val="0"/>
          <c:showPercent val="0"/>
          <c:showBubbleSize val="0"/>
        </c:dLbls>
        <c:marker val="1"/>
        <c:smooth val="0"/>
        <c:axId val="768828544"/>
        <c:axId val="768830464"/>
      </c:lineChart>
      <c:catAx>
        <c:axId val="768828544"/>
        <c:scaling>
          <c:orientation val="minMax"/>
        </c:scaling>
        <c:delete val="0"/>
        <c:axPos val="b"/>
        <c:title>
          <c:tx>
            <c:rich>
              <a:bodyPr/>
              <a:lstStyle/>
              <a:p>
                <a:pPr>
                  <a:defRPr/>
                </a:pPr>
                <a:r>
                  <a:rPr lang="en-NZ"/>
                  <a:t>NZHS Survey Wave</a:t>
                </a:r>
              </a:p>
            </c:rich>
          </c:tx>
          <c:overlay val="0"/>
        </c:title>
        <c:numFmt formatCode="General" sourceLinked="0"/>
        <c:majorTickMark val="out"/>
        <c:minorTickMark val="none"/>
        <c:tickLblPos val="nextTo"/>
        <c:crossAx val="768830464"/>
        <c:crosses val="autoZero"/>
        <c:auto val="1"/>
        <c:lblAlgn val="ctr"/>
        <c:lblOffset val="100"/>
        <c:tickLblSkip val="1"/>
        <c:tickMarkSkip val="1"/>
        <c:noMultiLvlLbl val="0"/>
      </c:catAx>
      <c:valAx>
        <c:axId val="768830464"/>
        <c:scaling>
          <c:orientation val="minMax"/>
          <c:max val="10"/>
        </c:scaling>
        <c:delete val="0"/>
        <c:axPos val="l"/>
        <c:majorGridlines/>
        <c:title>
          <c:tx>
            <c:rich>
              <a:bodyPr rot="-5400000" vert="horz"/>
              <a:lstStyle/>
              <a:p>
                <a:pPr>
                  <a:defRPr/>
                </a:pPr>
                <a:r>
                  <a:rPr lang="en-NZ"/>
                  <a:t>Percent</a:t>
                </a:r>
              </a:p>
            </c:rich>
          </c:tx>
          <c:overlay val="0"/>
        </c:title>
        <c:numFmt formatCode="General" sourceLinked="1"/>
        <c:majorTickMark val="out"/>
        <c:minorTickMark val="none"/>
        <c:tickLblPos val="nextTo"/>
        <c:crossAx val="768828544"/>
        <c:crosses val="autoZero"/>
        <c:crossBetween val="between"/>
      </c:valAx>
    </c:plotArea>
    <c:legend>
      <c:legendPos val="r"/>
      <c:layout>
        <c:manualLayout>
          <c:xMode val="edge"/>
          <c:yMode val="edge"/>
          <c:x val="0.52515030327998602"/>
          <c:y val="3.5162708228295703E-2"/>
          <c:w val="0.45495565460992038"/>
          <c:h val="0.23648959301399153"/>
        </c:manualLayout>
      </c:layout>
      <c:overlay val="0"/>
      <c:spPr>
        <a:solidFill>
          <a:schemeClr val="bg1"/>
        </a:solidFill>
      </c:sp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19595262197768E-2"/>
          <c:y val="5.1400554097404488E-2"/>
          <c:w val="0.90520627549173094"/>
          <c:h val="0.78896973321372799"/>
        </c:manualLayout>
      </c:layout>
      <c:barChart>
        <c:barDir val="col"/>
        <c:grouping val="clustered"/>
        <c:varyColors val="0"/>
        <c:ser>
          <c:idx val="0"/>
          <c:order val="0"/>
          <c:tx>
            <c:strRef>
              <c:f>'CPGI - Prob gambling'!$Z$103</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2"/>
                <c:pt idx="0">
                  <c:v>0.5</c:v>
                </c:pt>
                <c:pt idx="1">
                  <c:v>0.4</c:v>
                </c:pt>
              </c:numLit>
            </c:plus>
            <c:minus>
              <c:numLit>
                <c:formatCode>General</c:formatCode>
                <c:ptCount val="2"/>
                <c:pt idx="0">
                  <c:v>0.5</c:v>
                </c:pt>
                <c:pt idx="1">
                  <c:v>0.4</c:v>
                </c:pt>
              </c:numLit>
            </c:minus>
          </c:errBars>
          <c:cat>
            <c:strRef>
              <c:f>'CPGI - Prob gambling'!$Y$104:$Y$105</c:f>
              <c:strCache>
                <c:ptCount val="2"/>
                <c:pt idx="0">
                  <c:v>Low-risk gambler</c:v>
                </c:pt>
                <c:pt idx="1">
                  <c:v>Moderate-risk/problem gambler</c:v>
                </c:pt>
              </c:strCache>
            </c:strRef>
          </c:cat>
          <c:val>
            <c:numRef>
              <c:f>'CPGI - Prob gambling'!$Z$104:$Z$105</c:f>
              <c:numCache>
                <c:formatCode>0.0</c:formatCode>
                <c:ptCount val="2"/>
                <c:pt idx="0">
                  <c:v>2.2199</c:v>
                </c:pt>
                <c:pt idx="1">
                  <c:v>1.5737000000000001</c:v>
                </c:pt>
              </c:numCache>
            </c:numRef>
          </c:val>
        </c:ser>
        <c:ser>
          <c:idx val="1"/>
          <c:order val="1"/>
          <c:tx>
            <c:strRef>
              <c:f>'CPGI - Prob gambling'!$AA$103</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2"/>
                <c:pt idx="0">
                  <c:v>0.4</c:v>
                </c:pt>
                <c:pt idx="1">
                  <c:v>0.3</c:v>
                </c:pt>
              </c:numLit>
            </c:plus>
            <c:minus>
              <c:numLit>
                <c:formatCode>General</c:formatCode>
                <c:ptCount val="2"/>
                <c:pt idx="0">
                  <c:v>0.4</c:v>
                </c:pt>
                <c:pt idx="1">
                  <c:v>0.3</c:v>
                </c:pt>
              </c:numLit>
            </c:minus>
          </c:errBars>
          <c:cat>
            <c:strRef>
              <c:f>'CPGI - Prob gambling'!$Y$104:$Y$105</c:f>
              <c:strCache>
                <c:ptCount val="2"/>
                <c:pt idx="0">
                  <c:v>Low-risk gambler</c:v>
                </c:pt>
                <c:pt idx="1">
                  <c:v>Moderate-risk/problem gambler</c:v>
                </c:pt>
              </c:strCache>
            </c:strRef>
          </c:cat>
          <c:val>
            <c:numRef>
              <c:f>'CPGI - Prob gambling'!$AA$104:$AA$105</c:f>
              <c:numCache>
                <c:formatCode>0.0</c:formatCode>
                <c:ptCount val="2"/>
                <c:pt idx="0">
                  <c:v>1.7222</c:v>
                </c:pt>
                <c:pt idx="1">
                  <c:v>0.90259999999999996</c:v>
                </c:pt>
              </c:numCache>
            </c:numRef>
          </c:val>
        </c:ser>
        <c:dLbls>
          <c:showLegendKey val="0"/>
          <c:showVal val="0"/>
          <c:showCatName val="0"/>
          <c:showSerName val="0"/>
          <c:showPercent val="0"/>
          <c:showBubbleSize val="0"/>
        </c:dLbls>
        <c:gapWidth val="150"/>
        <c:axId val="768836352"/>
        <c:axId val="768838272"/>
      </c:barChart>
      <c:catAx>
        <c:axId val="768836352"/>
        <c:scaling>
          <c:orientation val="minMax"/>
        </c:scaling>
        <c:delete val="0"/>
        <c:axPos val="b"/>
        <c:title>
          <c:tx>
            <c:rich>
              <a:bodyPr/>
              <a:lstStyle/>
              <a:p>
                <a:pPr>
                  <a:defRPr/>
                </a:pPr>
                <a:r>
                  <a:rPr lang="en-US"/>
                  <a:t>Problem gambling level</a:t>
                </a:r>
                <a:endParaRPr lang="en-US" baseline="0"/>
              </a:p>
            </c:rich>
          </c:tx>
          <c:layout>
            <c:manualLayout>
              <c:xMode val="edge"/>
              <c:yMode val="edge"/>
              <c:x val="0.40245103241876184"/>
              <c:y val="0.93584371573806435"/>
            </c:manualLayout>
          </c:layout>
          <c:overlay val="0"/>
        </c:title>
        <c:numFmt formatCode="General" sourceLinked="1"/>
        <c:majorTickMark val="out"/>
        <c:minorTickMark val="none"/>
        <c:tickLblPos val="nextTo"/>
        <c:crossAx val="768838272"/>
        <c:crosses val="autoZero"/>
        <c:auto val="1"/>
        <c:lblAlgn val="ctr"/>
        <c:lblOffset val="100"/>
        <c:noMultiLvlLbl val="0"/>
      </c:catAx>
      <c:valAx>
        <c:axId val="768838272"/>
        <c:scaling>
          <c:orientation val="minMax"/>
          <c:max val="10"/>
          <c:min val="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8836352"/>
        <c:crosses val="autoZero"/>
        <c:crossBetween val="between"/>
      </c:valAx>
    </c:plotArea>
    <c:legend>
      <c:legendPos val="r"/>
      <c:layout>
        <c:manualLayout>
          <c:xMode val="edge"/>
          <c:yMode val="edge"/>
          <c:x val="0.84928837447231664"/>
          <c:y val="7.1272799760789401E-2"/>
          <c:w val="0.14827225831743709"/>
          <c:h val="0.13395428419548822"/>
        </c:manualLayout>
      </c:layout>
      <c:overlay val="0"/>
      <c:spPr>
        <a:solidFill>
          <a:schemeClr val="bg1"/>
        </a:solidFill>
      </c:sp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603438993202787E-2"/>
          <c:y val="5.1400554097404488E-2"/>
          <c:w val="0.89452251160912577"/>
          <c:h val="0.81610826771653544"/>
        </c:manualLayout>
      </c:layout>
      <c:barChart>
        <c:barDir val="col"/>
        <c:grouping val="clustered"/>
        <c:varyColors val="0"/>
        <c:ser>
          <c:idx val="0"/>
          <c:order val="0"/>
          <c:tx>
            <c:strRef>
              <c:f>'+ # of gambling activities'!$AB$307</c:f>
              <c:strCache>
                <c:ptCount val="1"/>
                <c:pt idx="0">
                  <c:v>Non-problem / Recreational gamblers</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1.8</c:v>
                </c:pt>
                <c:pt idx="1">
                  <c:v>1.4</c:v>
                </c:pt>
                <c:pt idx="2">
                  <c:v>0.9</c:v>
                </c:pt>
                <c:pt idx="3">
                  <c:v>0.7</c:v>
                </c:pt>
              </c:numLit>
            </c:plus>
            <c:minus>
              <c:numLit>
                <c:formatCode>General</c:formatCode>
                <c:ptCount val="4"/>
                <c:pt idx="0">
                  <c:v>1.8</c:v>
                </c:pt>
                <c:pt idx="1">
                  <c:v>1.4</c:v>
                </c:pt>
                <c:pt idx="2">
                  <c:v>0.9</c:v>
                </c:pt>
                <c:pt idx="3">
                  <c:v>0.7</c:v>
                </c:pt>
              </c:numLit>
            </c:minus>
          </c:errBars>
          <c:cat>
            <c:strRef>
              <c:f>'+ # of gambling activities'!$AA$308:$AA$311</c:f>
              <c:strCache>
                <c:ptCount val="4"/>
                <c:pt idx="0">
                  <c:v>One</c:v>
                </c:pt>
                <c:pt idx="1">
                  <c:v>Two</c:v>
                </c:pt>
                <c:pt idx="2">
                  <c:v>Three</c:v>
                </c:pt>
                <c:pt idx="3">
                  <c:v>Four or more</c:v>
                </c:pt>
              </c:strCache>
            </c:strRef>
          </c:cat>
          <c:val>
            <c:numRef>
              <c:f>'+ # of gambling activities'!$AB$308:$AB$311</c:f>
              <c:numCache>
                <c:formatCode>General</c:formatCode>
                <c:ptCount val="4"/>
                <c:pt idx="0">
                  <c:v>65.119900000000001</c:v>
                </c:pt>
                <c:pt idx="1">
                  <c:v>23.042999999999999</c:v>
                </c:pt>
                <c:pt idx="2">
                  <c:v>7.8045</c:v>
                </c:pt>
                <c:pt idx="3">
                  <c:v>4.0326000000000004</c:v>
                </c:pt>
              </c:numCache>
            </c:numRef>
          </c:val>
        </c:ser>
        <c:ser>
          <c:idx val="1"/>
          <c:order val="1"/>
          <c:tx>
            <c:strRef>
              <c:f>'+ # of gambling activities'!$AC$307</c:f>
              <c:strCache>
                <c:ptCount val="1"/>
                <c:pt idx="0">
                  <c:v>Low-risk gamblers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4"/>
                <c:pt idx="0">
                  <c:v>7.9</c:v>
                </c:pt>
                <c:pt idx="1">
                  <c:v>7.1</c:v>
                </c:pt>
                <c:pt idx="2">
                  <c:v>6.3</c:v>
                </c:pt>
                <c:pt idx="3">
                  <c:v>6.1</c:v>
                </c:pt>
              </c:numLit>
            </c:plus>
            <c:minus>
              <c:numLit>
                <c:formatCode>General</c:formatCode>
                <c:ptCount val="4"/>
                <c:pt idx="0">
                  <c:v>7.9</c:v>
                </c:pt>
                <c:pt idx="1">
                  <c:v>7.1</c:v>
                </c:pt>
                <c:pt idx="2">
                  <c:v>6.3</c:v>
                </c:pt>
                <c:pt idx="3">
                  <c:v>6.1</c:v>
                </c:pt>
              </c:numLit>
            </c:minus>
          </c:errBars>
          <c:cat>
            <c:strRef>
              <c:f>'+ # of gambling activities'!$AA$308:$AA$311</c:f>
              <c:strCache>
                <c:ptCount val="4"/>
                <c:pt idx="0">
                  <c:v>One</c:v>
                </c:pt>
                <c:pt idx="1">
                  <c:v>Two</c:v>
                </c:pt>
                <c:pt idx="2">
                  <c:v>Three</c:v>
                </c:pt>
                <c:pt idx="3">
                  <c:v>Four or more</c:v>
                </c:pt>
              </c:strCache>
            </c:strRef>
          </c:cat>
          <c:val>
            <c:numRef>
              <c:f>'+ # of gambling activities'!$AC$308:$AC$311</c:f>
              <c:numCache>
                <c:formatCode>General</c:formatCode>
                <c:ptCount val="4"/>
                <c:pt idx="0">
                  <c:v>24.136099999999999</c:v>
                </c:pt>
                <c:pt idx="1">
                  <c:v>22.4084</c:v>
                </c:pt>
                <c:pt idx="2">
                  <c:v>12.088800000000001</c:v>
                </c:pt>
                <c:pt idx="3">
                  <c:v>13.962300000000001</c:v>
                </c:pt>
              </c:numCache>
            </c:numRef>
          </c:val>
        </c:ser>
        <c:ser>
          <c:idx val="2"/>
          <c:order val="2"/>
          <c:tx>
            <c:strRef>
              <c:f>'+ # of gambling activities'!$AD$307</c:f>
              <c:strCache>
                <c:ptCount val="1"/>
                <c:pt idx="0">
                  <c:v>Moderate-risk / Problem gamblers</c:v>
                </c:pt>
              </c:strCache>
            </c:strRef>
          </c:tx>
          <c:invertIfNegative val="0"/>
          <c:errBars>
            <c:errBarType val="both"/>
            <c:errValType val="cust"/>
            <c:noEndCap val="0"/>
            <c:plus>
              <c:numLit>
                <c:formatCode>General</c:formatCode>
                <c:ptCount val="4"/>
                <c:pt idx="0">
                  <c:v>7.5</c:v>
                </c:pt>
                <c:pt idx="1">
                  <c:v>9.3000000000000007</c:v>
                </c:pt>
                <c:pt idx="2">
                  <c:v>5.9</c:v>
                </c:pt>
                <c:pt idx="3">
                  <c:v>9.9</c:v>
                </c:pt>
              </c:numLit>
            </c:plus>
            <c:minus>
              <c:numLit>
                <c:formatCode>General</c:formatCode>
                <c:ptCount val="4"/>
                <c:pt idx="0">
                  <c:v>7.5</c:v>
                </c:pt>
                <c:pt idx="1">
                  <c:v>9.3000000000000007</c:v>
                </c:pt>
                <c:pt idx="2">
                  <c:v>5.9</c:v>
                </c:pt>
                <c:pt idx="3">
                  <c:v>9.9</c:v>
                </c:pt>
              </c:numLit>
            </c:minus>
          </c:errBars>
          <c:cat>
            <c:strRef>
              <c:f>'+ # of gambling activities'!$AA$308:$AA$311</c:f>
              <c:strCache>
                <c:ptCount val="4"/>
                <c:pt idx="0">
                  <c:v>One</c:v>
                </c:pt>
                <c:pt idx="1">
                  <c:v>Two</c:v>
                </c:pt>
                <c:pt idx="2">
                  <c:v>Three</c:v>
                </c:pt>
                <c:pt idx="3">
                  <c:v>Four or more</c:v>
                </c:pt>
              </c:strCache>
            </c:strRef>
          </c:cat>
          <c:val>
            <c:numRef>
              <c:f>'+ # of gambling activities'!$AD$308:$AD$311</c:f>
              <c:numCache>
                <c:formatCode>General</c:formatCode>
                <c:ptCount val="4"/>
                <c:pt idx="0">
                  <c:v>19.466699999999999</c:v>
                </c:pt>
                <c:pt idx="1">
                  <c:v>30.855399999999999</c:v>
                </c:pt>
                <c:pt idx="2">
                  <c:v>16.3139</c:v>
                </c:pt>
                <c:pt idx="3">
                  <c:v>33.363999999999997</c:v>
                </c:pt>
              </c:numCache>
            </c:numRef>
          </c:val>
        </c:ser>
        <c:dLbls>
          <c:showLegendKey val="0"/>
          <c:showVal val="0"/>
          <c:showCatName val="0"/>
          <c:showSerName val="0"/>
          <c:showPercent val="0"/>
          <c:showBubbleSize val="0"/>
        </c:dLbls>
        <c:gapWidth val="150"/>
        <c:axId val="769963520"/>
        <c:axId val="769965440"/>
      </c:barChart>
      <c:catAx>
        <c:axId val="769963520"/>
        <c:scaling>
          <c:orientation val="minMax"/>
        </c:scaling>
        <c:delete val="0"/>
        <c:axPos val="b"/>
        <c:title>
          <c:tx>
            <c:rich>
              <a:bodyPr/>
              <a:lstStyle/>
              <a:p>
                <a:pPr>
                  <a:defRPr/>
                </a:pPr>
                <a:r>
                  <a:rPr lang="en-US"/>
                  <a:t>Number of activities</a:t>
                </a:r>
                <a:endParaRPr lang="en-US" baseline="0"/>
              </a:p>
            </c:rich>
          </c:tx>
          <c:layout>
            <c:manualLayout>
              <c:xMode val="edge"/>
              <c:yMode val="edge"/>
              <c:x val="0.43133202099737533"/>
              <c:y val="0.94438587359161419"/>
            </c:manualLayout>
          </c:layout>
          <c:overlay val="0"/>
        </c:title>
        <c:numFmt formatCode="General" sourceLinked="1"/>
        <c:majorTickMark val="out"/>
        <c:minorTickMark val="none"/>
        <c:tickLblPos val="nextTo"/>
        <c:crossAx val="769965440"/>
        <c:crosses val="autoZero"/>
        <c:auto val="1"/>
        <c:lblAlgn val="ctr"/>
        <c:lblOffset val="100"/>
        <c:noMultiLvlLbl val="0"/>
      </c:catAx>
      <c:valAx>
        <c:axId val="769965440"/>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9963520"/>
        <c:crosses val="autoZero"/>
        <c:crossBetween val="between"/>
      </c:valAx>
    </c:plotArea>
    <c:legend>
      <c:legendPos val="r"/>
      <c:layout>
        <c:manualLayout>
          <c:xMode val="edge"/>
          <c:yMode val="edge"/>
          <c:x val="0.59737975216631145"/>
          <c:y val="2.9383530183727035E-2"/>
          <c:w val="0.40262020058395598"/>
          <c:h val="0.2580379678567577"/>
        </c:manualLayout>
      </c:layout>
      <c:overlay val="0"/>
      <c:spPr>
        <a:solidFill>
          <a:schemeClr val="bg1"/>
        </a:solidFill>
      </c:sp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012371730429996E-2"/>
          <c:y val="5.1400554097404488E-2"/>
          <c:w val="0.88011339567408309"/>
          <c:h val="0.78254924013728566"/>
        </c:manualLayout>
      </c:layout>
      <c:barChart>
        <c:barDir val="col"/>
        <c:grouping val="clustered"/>
        <c:varyColors val="0"/>
        <c:ser>
          <c:idx val="0"/>
          <c:order val="0"/>
          <c:tx>
            <c:strRef>
              <c:f>'CPGI &amp; Dang Con - sex'!$AB$19</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2</c:v>
                </c:pt>
                <c:pt idx="1">
                  <c:v>2.2999999999999998</c:v>
                </c:pt>
                <c:pt idx="2">
                  <c:v>11.1</c:v>
                </c:pt>
                <c:pt idx="3">
                  <c:v>13.3</c:v>
                </c:pt>
              </c:numLit>
            </c:plus>
            <c:minus>
              <c:numLit>
                <c:formatCode>General</c:formatCode>
                <c:ptCount val="4"/>
                <c:pt idx="0">
                  <c:v>2</c:v>
                </c:pt>
                <c:pt idx="1">
                  <c:v>2.2999999999999998</c:v>
                </c:pt>
                <c:pt idx="2">
                  <c:v>11.1</c:v>
                </c:pt>
                <c:pt idx="3">
                  <c:v>13.3</c:v>
                </c:pt>
              </c:numLit>
            </c:minus>
          </c:errBars>
          <c:cat>
            <c:strRef>
              <c:f>'CPGI &amp; Dang Con - sex'!$AA$20:$AA$23</c:f>
              <c:strCache>
                <c:ptCount val="4"/>
                <c:pt idx="0">
                  <c:v>Non-gambler</c:v>
                </c:pt>
                <c:pt idx="1">
                  <c:v>Non-problem/recreational</c:v>
                </c:pt>
                <c:pt idx="2">
                  <c:v>Low-risk</c:v>
                </c:pt>
                <c:pt idx="3">
                  <c:v>Moderate-risk /problem</c:v>
                </c:pt>
              </c:strCache>
            </c:strRef>
          </c:cat>
          <c:val>
            <c:numRef>
              <c:f>'CPGI &amp; Dang Con - sex'!$AB$20:$AB$23</c:f>
              <c:numCache>
                <c:formatCode>0.00</c:formatCode>
                <c:ptCount val="4"/>
                <c:pt idx="0">
                  <c:v>17.172999999999998</c:v>
                </c:pt>
                <c:pt idx="1">
                  <c:v>24.0215</c:v>
                </c:pt>
                <c:pt idx="2">
                  <c:v>46.884500000000003</c:v>
                </c:pt>
                <c:pt idx="3">
                  <c:v>54.325600000000001</c:v>
                </c:pt>
              </c:numCache>
            </c:numRef>
          </c:val>
        </c:ser>
        <c:ser>
          <c:idx val="1"/>
          <c:order val="1"/>
          <c:tx>
            <c:strRef>
              <c:f>'CPGI &amp; Dang Con - sex'!$AC$19</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4"/>
                <c:pt idx="0">
                  <c:v>1.2</c:v>
                </c:pt>
                <c:pt idx="1">
                  <c:v>1.3</c:v>
                </c:pt>
                <c:pt idx="2">
                  <c:v>7.1</c:v>
                </c:pt>
                <c:pt idx="3">
                  <c:v>15.1</c:v>
                </c:pt>
              </c:numLit>
            </c:plus>
            <c:minus>
              <c:numLit>
                <c:formatCode>General</c:formatCode>
                <c:ptCount val="4"/>
                <c:pt idx="0">
                  <c:v>1.2</c:v>
                </c:pt>
                <c:pt idx="1">
                  <c:v>1.3</c:v>
                </c:pt>
                <c:pt idx="2">
                  <c:v>7.1</c:v>
                </c:pt>
                <c:pt idx="3">
                  <c:v>15.1</c:v>
                </c:pt>
              </c:numLit>
            </c:minus>
          </c:errBars>
          <c:cat>
            <c:strRef>
              <c:f>'CPGI &amp; Dang Con - sex'!$AA$20:$AA$23</c:f>
              <c:strCache>
                <c:ptCount val="4"/>
                <c:pt idx="0">
                  <c:v>Non-gambler</c:v>
                </c:pt>
                <c:pt idx="1">
                  <c:v>Non-problem/recreational</c:v>
                </c:pt>
                <c:pt idx="2">
                  <c:v>Low-risk</c:v>
                </c:pt>
                <c:pt idx="3">
                  <c:v>Moderate-risk /problem</c:v>
                </c:pt>
              </c:strCache>
            </c:strRef>
          </c:cat>
          <c:val>
            <c:numRef>
              <c:f>'CPGI &amp; Dang Con - sex'!$AC$20:$AC$23</c:f>
              <c:numCache>
                <c:formatCode>0.00</c:formatCode>
                <c:ptCount val="4"/>
                <c:pt idx="0">
                  <c:v>7.1025</c:v>
                </c:pt>
                <c:pt idx="1">
                  <c:v>9.2725000000000009</c:v>
                </c:pt>
                <c:pt idx="2">
                  <c:v>16.609000000000002</c:v>
                </c:pt>
                <c:pt idx="3">
                  <c:v>44.539900000000003</c:v>
                </c:pt>
              </c:numCache>
            </c:numRef>
          </c:val>
        </c:ser>
        <c:dLbls>
          <c:showLegendKey val="0"/>
          <c:showVal val="0"/>
          <c:showCatName val="0"/>
          <c:showSerName val="0"/>
          <c:showPercent val="0"/>
          <c:showBubbleSize val="0"/>
        </c:dLbls>
        <c:gapWidth val="150"/>
        <c:axId val="831169664"/>
        <c:axId val="831171584"/>
      </c:barChart>
      <c:catAx>
        <c:axId val="831169664"/>
        <c:scaling>
          <c:orientation val="minMax"/>
        </c:scaling>
        <c:delete val="0"/>
        <c:axPos val="b"/>
        <c:title>
          <c:tx>
            <c:rich>
              <a:bodyPr/>
              <a:lstStyle/>
              <a:p>
                <a:pPr>
                  <a:defRPr/>
                </a:pPr>
                <a:r>
                  <a:rPr lang="en-US" baseline="0"/>
                  <a:t>Gambling Status</a:t>
                </a:r>
              </a:p>
            </c:rich>
          </c:tx>
          <c:layout>
            <c:manualLayout>
              <c:xMode val="edge"/>
              <c:yMode val="edge"/>
              <c:x val="0.44888402312803882"/>
              <c:y val="0.92716557865433769"/>
            </c:manualLayout>
          </c:layout>
          <c:overlay val="0"/>
        </c:title>
        <c:numFmt formatCode="General" sourceLinked="1"/>
        <c:majorTickMark val="out"/>
        <c:minorTickMark val="none"/>
        <c:tickLblPos val="nextTo"/>
        <c:txPr>
          <a:bodyPr/>
          <a:lstStyle/>
          <a:p>
            <a:pPr>
              <a:defRPr sz="800"/>
            </a:pPr>
            <a:endParaRPr lang="en-US"/>
          </a:p>
        </c:txPr>
        <c:crossAx val="831171584"/>
        <c:crosses val="autoZero"/>
        <c:auto val="1"/>
        <c:lblAlgn val="ctr"/>
        <c:lblOffset val="100"/>
        <c:noMultiLvlLbl val="0"/>
      </c:catAx>
      <c:valAx>
        <c:axId val="831171584"/>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1169664"/>
        <c:crosses val="autoZero"/>
        <c:crossBetween val="between"/>
      </c:valAx>
    </c:plotArea>
    <c:legend>
      <c:legendPos val="r"/>
      <c:layout>
        <c:manualLayout>
          <c:xMode val="edge"/>
          <c:yMode val="edge"/>
          <c:x val="0.84386677035716318"/>
          <c:y val="7.9711623557778485E-2"/>
          <c:w val="0.13450897966022396"/>
          <c:h val="0.16254925429336059"/>
        </c:manualLayout>
      </c:layout>
      <c:overlay val="0"/>
      <c:spPr>
        <a:solidFill>
          <a:schemeClr val="bg1"/>
        </a:solidFill>
      </c:spPr>
      <c:txPr>
        <a:bodyPr/>
        <a:lstStyle/>
        <a:p>
          <a:pPr>
            <a:defRPr sz="900"/>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012371730429996E-2"/>
          <c:y val="5.1400554097404488E-2"/>
          <c:w val="0.88011339567408309"/>
          <c:h val="0.78254924013728566"/>
        </c:manualLayout>
      </c:layout>
      <c:barChart>
        <c:barDir val="col"/>
        <c:grouping val="clustered"/>
        <c:varyColors val="0"/>
        <c:ser>
          <c:idx val="0"/>
          <c:order val="0"/>
          <c:tx>
            <c:strRef>
              <c:f>'CPGI &amp; Dang Con - sex'!$AD$62</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1.9</c:v>
                </c:pt>
                <c:pt idx="1">
                  <c:v>1.9</c:v>
                </c:pt>
                <c:pt idx="2">
                  <c:v>10.9</c:v>
                </c:pt>
                <c:pt idx="3">
                  <c:v>13.3</c:v>
                </c:pt>
              </c:numLit>
            </c:plus>
            <c:minus>
              <c:numLit>
                <c:formatCode>General</c:formatCode>
                <c:ptCount val="4"/>
                <c:pt idx="0">
                  <c:v>1.9</c:v>
                </c:pt>
                <c:pt idx="1">
                  <c:v>1.9</c:v>
                </c:pt>
                <c:pt idx="2">
                  <c:v>10.9</c:v>
                </c:pt>
                <c:pt idx="3">
                  <c:v>13.3</c:v>
                </c:pt>
              </c:numLit>
            </c:minus>
          </c:errBars>
          <c:cat>
            <c:strRef>
              <c:f>'CPGI &amp; Dang Con - sex'!$AC$63:$AC$66</c:f>
              <c:strCache>
                <c:ptCount val="4"/>
                <c:pt idx="0">
                  <c:v>Non-gambler</c:v>
                </c:pt>
                <c:pt idx="1">
                  <c:v>Non-problem/recreational</c:v>
                </c:pt>
                <c:pt idx="2">
                  <c:v>Low-risk</c:v>
                </c:pt>
                <c:pt idx="3">
                  <c:v>Moderate-risk/problem</c:v>
                </c:pt>
              </c:strCache>
            </c:strRef>
          </c:cat>
          <c:val>
            <c:numRef>
              <c:f>'CPGI &amp; Dang Con - sex'!$AD$63:$AD$66</c:f>
              <c:numCache>
                <c:formatCode>0.00</c:formatCode>
                <c:ptCount val="4"/>
                <c:pt idx="0">
                  <c:v>16.919799999999999</c:v>
                </c:pt>
                <c:pt idx="1">
                  <c:v>19.491399999999999</c:v>
                </c:pt>
                <c:pt idx="2">
                  <c:v>43.581600000000002</c:v>
                </c:pt>
                <c:pt idx="3">
                  <c:v>51.5929</c:v>
                </c:pt>
              </c:numCache>
            </c:numRef>
          </c:val>
        </c:ser>
        <c:ser>
          <c:idx val="1"/>
          <c:order val="1"/>
          <c:tx>
            <c:strRef>
              <c:f>'CPGI &amp; Dang Con - sex'!$AE$62</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4"/>
                <c:pt idx="0">
                  <c:v>1.5</c:v>
                </c:pt>
                <c:pt idx="1">
                  <c:v>1.7</c:v>
                </c:pt>
                <c:pt idx="2">
                  <c:v>10.6</c:v>
                </c:pt>
                <c:pt idx="3">
                  <c:v>12.8</c:v>
                </c:pt>
              </c:numLit>
            </c:plus>
            <c:minus>
              <c:numLit>
                <c:formatCode>General</c:formatCode>
                <c:ptCount val="4"/>
                <c:pt idx="0">
                  <c:v>1.5</c:v>
                </c:pt>
                <c:pt idx="1">
                  <c:v>1.7</c:v>
                </c:pt>
                <c:pt idx="2">
                  <c:v>10.6</c:v>
                </c:pt>
                <c:pt idx="3">
                  <c:v>12.8</c:v>
                </c:pt>
              </c:numLit>
            </c:minus>
          </c:errBars>
          <c:cat>
            <c:strRef>
              <c:f>'CPGI &amp; Dang Con - sex'!$AC$63:$AC$66</c:f>
              <c:strCache>
                <c:ptCount val="4"/>
                <c:pt idx="0">
                  <c:v>Non-gambler</c:v>
                </c:pt>
                <c:pt idx="1">
                  <c:v>Non-problem/recreational</c:v>
                </c:pt>
                <c:pt idx="2">
                  <c:v>Low-risk</c:v>
                </c:pt>
                <c:pt idx="3">
                  <c:v>Moderate-risk/problem</c:v>
                </c:pt>
              </c:strCache>
            </c:strRef>
          </c:cat>
          <c:val>
            <c:numRef>
              <c:f>'CPGI &amp; Dang Con - sex'!$AE$63:$AE$66</c:f>
              <c:numCache>
                <c:formatCode>0.00</c:formatCode>
                <c:ptCount val="4"/>
                <c:pt idx="0">
                  <c:v>15.5459</c:v>
                </c:pt>
                <c:pt idx="1">
                  <c:v>17.539300000000001</c:v>
                </c:pt>
                <c:pt idx="2">
                  <c:v>41.815600000000003</c:v>
                </c:pt>
                <c:pt idx="3">
                  <c:v>65.897199999999998</c:v>
                </c:pt>
              </c:numCache>
            </c:numRef>
          </c:val>
        </c:ser>
        <c:dLbls>
          <c:showLegendKey val="0"/>
          <c:showVal val="0"/>
          <c:showCatName val="0"/>
          <c:showSerName val="0"/>
          <c:showPercent val="0"/>
          <c:showBubbleSize val="0"/>
        </c:dLbls>
        <c:gapWidth val="150"/>
        <c:axId val="831238912"/>
        <c:axId val="831240832"/>
      </c:barChart>
      <c:catAx>
        <c:axId val="831238912"/>
        <c:scaling>
          <c:orientation val="minMax"/>
        </c:scaling>
        <c:delete val="0"/>
        <c:axPos val="b"/>
        <c:title>
          <c:tx>
            <c:rich>
              <a:bodyPr/>
              <a:lstStyle/>
              <a:p>
                <a:pPr>
                  <a:defRPr/>
                </a:pPr>
                <a:r>
                  <a:rPr lang="en-US" baseline="0"/>
                  <a:t>Gambling Status</a:t>
                </a:r>
              </a:p>
            </c:rich>
          </c:tx>
          <c:layout>
            <c:manualLayout>
              <c:xMode val="edge"/>
              <c:yMode val="edge"/>
              <c:x val="0.44888402312803882"/>
              <c:y val="0.92716557865433769"/>
            </c:manualLayout>
          </c:layout>
          <c:overlay val="0"/>
        </c:title>
        <c:numFmt formatCode="General" sourceLinked="1"/>
        <c:majorTickMark val="out"/>
        <c:minorTickMark val="none"/>
        <c:tickLblPos val="nextTo"/>
        <c:txPr>
          <a:bodyPr/>
          <a:lstStyle/>
          <a:p>
            <a:pPr>
              <a:defRPr sz="800"/>
            </a:pPr>
            <a:endParaRPr lang="en-US"/>
          </a:p>
        </c:txPr>
        <c:crossAx val="831240832"/>
        <c:crosses val="autoZero"/>
        <c:auto val="1"/>
        <c:lblAlgn val="ctr"/>
        <c:lblOffset val="100"/>
        <c:noMultiLvlLbl val="0"/>
      </c:catAx>
      <c:valAx>
        <c:axId val="831240832"/>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1238912"/>
        <c:crosses val="autoZero"/>
        <c:crossBetween val="between"/>
      </c:valAx>
    </c:plotArea>
    <c:legend>
      <c:legendPos val="r"/>
      <c:layout>
        <c:manualLayout>
          <c:xMode val="edge"/>
          <c:yMode val="edge"/>
          <c:x val="0.84386672724303347"/>
          <c:y val="3.4668556343985114E-2"/>
          <c:w val="0.13450897966022396"/>
          <c:h val="0.16254925429336059"/>
        </c:manualLayout>
      </c:layout>
      <c:overlay val="0"/>
      <c:spPr>
        <a:solidFill>
          <a:schemeClr val="bg1"/>
        </a:solidFill>
      </c:sp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012371730429996E-2"/>
          <c:y val="5.1400554097404488E-2"/>
          <c:w val="0.88011339567408309"/>
          <c:h val="0.78254924013728566"/>
        </c:manualLayout>
      </c:layout>
      <c:barChart>
        <c:barDir val="col"/>
        <c:grouping val="clustered"/>
        <c:varyColors val="0"/>
        <c:ser>
          <c:idx val="0"/>
          <c:order val="0"/>
          <c:tx>
            <c:strRef>
              <c:f>'CPGI by dangerous consump'!$X$219</c:f>
              <c:strCache>
                <c:ptCount val="1"/>
                <c:pt idx="0">
                  <c:v>Any drug</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c:v>
                </c:pt>
                <c:pt idx="1">
                  <c:v>1</c:v>
                </c:pt>
                <c:pt idx="2">
                  <c:v>6.3</c:v>
                </c:pt>
                <c:pt idx="3">
                  <c:v>9.5</c:v>
                </c:pt>
              </c:numLit>
            </c:plus>
            <c:minus>
              <c:numLit>
                <c:formatCode>General</c:formatCode>
                <c:ptCount val="4"/>
                <c:pt idx="0">
                  <c:v>1</c:v>
                </c:pt>
                <c:pt idx="1">
                  <c:v>1</c:v>
                </c:pt>
                <c:pt idx="2">
                  <c:v>6.3</c:v>
                </c:pt>
                <c:pt idx="3">
                  <c:v>9.5</c:v>
                </c:pt>
              </c:numLit>
            </c:minus>
          </c:errBars>
          <c:cat>
            <c:strRef>
              <c:f>'CPGI by dangerous consump'!$W$220:$W$223</c:f>
              <c:strCache>
                <c:ptCount val="4"/>
                <c:pt idx="0">
                  <c:v>Non-gambler</c:v>
                </c:pt>
                <c:pt idx="1">
                  <c:v>Non-problem/recreational</c:v>
                </c:pt>
                <c:pt idx="2">
                  <c:v>Low-risk</c:v>
                </c:pt>
                <c:pt idx="3">
                  <c:v>Moderate-risk/problem</c:v>
                </c:pt>
              </c:strCache>
            </c:strRef>
          </c:cat>
          <c:val>
            <c:numRef>
              <c:f>'CPGI by dangerous consump'!$X$220:$X$223</c:f>
              <c:numCache>
                <c:formatCode>0.00</c:formatCode>
                <c:ptCount val="4"/>
                <c:pt idx="0">
                  <c:v>8.2088999999999999</c:v>
                </c:pt>
                <c:pt idx="1">
                  <c:v>8.5328999999999997</c:v>
                </c:pt>
                <c:pt idx="2">
                  <c:v>21.483499999999999</c:v>
                </c:pt>
                <c:pt idx="3">
                  <c:v>31.406300000000002</c:v>
                </c:pt>
              </c:numCache>
            </c:numRef>
          </c:val>
        </c:ser>
        <c:ser>
          <c:idx val="1"/>
          <c:order val="1"/>
          <c:tx>
            <c:strRef>
              <c:f>'CPGI by dangerous consump'!$Y$219</c:f>
              <c:strCache>
                <c:ptCount val="1"/>
                <c:pt idx="0">
                  <c:v>Cannabis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4"/>
                <c:pt idx="0">
                  <c:v>1</c:v>
                </c:pt>
                <c:pt idx="1">
                  <c:v>1</c:v>
                </c:pt>
                <c:pt idx="2">
                  <c:v>6.1</c:v>
                </c:pt>
                <c:pt idx="3">
                  <c:v>8.5</c:v>
                </c:pt>
              </c:numLit>
            </c:plus>
            <c:minus>
              <c:numLit>
                <c:formatCode>General</c:formatCode>
                <c:ptCount val="4"/>
                <c:pt idx="0">
                  <c:v>1</c:v>
                </c:pt>
                <c:pt idx="1">
                  <c:v>1</c:v>
                </c:pt>
                <c:pt idx="2">
                  <c:v>6.1</c:v>
                </c:pt>
                <c:pt idx="3">
                  <c:v>8.5</c:v>
                </c:pt>
              </c:numLit>
            </c:minus>
          </c:errBars>
          <c:cat>
            <c:strRef>
              <c:f>'CPGI by dangerous consump'!$W$220:$W$223</c:f>
              <c:strCache>
                <c:ptCount val="4"/>
                <c:pt idx="0">
                  <c:v>Non-gambler</c:v>
                </c:pt>
                <c:pt idx="1">
                  <c:v>Non-problem/recreational</c:v>
                </c:pt>
                <c:pt idx="2">
                  <c:v>Low-risk</c:v>
                </c:pt>
                <c:pt idx="3">
                  <c:v>Moderate-risk/problem</c:v>
                </c:pt>
              </c:strCache>
            </c:strRef>
          </c:cat>
          <c:val>
            <c:numRef>
              <c:f>'CPGI by dangerous consump'!$Y$220:$Y$223</c:f>
              <c:numCache>
                <c:formatCode>0.00</c:formatCode>
                <c:ptCount val="4"/>
                <c:pt idx="0">
                  <c:v>7.7771999999999997</c:v>
                </c:pt>
                <c:pt idx="1">
                  <c:v>7.5694999999999997</c:v>
                </c:pt>
                <c:pt idx="2">
                  <c:v>19.856100000000001</c:v>
                </c:pt>
                <c:pt idx="3">
                  <c:v>24.973400000000002</c:v>
                </c:pt>
              </c:numCache>
            </c:numRef>
          </c:val>
        </c:ser>
        <c:dLbls>
          <c:showLegendKey val="0"/>
          <c:showVal val="0"/>
          <c:showCatName val="0"/>
          <c:showSerName val="0"/>
          <c:showPercent val="0"/>
          <c:showBubbleSize val="0"/>
        </c:dLbls>
        <c:gapWidth val="150"/>
        <c:axId val="771559808"/>
        <c:axId val="771561728"/>
      </c:barChart>
      <c:catAx>
        <c:axId val="771559808"/>
        <c:scaling>
          <c:orientation val="minMax"/>
        </c:scaling>
        <c:delete val="0"/>
        <c:axPos val="b"/>
        <c:title>
          <c:tx>
            <c:rich>
              <a:bodyPr/>
              <a:lstStyle/>
              <a:p>
                <a:pPr>
                  <a:defRPr/>
                </a:pPr>
                <a:r>
                  <a:rPr lang="en-US" baseline="0"/>
                  <a:t>Gambling Status</a:t>
                </a:r>
              </a:p>
            </c:rich>
          </c:tx>
          <c:layout>
            <c:manualLayout>
              <c:xMode val="edge"/>
              <c:yMode val="edge"/>
              <c:x val="0.44888402312803882"/>
              <c:y val="0.92716557865433769"/>
            </c:manualLayout>
          </c:layout>
          <c:overlay val="0"/>
        </c:title>
        <c:numFmt formatCode="General" sourceLinked="1"/>
        <c:majorTickMark val="out"/>
        <c:minorTickMark val="none"/>
        <c:tickLblPos val="nextTo"/>
        <c:txPr>
          <a:bodyPr/>
          <a:lstStyle/>
          <a:p>
            <a:pPr>
              <a:defRPr sz="800"/>
            </a:pPr>
            <a:endParaRPr lang="en-US"/>
          </a:p>
        </c:txPr>
        <c:crossAx val="771561728"/>
        <c:crosses val="autoZero"/>
        <c:auto val="1"/>
        <c:lblAlgn val="ctr"/>
        <c:lblOffset val="100"/>
        <c:noMultiLvlLbl val="0"/>
      </c:catAx>
      <c:valAx>
        <c:axId val="771561728"/>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71559808"/>
        <c:crosses val="autoZero"/>
        <c:crossBetween val="between"/>
      </c:valAx>
    </c:plotArea>
    <c:legend>
      <c:legendPos val="r"/>
      <c:layout>
        <c:manualLayout>
          <c:xMode val="edge"/>
          <c:yMode val="edge"/>
          <c:x val="0.80173908021104046"/>
          <c:y val="6.5936968078852312E-2"/>
          <c:w val="0.17666598366653979"/>
          <c:h val="0.125797215736137"/>
        </c:manualLayout>
      </c:layout>
      <c:overlay val="0"/>
      <c:spPr>
        <a:solidFill>
          <a:schemeClr val="bg1"/>
        </a:solidFill>
      </c:sp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730244692264147E-2"/>
          <c:y val="9.5110400478300466E-2"/>
          <c:w val="0.89239573560092322"/>
          <c:h val="0.77479561112127238"/>
        </c:manualLayout>
      </c:layout>
      <c:barChart>
        <c:barDir val="col"/>
        <c:grouping val="clustered"/>
        <c:varyColors val="0"/>
        <c:ser>
          <c:idx val="0"/>
          <c:order val="0"/>
          <c:tx>
            <c:strRef>
              <c:f>'SF-12'!$C$36</c:f>
              <c:strCache>
                <c:ptCount val="1"/>
                <c:pt idx="0">
                  <c:v>Non-gamblers</c:v>
                </c:pt>
              </c:strCache>
            </c:strRef>
          </c:tx>
          <c:spPr>
            <a:solidFill>
              <a:schemeClr val="accent5">
                <a:lumMod val="75000"/>
              </a:schemeClr>
            </a:solidFill>
            <a:ln>
              <a:noFill/>
            </a:ln>
          </c:spPr>
          <c:invertIfNegative val="0"/>
          <c:errBars>
            <c:errBarType val="both"/>
            <c:errValType val="cust"/>
            <c:noEndCap val="0"/>
            <c:plus>
              <c:numLit>
                <c:formatCode>General</c:formatCode>
                <c:ptCount val="10"/>
                <c:pt idx="0">
                  <c:v>0.9</c:v>
                </c:pt>
                <c:pt idx="1">
                  <c:v>0.8</c:v>
                </c:pt>
                <c:pt idx="2">
                  <c:v>0.8</c:v>
                </c:pt>
                <c:pt idx="3">
                  <c:v>0.9</c:v>
                </c:pt>
                <c:pt idx="4">
                  <c:v>0.9</c:v>
                </c:pt>
                <c:pt idx="5">
                  <c:v>0.7</c:v>
                </c:pt>
                <c:pt idx="6">
                  <c:v>0.5</c:v>
                </c:pt>
                <c:pt idx="7">
                  <c:v>0.6</c:v>
                </c:pt>
                <c:pt idx="8">
                  <c:v>0.3</c:v>
                </c:pt>
                <c:pt idx="9">
                  <c:v>0.3</c:v>
                </c:pt>
              </c:numLit>
            </c:plus>
            <c:minus>
              <c:numLit>
                <c:formatCode>General</c:formatCode>
                <c:ptCount val="10"/>
                <c:pt idx="0">
                  <c:v>0.9</c:v>
                </c:pt>
                <c:pt idx="1">
                  <c:v>0.8</c:v>
                </c:pt>
                <c:pt idx="2">
                  <c:v>0.8</c:v>
                </c:pt>
                <c:pt idx="3">
                  <c:v>0.9</c:v>
                </c:pt>
                <c:pt idx="4">
                  <c:v>0.9</c:v>
                </c:pt>
                <c:pt idx="5">
                  <c:v>0.7</c:v>
                </c:pt>
                <c:pt idx="6">
                  <c:v>0.5</c:v>
                </c:pt>
                <c:pt idx="7">
                  <c:v>0.6</c:v>
                </c:pt>
                <c:pt idx="8">
                  <c:v>0.3</c:v>
                </c:pt>
                <c:pt idx="9">
                  <c:v>0.3</c:v>
                </c:pt>
              </c:numLit>
            </c:minus>
          </c:errBars>
          <c:cat>
            <c:strRef>
              <c:f>'SF-12'!$B$37:$B$46</c:f>
              <c:strCache>
                <c:ptCount val="10"/>
                <c:pt idx="0">
                  <c:v>PCS</c:v>
                </c:pt>
                <c:pt idx="1">
                  <c:v>MCS</c:v>
                </c:pt>
                <c:pt idx="2">
                  <c:v>PF</c:v>
                </c:pt>
                <c:pt idx="3">
                  <c:v>RP</c:v>
                </c:pt>
                <c:pt idx="4">
                  <c:v>BP</c:v>
                </c:pt>
                <c:pt idx="5">
                  <c:v>GH</c:v>
                </c:pt>
                <c:pt idx="6">
                  <c:v>VT</c:v>
                </c:pt>
                <c:pt idx="7">
                  <c:v>SF</c:v>
                </c:pt>
                <c:pt idx="8">
                  <c:v>RE</c:v>
                </c:pt>
                <c:pt idx="9">
                  <c:v>MH</c:v>
                </c:pt>
              </c:strCache>
            </c:strRef>
          </c:cat>
          <c:val>
            <c:numRef>
              <c:f>'SF-12'!$C$37:$C$46</c:f>
              <c:numCache>
                <c:formatCode>General</c:formatCode>
                <c:ptCount val="10"/>
                <c:pt idx="0">
                  <c:v>50.385891999999998</c:v>
                </c:pt>
                <c:pt idx="1">
                  <c:v>51.185709000000003</c:v>
                </c:pt>
                <c:pt idx="2">
                  <c:v>87.103305000000006</c:v>
                </c:pt>
                <c:pt idx="3">
                  <c:v>87.508950999999996</c:v>
                </c:pt>
                <c:pt idx="4">
                  <c:v>87.642317000000006</c:v>
                </c:pt>
                <c:pt idx="5">
                  <c:v>73.522209000000004</c:v>
                </c:pt>
                <c:pt idx="6">
                  <c:v>61.684266000000001</c:v>
                </c:pt>
                <c:pt idx="7">
                  <c:v>91.684034999999994</c:v>
                </c:pt>
                <c:pt idx="8">
                  <c:v>93.604504000000006</c:v>
                </c:pt>
                <c:pt idx="9">
                  <c:v>77.934521000000004</c:v>
                </c:pt>
              </c:numCache>
            </c:numRef>
          </c:val>
        </c:ser>
        <c:ser>
          <c:idx val="1"/>
          <c:order val="1"/>
          <c:tx>
            <c:strRef>
              <c:f>'SF-12'!$D$36</c:f>
              <c:strCache>
                <c:ptCount val="1"/>
                <c:pt idx="0">
                  <c:v>Non-problem/Recreational</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10"/>
                <c:pt idx="0">
                  <c:v>0.9</c:v>
                </c:pt>
                <c:pt idx="1">
                  <c:v>0.8</c:v>
                </c:pt>
                <c:pt idx="2">
                  <c:v>0.8</c:v>
                </c:pt>
                <c:pt idx="3">
                  <c:v>0.8</c:v>
                </c:pt>
                <c:pt idx="4">
                  <c:v>0.8</c:v>
                </c:pt>
                <c:pt idx="5">
                  <c:v>0.6</c:v>
                </c:pt>
                <c:pt idx="6">
                  <c:v>0.4</c:v>
                </c:pt>
                <c:pt idx="7">
                  <c:v>0.5</c:v>
                </c:pt>
                <c:pt idx="8">
                  <c:v>0.3</c:v>
                </c:pt>
                <c:pt idx="9">
                  <c:v>0.3</c:v>
                </c:pt>
              </c:numLit>
            </c:plus>
            <c:minus>
              <c:numLit>
                <c:formatCode>General</c:formatCode>
                <c:ptCount val="10"/>
                <c:pt idx="0">
                  <c:v>0.9</c:v>
                </c:pt>
                <c:pt idx="1">
                  <c:v>0.8</c:v>
                </c:pt>
                <c:pt idx="2">
                  <c:v>0.8</c:v>
                </c:pt>
                <c:pt idx="3">
                  <c:v>0.8</c:v>
                </c:pt>
                <c:pt idx="4">
                  <c:v>0.8</c:v>
                </c:pt>
                <c:pt idx="5">
                  <c:v>0.6</c:v>
                </c:pt>
                <c:pt idx="6">
                  <c:v>0.4</c:v>
                </c:pt>
                <c:pt idx="7">
                  <c:v>0.5</c:v>
                </c:pt>
                <c:pt idx="8">
                  <c:v>0.3</c:v>
                </c:pt>
                <c:pt idx="9">
                  <c:v>0.3</c:v>
                </c:pt>
              </c:numLit>
            </c:minus>
          </c:errBars>
          <c:cat>
            <c:strRef>
              <c:f>'SF-12'!$B$37:$B$46</c:f>
              <c:strCache>
                <c:ptCount val="10"/>
                <c:pt idx="0">
                  <c:v>PCS</c:v>
                </c:pt>
                <c:pt idx="1">
                  <c:v>MCS</c:v>
                </c:pt>
                <c:pt idx="2">
                  <c:v>PF</c:v>
                </c:pt>
                <c:pt idx="3">
                  <c:v>RP</c:v>
                </c:pt>
                <c:pt idx="4">
                  <c:v>BP</c:v>
                </c:pt>
                <c:pt idx="5">
                  <c:v>GH</c:v>
                </c:pt>
                <c:pt idx="6">
                  <c:v>VT</c:v>
                </c:pt>
                <c:pt idx="7">
                  <c:v>SF</c:v>
                </c:pt>
                <c:pt idx="8">
                  <c:v>RE</c:v>
                </c:pt>
                <c:pt idx="9">
                  <c:v>MH</c:v>
                </c:pt>
              </c:strCache>
            </c:strRef>
          </c:cat>
          <c:val>
            <c:numRef>
              <c:f>'SF-12'!$D$37:$D$46</c:f>
              <c:numCache>
                <c:formatCode>General</c:formatCode>
                <c:ptCount val="10"/>
                <c:pt idx="0">
                  <c:v>50.346536</c:v>
                </c:pt>
                <c:pt idx="1">
                  <c:v>51.515464999999999</c:v>
                </c:pt>
                <c:pt idx="2">
                  <c:v>88.319463999999996</c:v>
                </c:pt>
                <c:pt idx="3">
                  <c:v>87.748219000000006</c:v>
                </c:pt>
                <c:pt idx="4">
                  <c:v>86.553505999999999</c:v>
                </c:pt>
                <c:pt idx="5">
                  <c:v>73.188743000000002</c:v>
                </c:pt>
                <c:pt idx="6">
                  <c:v>60.908816999999999</c:v>
                </c:pt>
                <c:pt idx="7">
                  <c:v>92.946359999999999</c:v>
                </c:pt>
                <c:pt idx="8">
                  <c:v>94.758717000000004</c:v>
                </c:pt>
                <c:pt idx="9">
                  <c:v>78.396214000000001</c:v>
                </c:pt>
              </c:numCache>
            </c:numRef>
          </c:val>
        </c:ser>
        <c:ser>
          <c:idx val="2"/>
          <c:order val="2"/>
          <c:tx>
            <c:strRef>
              <c:f>'SF-12'!$E$36</c:f>
              <c:strCache>
                <c:ptCount val="1"/>
                <c:pt idx="0">
                  <c:v>Low-risk</c:v>
                </c:pt>
              </c:strCache>
            </c:strRef>
          </c:tx>
          <c:invertIfNegative val="0"/>
          <c:errBars>
            <c:errBarType val="both"/>
            <c:errValType val="cust"/>
            <c:noEndCap val="0"/>
            <c:plus>
              <c:numLit>
                <c:formatCode>General</c:formatCode>
                <c:ptCount val="10"/>
                <c:pt idx="0">
                  <c:v>4.3</c:v>
                </c:pt>
                <c:pt idx="1">
                  <c:v>3.8</c:v>
                </c:pt>
                <c:pt idx="2">
                  <c:v>4.3</c:v>
                </c:pt>
                <c:pt idx="3">
                  <c:v>3.6</c:v>
                </c:pt>
                <c:pt idx="4">
                  <c:v>3.4</c:v>
                </c:pt>
                <c:pt idx="5">
                  <c:v>2.2999999999999998</c:v>
                </c:pt>
                <c:pt idx="6">
                  <c:v>2.1</c:v>
                </c:pt>
                <c:pt idx="7">
                  <c:v>2.7</c:v>
                </c:pt>
                <c:pt idx="8">
                  <c:v>1.5</c:v>
                </c:pt>
                <c:pt idx="9">
                  <c:v>1.4</c:v>
                </c:pt>
              </c:numLit>
            </c:plus>
            <c:minus>
              <c:numLit>
                <c:formatCode>General</c:formatCode>
                <c:ptCount val="10"/>
                <c:pt idx="0">
                  <c:v>4.3</c:v>
                </c:pt>
                <c:pt idx="1">
                  <c:v>3.8</c:v>
                </c:pt>
                <c:pt idx="2">
                  <c:v>4.3</c:v>
                </c:pt>
                <c:pt idx="3">
                  <c:v>3.6</c:v>
                </c:pt>
                <c:pt idx="4">
                  <c:v>3.4</c:v>
                </c:pt>
                <c:pt idx="5">
                  <c:v>2.2999999999999998</c:v>
                </c:pt>
                <c:pt idx="6">
                  <c:v>2.1</c:v>
                </c:pt>
                <c:pt idx="7">
                  <c:v>2.7</c:v>
                </c:pt>
                <c:pt idx="8">
                  <c:v>1.5</c:v>
                </c:pt>
                <c:pt idx="9">
                  <c:v>1.4</c:v>
                </c:pt>
              </c:numLit>
            </c:minus>
          </c:errBars>
          <c:cat>
            <c:strRef>
              <c:f>'SF-12'!$B$37:$B$46</c:f>
              <c:strCache>
                <c:ptCount val="10"/>
                <c:pt idx="0">
                  <c:v>PCS</c:v>
                </c:pt>
                <c:pt idx="1">
                  <c:v>MCS</c:v>
                </c:pt>
                <c:pt idx="2">
                  <c:v>PF</c:v>
                </c:pt>
                <c:pt idx="3">
                  <c:v>RP</c:v>
                </c:pt>
                <c:pt idx="4">
                  <c:v>BP</c:v>
                </c:pt>
                <c:pt idx="5">
                  <c:v>GH</c:v>
                </c:pt>
                <c:pt idx="6">
                  <c:v>VT</c:v>
                </c:pt>
                <c:pt idx="7">
                  <c:v>SF</c:v>
                </c:pt>
                <c:pt idx="8">
                  <c:v>RE</c:v>
                </c:pt>
                <c:pt idx="9">
                  <c:v>MH</c:v>
                </c:pt>
              </c:strCache>
            </c:strRef>
          </c:cat>
          <c:val>
            <c:numRef>
              <c:f>'SF-12'!$E$37:$E$46</c:f>
              <c:numCache>
                <c:formatCode>General</c:formatCode>
                <c:ptCount val="10"/>
                <c:pt idx="0">
                  <c:v>47.004108000000002</c:v>
                </c:pt>
                <c:pt idx="1">
                  <c:v>50.961855</c:v>
                </c:pt>
                <c:pt idx="2">
                  <c:v>81.508394999999993</c:v>
                </c:pt>
                <c:pt idx="3">
                  <c:v>80.349864999999994</c:v>
                </c:pt>
                <c:pt idx="4">
                  <c:v>79.859145999999996</c:v>
                </c:pt>
                <c:pt idx="5">
                  <c:v>65.787559999999999</c:v>
                </c:pt>
                <c:pt idx="6">
                  <c:v>60.403829999999999</c:v>
                </c:pt>
                <c:pt idx="7">
                  <c:v>89.054468999999997</c:v>
                </c:pt>
                <c:pt idx="8">
                  <c:v>92.465453999999994</c:v>
                </c:pt>
                <c:pt idx="9">
                  <c:v>76.877032</c:v>
                </c:pt>
              </c:numCache>
            </c:numRef>
          </c:val>
        </c:ser>
        <c:ser>
          <c:idx val="3"/>
          <c:order val="3"/>
          <c:tx>
            <c:strRef>
              <c:f>'SF-12'!$F$36</c:f>
              <c:strCache>
                <c:ptCount val="1"/>
                <c:pt idx="0">
                  <c:v>Moderate-risk/Problem</c:v>
                </c:pt>
              </c:strCache>
            </c:strRef>
          </c:tx>
          <c:invertIfNegative val="0"/>
          <c:errBars>
            <c:errBarType val="both"/>
            <c:errValType val="cust"/>
            <c:noEndCap val="0"/>
            <c:plus>
              <c:numLit>
                <c:formatCode>General</c:formatCode>
                <c:ptCount val="10"/>
                <c:pt idx="0">
                  <c:v>4.5</c:v>
                </c:pt>
                <c:pt idx="1">
                  <c:v>5.6</c:v>
                </c:pt>
                <c:pt idx="2">
                  <c:v>5.7</c:v>
                </c:pt>
                <c:pt idx="3">
                  <c:v>5.6</c:v>
                </c:pt>
                <c:pt idx="4">
                  <c:v>5.5</c:v>
                </c:pt>
                <c:pt idx="5">
                  <c:v>6.8</c:v>
                </c:pt>
                <c:pt idx="6">
                  <c:v>4.9000000000000004</c:v>
                </c:pt>
                <c:pt idx="7">
                  <c:v>4.2</c:v>
                </c:pt>
                <c:pt idx="8">
                  <c:v>2</c:v>
                </c:pt>
                <c:pt idx="9">
                  <c:v>2.6</c:v>
                </c:pt>
              </c:numLit>
            </c:plus>
            <c:minus>
              <c:numLit>
                <c:formatCode>General</c:formatCode>
                <c:ptCount val="10"/>
                <c:pt idx="0">
                  <c:v>4.5</c:v>
                </c:pt>
                <c:pt idx="1">
                  <c:v>5.6</c:v>
                </c:pt>
                <c:pt idx="2">
                  <c:v>5.7</c:v>
                </c:pt>
                <c:pt idx="3">
                  <c:v>5.6</c:v>
                </c:pt>
                <c:pt idx="4">
                  <c:v>5.5</c:v>
                </c:pt>
                <c:pt idx="5">
                  <c:v>6.8</c:v>
                </c:pt>
                <c:pt idx="6">
                  <c:v>4.9000000000000004</c:v>
                </c:pt>
                <c:pt idx="7">
                  <c:v>4.2</c:v>
                </c:pt>
                <c:pt idx="8">
                  <c:v>2</c:v>
                </c:pt>
                <c:pt idx="9">
                  <c:v>2.6</c:v>
                </c:pt>
              </c:numLit>
            </c:minus>
          </c:errBars>
          <c:cat>
            <c:strRef>
              <c:f>'SF-12'!$B$37:$B$46</c:f>
              <c:strCache>
                <c:ptCount val="10"/>
                <c:pt idx="0">
                  <c:v>PCS</c:v>
                </c:pt>
                <c:pt idx="1">
                  <c:v>MCS</c:v>
                </c:pt>
                <c:pt idx="2">
                  <c:v>PF</c:v>
                </c:pt>
                <c:pt idx="3">
                  <c:v>RP</c:v>
                </c:pt>
                <c:pt idx="4">
                  <c:v>BP</c:v>
                </c:pt>
                <c:pt idx="5">
                  <c:v>GH</c:v>
                </c:pt>
                <c:pt idx="6">
                  <c:v>VT</c:v>
                </c:pt>
                <c:pt idx="7">
                  <c:v>SF</c:v>
                </c:pt>
                <c:pt idx="8">
                  <c:v>RE</c:v>
                </c:pt>
                <c:pt idx="9">
                  <c:v>MH</c:v>
                </c:pt>
              </c:strCache>
            </c:strRef>
          </c:cat>
          <c:val>
            <c:numRef>
              <c:f>'SF-12'!$F$37:$F$46</c:f>
              <c:numCache>
                <c:formatCode>General</c:formatCode>
                <c:ptCount val="10"/>
                <c:pt idx="0">
                  <c:v>48.893109000000003</c:v>
                </c:pt>
                <c:pt idx="1">
                  <c:v>43.110934999999998</c:v>
                </c:pt>
                <c:pt idx="2">
                  <c:v>86.864434000000003</c:v>
                </c:pt>
                <c:pt idx="3">
                  <c:v>78.394045000000006</c:v>
                </c:pt>
                <c:pt idx="4">
                  <c:v>78.482328999999993</c:v>
                </c:pt>
                <c:pt idx="5">
                  <c:v>60.429302999999997</c:v>
                </c:pt>
                <c:pt idx="6">
                  <c:v>49.717072999999999</c:v>
                </c:pt>
                <c:pt idx="7">
                  <c:v>79.062139000000002</c:v>
                </c:pt>
                <c:pt idx="8">
                  <c:v>79.735108999999994</c:v>
                </c:pt>
                <c:pt idx="9">
                  <c:v>67.841061999999994</c:v>
                </c:pt>
              </c:numCache>
            </c:numRef>
          </c:val>
        </c:ser>
        <c:dLbls>
          <c:showLegendKey val="0"/>
          <c:showVal val="0"/>
          <c:showCatName val="0"/>
          <c:showSerName val="0"/>
          <c:showPercent val="0"/>
          <c:showBubbleSize val="0"/>
        </c:dLbls>
        <c:gapWidth val="150"/>
        <c:axId val="770754816"/>
        <c:axId val="770756992"/>
      </c:barChart>
      <c:catAx>
        <c:axId val="770754816"/>
        <c:scaling>
          <c:orientation val="minMax"/>
        </c:scaling>
        <c:delete val="0"/>
        <c:axPos val="b"/>
        <c:title>
          <c:tx>
            <c:rich>
              <a:bodyPr/>
              <a:lstStyle/>
              <a:p>
                <a:pPr>
                  <a:defRPr/>
                </a:pPr>
                <a:r>
                  <a:rPr lang="en-US"/>
                  <a:t>SF-12 Health Domains</a:t>
                </a:r>
                <a:endParaRPr lang="en-US" baseline="0"/>
              </a:p>
            </c:rich>
          </c:tx>
          <c:layout>
            <c:manualLayout>
              <c:xMode val="edge"/>
              <c:yMode val="edge"/>
              <c:x val="0.4330146696610303"/>
              <c:y val="0.94138387380338284"/>
            </c:manualLayout>
          </c:layout>
          <c:overlay val="0"/>
        </c:title>
        <c:numFmt formatCode="General" sourceLinked="1"/>
        <c:majorTickMark val="out"/>
        <c:minorTickMark val="none"/>
        <c:tickLblPos val="nextTo"/>
        <c:crossAx val="770756992"/>
        <c:crosses val="autoZero"/>
        <c:auto val="1"/>
        <c:lblAlgn val="ctr"/>
        <c:lblOffset val="100"/>
        <c:noMultiLvlLbl val="0"/>
      </c:catAx>
      <c:valAx>
        <c:axId val="770756992"/>
        <c:scaling>
          <c:orientation val="minMax"/>
          <c:max val="100"/>
        </c:scaling>
        <c:delete val="0"/>
        <c:axPos val="l"/>
        <c:majorGridlines/>
        <c:title>
          <c:tx>
            <c:rich>
              <a:bodyPr rot="-5400000" vert="horz"/>
              <a:lstStyle/>
              <a:p>
                <a:pPr>
                  <a:defRPr/>
                </a:pPr>
                <a:r>
                  <a:rPr lang="en-US" sz="1100"/>
                  <a:t>Mean Score</a:t>
                </a:r>
              </a:p>
            </c:rich>
          </c:tx>
          <c:overlay val="0"/>
        </c:title>
        <c:numFmt formatCode="0" sourceLinked="0"/>
        <c:majorTickMark val="out"/>
        <c:minorTickMark val="none"/>
        <c:tickLblPos val="nextTo"/>
        <c:crossAx val="770754816"/>
        <c:crosses val="autoZero"/>
        <c:crossBetween val="between"/>
      </c:valAx>
    </c:plotArea>
    <c:legend>
      <c:legendPos val="r"/>
      <c:layout>
        <c:manualLayout>
          <c:xMode val="edge"/>
          <c:yMode val="edge"/>
          <c:x val="0.12615757223209054"/>
          <c:y val="1.8604452206337874E-2"/>
          <c:w val="0.73696642248370525"/>
          <c:h val="6.6784156216234999E-2"/>
        </c:manualLayout>
      </c:layout>
      <c:overlay val="0"/>
      <c:spPr>
        <a:solidFill>
          <a:schemeClr val="bg1"/>
        </a:solidFill>
      </c:sp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99981288708984"/>
          <c:y val="2.9879901452820729E-2"/>
          <c:w val="0.84708384529504588"/>
          <c:h val="0.8233850995408204"/>
        </c:manualLayout>
      </c:layout>
      <c:barChart>
        <c:barDir val="col"/>
        <c:grouping val="stacked"/>
        <c:varyColors val="0"/>
        <c:ser>
          <c:idx val="0"/>
          <c:order val="0"/>
          <c:tx>
            <c:strRef>
              <c:f>Sheet1!$C$25</c:f>
              <c:strCache>
                <c:ptCount val="1"/>
                <c:pt idx="0">
                  <c:v>New clients</c:v>
                </c:pt>
              </c:strCache>
            </c:strRef>
          </c:tx>
          <c:spPr>
            <a:solidFill>
              <a:schemeClr val="accent1">
                <a:lumMod val="40000"/>
                <a:lumOff val="60000"/>
              </a:schemeClr>
            </a:solidFill>
          </c:spPr>
          <c:invertIfNegative val="0"/>
          <c:cat>
            <c:strRef>
              <c:f>Sheet1!$D$23:$J$23</c:f>
              <c:strCache>
                <c:ptCount val="7"/>
                <c:pt idx="0">
                  <c:v>2006/07</c:v>
                </c:pt>
                <c:pt idx="1">
                  <c:v>2007/08</c:v>
                </c:pt>
                <c:pt idx="2">
                  <c:v>2008/09</c:v>
                </c:pt>
                <c:pt idx="3">
                  <c:v>2009/10</c:v>
                </c:pt>
                <c:pt idx="4">
                  <c:v>2010/11</c:v>
                </c:pt>
                <c:pt idx="5">
                  <c:v>2011/12</c:v>
                </c:pt>
                <c:pt idx="6">
                  <c:v>2012/13</c:v>
                </c:pt>
              </c:strCache>
            </c:strRef>
          </c:cat>
          <c:val>
            <c:numRef>
              <c:f>Sheet1!$D$25:$J$25</c:f>
              <c:numCache>
                <c:formatCode>General</c:formatCode>
                <c:ptCount val="7"/>
                <c:pt idx="0">
                  <c:v>3775</c:v>
                </c:pt>
                <c:pt idx="1">
                  <c:v>4027</c:v>
                </c:pt>
                <c:pt idx="2">
                  <c:v>7552</c:v>
                </c:pt>
                <c:pt idx="3">
                  <c:v>10498</c:v>
                </c:pt>
                <c:pt idx="4">
                  <c:v>9111</c:v>
                </c:pt>
                <c:pt idx="5">
                  <c:v>9003</c:v>
                </c:pt>
                <c:pt idx="6">
                  <c:v>9263</c:v>
                </c:pt>
              </c:numCache>
            </c:numRef>
          </c:val>
        </c:ser>
        <c:ser>
          <c:idx val="1"/>
          <c:order val="1"/>
          <c:tx>
            <c:strRef>
              <c:f>Sheet1!$C$26</c:f>
              <c:strCache>
                <c:ptCount val="1"/>
                <c:pt idx="0">
                  <c:v>Existing clients</c:v>
                </c:pt>
              </c:strCache>
            </c:strRef>
          </c:tx>
          <c:spPr>
            <a:solidFill>
              <a:schemeClr val="accent1">
                <a:lumMod val="75000"/>
              </a:schemeClr>
            </a:solidFill>
          </c:spPr>
          <c:invertIfNegative val="0"/>
          <c:cat>
            <c:strRef>
              <c:f>Sheet1!$D$23:$J$23</c:f>
              <c:strCache>
                <c:ptCount val="7"/>
                <c:pt idx="0">
                  <c:v>2006/07</c:v>
                </c:pt>
                <c:pt idx="1">
                  <c:v>2007/08</c:v>
                </c:pt>
                <c:pt idx="2">
                  <c:v>2008/09</c:v>
                </c:pt>
                <c:pt idx="3">
                  <c:v>2009/10</c:v>
                </c:pt>
                <c:pt idx="4">
                  <c:v>2010/11</c:v>
                </c:pt>
                <c:pt idx="5">
                  <c:v>2011/12</c:v>
                </c:pt>
                <c:pt idx="6">
                  <c:v>2012/13</c:v>
                </c:pt>
              </c:strCache>
            </c:strRef>
          </c:cat>
          <c:val>
            <c:numRef>
              <c:f>Sheet1!$D$26:$J$26</c:f>
              <c:numCache>
                <c:formatCode>General</c:formatCode>
                <c:ptCount val="7"/>
                <c:pt idx="0">
                  <c:v>1520</c:v>
                </c:pt>
                <c:pt idx="1">
                  <c:v>1683</c:v>
                </c:pt>
                <c:pt idx="2">
                  <c:v>2191</c:v>
                </c:pt>
                <c:pt idx="3">
                  <c:v>2746</c:v>
                </c:pt>
                <c:pt idx="4">
                  <c:v>2979</c:v>
                </c:pt>
                <c:pt idx="5">
                  <c:v>2844</c:v>
                </c:pt>
                <c:pt idx="6">
                  <c:v>3175</c:v>
                </c:pt>
              </c:numCache>
            </c:numRef>
          </c:val>
        </c:ser>
        <c:dLbls>
          <c:showLegendKey val="0"/>
          <c:showVal val="0"/>
          <c:showCatName val="0"/>
          <c:showSerName val="0"/>
          <c:showPercent val="0"/>
          <c:showBubbleSize val="0"/>
        </c:dLbls>
        <c:gapWidth val="150"/>
        <c:overlap val="100"/>
        <c:axId val="702953728"/>
        <c:axId val="768119168"/>
      </c:barChart>
      <c:catAx>
        <c:axId val="702953728"/>
        <c:scaling>
          <c:orientation val="minMax"/>
        </c:scaling>
        <c:delete val="0"/>
        <c:axPos val="b"/>
        <c:title>
          <c:tx>
            <c:rich>
              <a:bodyPr/>
              <a:lstStyle/>
              <a:p>
                <a:pPr>
                  <a:defRPr/>
                </a:pPr>
                <a:r>
                  <a:rPr lang="en-NZ" sz="1100"/>
                  <a:t>Year</a:t>
                </a:r>
                <a:endParaRPr lang="en-NZ"/>
              </a:p>
            </c:rich>
          </c:tx>
          <c:layout>
            <c:manualLayout>
              <c:xMode val="edge"/>
              <c:yMode val="edge"/>
              <c:x val="0.52609467735051685"/>
              <c:y val="0.93556860755553728"/>
            </c:manualLayout>
          </c:layout>
          <c:overlay val="0"/>
        </c:title>
        <c:numFmt formatCode="General" sourceLinked="1"/>
        <c:majorTickMark val="out"/>
        <c:minorTickMark val="none"/>
        <c:tickLblPos val="nextTo"/>
        <c:txPr>
          <a:bodyPr rot="0" vert="horz"/>
          <a:lstStyle/>
          <a:p>
            <a:pPr>
              <a:defRPr/>
            </a:pPr>
            <a:endParaRPr lang="en-US"/>
          </a:p>
        </c:txPr>
        <c:crossAx val="768119168"/>
        <c:crosses val="autoZero"/>
        <c:auto val="1"/>
        <c:lblAlgn val="ctr"/>
        <c:lblOffset val="100"/>
        <c:noMultiLvlLbl val="0"/>
      </c:catAx>
      <c:valAx>
        <c:axId val="768119168"/>
        <c:scaling>
          <c:orientation val="minMax"/>
        </c:scaling>
        <c:delete val="0"/>
        <c:axPos val="l"/>
        <c:majorGridlines/>
        <c:title>
          <c:tx>
            <c:rich>
              <a:bodyPr rot="-5400000" vert="horz"/>
              <a:lstStyle/>
              <a:p>
                <a:pPr>
                  <a:defRPr/>
                </a:pPr>
                <a:r>
                  <a:rPr lang="en-US" sz="1100"/>
                  <a:t>Number</a:t>
                </a:r>
                <a:r>
                  <a:rPr lang="en-US" sz="1100" baseline="0"/>
                  <a:t> of clients per year</a:t>
                </a:r>
                <a:endParaRPr lang="en-US" sz="1100"/>
              </a:p>
            </c:rich>
          </c:tx>
          <c:layout>
            <c:manualLayout>
              <c:xMode val="edge"/>
              <c:yMode val="edge"/>
              <c:x val="4.2672435684392189E-3"/>
              <c:y val="0.19080753151382784"/>
            </c:manualLayout>
          </c:layout>
          <c:overlay val="0"/>
        </c:title>
        <c:numFmt formatCode="#,##0" sourceLinked="0"/>
        <c:majorTickMark val="out"/>
        <c:minorTickMark val="none"/>
        <c:tickLblPos val="nextTo"/>
        <c:crossAx val="702953728"/>
        <c:crosses val="autoZero"/>
        <c:crossBetween val="between"/>
      </c:valAx>
    </c:plotArea>
    <c:legend>
      <c:legendPos val="r"/>
      <c:layout>
        <c:manualLayout>
          <c:xMode val="edge"/>
          <c:yMode val="edge"/>
          <c:x val="0.14495690611476081"/>
          <c:y val="4.4287492446346284E-2"/>
          <c:w val="0.21415072568623661"/>
          <c:h val="0.14260433614461515"/>
        </c:manualLayout>
      </c:layout>
      <c:overlay val="0"/>
      <c:spPr>
        <a:solidFill>
          <a:schemeClr val="bg1"/>
        </a:solidFill>
      </c:sp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97314398200225"/>
          <c:y val="5.1400554097404488E-2"/>
          <c:w val="0.85355877390326218"/>
          <c:h val="0.75600592310621006"/>
        </c:manualLayout>
      </c:layout>
      <c:barChart>
        <c:barDir val="col"/>
        <c:grouping val="clustered"/>
        <c:varyColors val="0"/>
        <c:ser>
          <c:idx val="0"/>
          <c:order val="0"/>
          <c:tx>
            <c:strRef>
              <c:f>'CPGI by Health status'!$P$24</c:f>
              <c:strCache>
                <c:ptCount val="1"/>
                <c:pt idx="0">
                  <c:v>Fair or poor general health</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c:v>
                </c:pt>
                <c:pt idx="1">
                  <c:v>1</c:v>
                </c:pt>
                <c:pt idx="2">
                  <c:v>4.7</c:v>
                </c:pt>
                <c:pt idx="3">
                  <c:v>8.5</c:v>
                </c:pt>
              </c:numLit>
            </c:plus>
            <c:minus>
              <c:numLit>
                <c:formatCode>General</c:formatCode>
                <c:ptCount val="4"/>
                <c:pt idx="0">
                  <c:v>1</c:v>
                </c:pt>
                <c:pt idx="1">
                  <c:v>1</c:v>
                </c:pt>
                <c:pt idx="2">
                  <c:v>4.7</c:v>
                </c:pt>
                <c:pt idx="3">
                  <c:v>8.5</c:v>
                </c:pt>
              </c:numLit>
            </c:minus>
          </c:errBars>
          <c:cat>
            <c:strRef>
              <c:f>'CPGI by Health status'!$O$25:$O$28</c:f>
              <c:strCache>
                <c:ptCount val="4"/>
                <c:pt idx="0">
                  <c:v>Non-gambler</c:v>
                </c:pt>
                <c:pt idx="1">
                  <c:v>Non-problem / recreational</c:v>
                </c:pt>
                <c:pt idx="2">
                  <c:v>Low-risk</c:v>
                </c:pt>
                <c:pt idx="3">
                  <c:v>Moderate-risk / problem </c:v>
                </c:pt>
              </c:strCache>
            </c:strRef>
          </c:cat>
          <c:val>
            <c:numRef>
              <c:f>'CPGI by Health status'!$P$25:$P$28</c:f>
              <c:numCache>
                <c:formatCode>0.00</c:formatCode>
                <c:ptCount val="4"/>
                <c:pt idx="0">
                  <c:v>10.6332</c:v>
                </c:pt>
                <c:pt idx="1">
                  <c:v>10.210000000000001</c:v>
                </c:pt>
                <c:pt idx="2">
                  <c:v>14.5526</c:v>
                </c:pt>
                <c:pt idx="3">
                  <c:v>26.966200000000001</c:v>
                </c:pt>
              </c:numCache>
            </c:numRef>
          </c:val>
        </c:ser>
        <c:dLbls>
          <c:showLegendKey val="0"/>
          <c:showVal val="0"/>
          <c:showCatName val="0"/>
          <c:showSerName val="0"/>
          <c:showPercent val="0"/>
          <c:showBubbleSize val="0"/>
        </c:dLbls>
        <c:gapWidth val="150"/>
        <c:axId val="829150336"/>
        <c:axId val="829152256"/>
      </c:barChart>
      <c:catAx>
        <c:axId val="829150336"/>
        <c:scaling>
          <c:orientation val="minMax"/>
        </c:scaling>
        <c:delete val="0"/>
        <c:axPos val="b"/>
        <c:title>
          <c:tx>
            <c:rich>
              <a:bodyPr/>
              <a:lstStyle/>
              <a:p>
                <a:pPr>
                  <a:defRPr/>
                </a:pPr>
                <a:r>
                  <a:rPr lang="en-US" baseline="0"/>
                  <a:t>Gambling Status</a:t>
                </a:r>
              </a:p>
            </c:rich>
          </c:tx>
          <c:layout>
            <c:manualLayout>
              <c:xMode val="edge"/>
              <c:yMode val="edge"/>
              <c:x val="0.40637717559272885"/>
              <c:y val="0.93252700523594967"/>
            </c:manualLayout>
          </c:layout>
          <c:overlay val="0"/>
        </c:title>
        <c:numFmt formatCode="General" sourceLinked="1"/>
        <c:majorTickMark val="out"/>
        <c:minorTickMark val="none"/>
        <c:tickLblPos val="nextTo"/>
        <c:txPr>
          <a:bodyPr/>
          <a:lstStyle/>
          <a:p>
            <a:pPr>
              <a:defRPr sz="800"/>
            </a:pPr>
            <a:endParaRPr lang="en-US"/>
          </a:p>
        </c:txPr>
        <c:crossAx val="829152256"/>
        <c:crosses val="autoZero"/>
        <c:auto val="1"/>
        <c:lblAlgn val="ctr"/>
        <c:lblOffset val="100"/>
        <c:noMultiLvlLbl val="0"/>
      </c:catAx>
      <c:valAx>
        <c:axId val="829152256"/>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8.8486595425571798E-3"/>
              <c:y val="0.33475970676079286"/>
            </c:manualLayout>
          </c:layout>
          <c:overlay val="0"/>
        </c:title>
        <c:numFmt formatCode="0" sourceLinked="0"/>
        <c:majorTickMark val="out"/>
        <c:minorTickMark val="none"/>
        <c:tickLblPos val="nextTo"/>
        <c:crossAx val="829150336"/>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03037478976128"/>
          <c:y val="5.1400554097404488E-2"/>
          <c:w val="0.82522661709534506"/>
          <c:h val="0.75593764924022677"/>
        </c:manualLayout>
      </c:layout>
      <c:barChart>
        <c:barDir val="col"/>
        <c:grouping val="clustered"/>
        <c:varyColors val="0"/>
        <c:ser>
          <c:idx val="0"/>
          <c:order val="0"/>
          <c:tx>
            <c:strRef>
              <c:f>'CPGI by Health status'!$Y$24</c:f>
              <c:strCache>
                <c:ptCount val="1"/>
                <c:pt idx="0">
                  <c:v>High/very high probability of anxiety or depression</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0.8</c:v>
                </c:pt>
                <c:pt idx="1">
                  <c:v>0.7</c:v>
                </c:pt>
                <c:pt idx="2">
                  <c:v>4.2</c:v>
                </c:pt>
                <c:pt idx="3">
                  <c:v>9.1999999999999993</c:v>
                </c:pt>
              </c:numLit>
            </c:plus>
            <c:minus>
              <c:numLit>
                <c:formatCode>General</c:formatCode>
                <c:ptCount val="4"/>
                <c:pt idx="0">
                  <c:v>0.8</c:v>
                </c:pt>
                <c:pt idx="1">
                  <c:v>0.7</c:v>
                </c:pt>
                <c:pt idx="2">
                  <c:v>4.2</c:v>
                </c:pt>
                <c:pt idx="3">
                  <c:v>9.1999999999999993</c:v>
                </c:pt>
              </c:numLit>
            </c:minus>
          </c:errBars>
          <c:cat>
            <c:strRef>
              <c:f>'CPGI by Health status'!$W$25:$X$28</c:f>
              <c:strCache>
                <c:ptCount val="4"/>
                <c:pt idx="0">
                  <c:v>Non-gambler</c:v>
                </c:pt>
                <c:pt idx="1">
                  <c:v>Non-problem / recreational</c:v>
                </c:pt>
                <c:pt idx="2">
                  <c:v>Low-risk</c:v>
                </c:pt>
                <c:pt idx="3">
                  <c:v>Moderate-risk / problem </c:v>
                </c:pt>
              </c:strCache>
            </c:strRef>
          </c:cat>
          <c:val>
            <c:numRef>
              <c:f>'CPGI by Health status'!$Y$25:$Y$28</c:f>
              <c:numCache>
                <c:formatCode>0.00</c:formatCode>
                <c:ptCount val="4"/>
                <c:pt idx="0">
                  <c:v>5.7972999999999999</c:v>
                </c:pt>
                <c:pt idx="1">
                  <c:v>4.5567000000000002</c:v>
                </c:pt>
                <c:pt idx="2">
                  <c:v>11.6839</c:v>
                </c:pt>
                <c:pt idx="3">
                  <c:v>19.002300000000002</c:v>
                </c:pt>
              </c:numCache>
            </c:numRef>
          </c:val>
        </c:ser>
        <c:dLbls>
          <c:showLegendKey val="0"/>
          <c:showVal val="0"/>
          <c:showCatName val="0"/>
          <c:showSerName val="0"/>
          <c:showPercent val="0"/>
          <c:showBubbleSize val="0"/>
        </c:dLbls>
        <c:gapWidth val="150"/>
        <c:axId val="829111296"/>
        <c:axId val="832046208"/>
      </c:barChart>
      <c:catAx>
        <c:axId val="829111296"/>
        <c:scaling>
          <c:orientation val="minMax"/>
        </c:scaling>
        <c:delete val="0"/>
        <c:axPos val="b"/>
        <c:title>
          <c:tx>
            <c:rich>
              <a:bodyPr/>
              <a:lstStyle/>
              <a:p>
                <a:pPr>
                  <a:defRPr/>
                </a:pPr>
                <a:r>
                  <a:rPr lang="en-US" baseline="0"/>
                  <a:t>Gambling Status</a:t>
                </a:r>
              </a:p>
            </c:rich>
          </c:tx>
          <c:layout>
            <c:manualLayout>
              <c:xMode val="edge"/>
              <c:yMode val="edge"/>
              <c:x val="0.42763063430027087"/>
              <c:y val="0.93252700523594967"/>
            </c:manualLayout>
          </c:layout>
          <c:overlay val="0"/>
        </c:title>
        <c:numFmt formatCode="General" sourceLinked="1"/>
        <c:majorTickMark val="out"/>
        <c:minorTickMark val="none"/>
        <c:tickLblPos val="nextTo"/>
        <c:txPr>
          <a:bodyPr/>
          <a:lstStyle/>
          <a:p>
            <a:pPr>
              <a:defRPr sz="800"/>
            </a:pPr>
            <a:endParaRPr lang="en-US"/>
          </a:p>
        </c:txPr>
        <c:crossAx val="832046208"/>
        <c:crosses val="autoZero"/>
        <c:auto val="1"/>
        <c:lblAlgn val="ctr"/>
        <c:lblOffset val="100"/>
        <c:noMultiLvlLbl val="0"/>
      </c:catAx>
      <c:valAx>
        <c:axId val="832046208"/>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2.2555509945143114E-2"/>
              <c:y val="0.33788031496062992"/>
            </c:manualLayout>
          </c:layout>
          <c:overlay val="0"/>
        </c:title>
        <c:numFmt formatCode="0" sourceLinked="0"/>
        <c:majorTickMark val="out"/>
        <c:minorTickMark val="none"/>
        <c:tickLblPos val="nextTo"/>
        <c:crossAx val="829111296"/>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5283482154927"/>
          <c:y val="5.1400554097404488E-2"/>
          <c:w val="0.85607311097529981"/>
          <c:h val="0.77010617347655264"/>
        </c:manualLayout>
      </c:layout>
      <c:barChart>
        <c:barDir val="col"/>
        <c:grouping val="clustered"/>
        <c:varyColors val="0"/>
        <c:ser>
          <c:idx val="0"/>
          <c:order val="0"/>
          <c:tx>
            <c:strRef>
              <c:f>'CPGI by Health status'!$R$144</c:f>
              <c:strCache>
                <c:ptCount val="1"/>
                <c:pt idx="0">
                  <c:v>Any common mental disorder</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1.2</c:v>
                </c:pt>
                <c:pt idx="1">
                  <c:v>1.2</c:v>
                </c:pt>
                <c:pt idx="2">
                  <c:v>6.2</c:v>
                </c:pt>
                <c:pt idx="3">
                  <c:v>9.3000000000000007</c:v>
                </c:pt>
              </c:numLit>
            </c:plus>
            <c:minus>
              <c:numLit>
                <c:formatCode>General</c:formatCode>
                <c:ptCount val="4"/>
                <c:pt idx="0">
                  <c:v>1.2</c:v>
                </c:pt>
                <c:pt idx="1">
                  <c:v>1.2</c:v>
                </c:pt>
                <c:pt idx="2">
                  <c:v>6.2</c:v>
                </c:pt>
                <c:pt idx="3">
                  <c:v>9.3000000000000007</c:v>
                </c:pt>
              </c:numLit>
            </c:minus>
          </c:errBars>
          <c:cat>
            <c:strRef>
              <c:f>'CPGI by Health status'!$Q$145:$Q$148</c:f>
              <c:strCache>
                <c:ptCount val="4"/>
                <c:pt idx="0">
                  <c:v>Non-gambler</c:v>
                </c:pt>
                <c:pt idx="1">
                  <c:v>Non-problem / recreational</c:v>
                </c:pt>
                <c:pt idx="2">
                  <c:v>Low-risk</c:v>
                </c:pt>
                <c:pt idx="3">
                  <c:v>Moderate-risk / problem </c:v>
                </c:pt>
              </c:strCache>
            </c:strRef>
          </c:cat>
          <c:val>
            <c:numRef>
              <c:f>'CPGI by Health status'!$R$145:$R$148</c:f>
              <c:numCache>
                <c:formatCode>General</c:formatCode>
                <c:ptCount val="4"/>
                <c:pt idx="0">
                  <c:v>15.721399999999999</c:v>
                </c:pt>
                <c:pt idx="1">
                  <c:v>16.1815</c:v>
                </c:pt>
                <c:pt idx="2">
                  <c:v>18.5319</c:v>
                </c:pt>
                <c:pt idx="3">
                  <c:v>30.7578</c:v>
                </c:pt>
              </c:numCache>
            </c:numRef>
          </c:val>
        </c:ser>
        <c:ser>
          <c:idx val="1"/>
          <c:order val="1"/>
          <c:tx>
            <c:strRef>
              <c:f>'CPGI by Health status'!$S$144</c:f>
              <c:strCache>
                <c:ptCount val="1"/>
                <c:pt idx="0">
                  <c:v>Depression</c:v>
                </c:pt>
              </c:strCache>
            </c:strRef>
          </c:tx>
          <c:spPr>
            <a:solidFill>
              <a:schemeClr val="accent5">
                <a:lumMod val="60000"/>
                <a:lumOff val="40000"/>
              </a:schemeClr>
            </a:solidFill>
          </c:spPr>
          <c:invertIfNegative val="0"/>
          <c:errBars>
            <c:errBarType val="both"/>
            <c:errValType val="cust"/>
            <c:noEndCap val="0"/>
            <c:plus>
              <c:numLit>
                <c:formatCode>General</c:formatCode>
                <c:ptCount val="4"/>
                <c:pt idx="0">
                  <c:v>1.2</c:v>
                </c:pt>
                <c:pt idx="1">
                  <c:v>1.1000000000000001</c:v>
                </c:pt>
                <c:pt idx="2">
                  <c:v>4.9000000000000004</c:v>
                </c:pt>
                <c:pt idx="3">
                  <c:v>9.1999999999999993</c:v>
                </c:pt>
              </c:numLit>
            </c:plus>
            <c:minus>
              <c:numLit>
                <c:formatCode>General</c:formatCode>
                <c:ptCount val="4"/>
                <c:pt idx="0">
                  <c:v>1.2</c:v>
                </c:pt>
                <c:pt idx="1">
                  <c:v>1.1000000000000001</c:v>
                </c:pt>
                <c:pt idx="2">
                  <c:v>4.9000000000000004</c:v>
                </c:pt>
                <c:pt idx="3">
                  <c:v>9.1999999999999993</c:v>
                </c:pt>
              </c:numLit>
            </c:minus>
          </c:errBars>
          <c:cat>
            <c:strRef>
              <c:f>'CPGI by Health status'!$Q$145:$Q$148</c:f>
              <c:strCache>
                <c:ptCount val="4"/>
                <c:pt idx="0">
                  <c:v>Non-gambler</c:v>
                </c:pt>
                <c:pt idx="1">
                  <c:v>Non-problem / recreational</c:v>
                </c:pt>
                <c:pt idx="2">
                  <c:v>Low-risk</c:v>
                </c:pt>
                <c:pt idx="3">
                  <c:v>Moderate-risk / problem </c:v>
                </c:pt>
              </c:strCache>
            </c:strRef>
          </c:cat>
          <c:val>
            <c:numRef>
              <c:f>'CPGI by Health status'!$S$145:$S$148</c:f>
              <c:numCache>
                <c:formatCode>General</c:formatCode>
                <c:ptCount val="4"/>
                <c:pt idx="0">
                  <c:v>13.9039</c:v>
                </c:pt>
                <c:pt idx="1">
                  <c:v>14.126099999999999</c:v>
                </c:pt>
                <c:pt idx="2">
                  <c:v>14.9306</c:v>
                </c:pt>
                <c:pt idx="3">
                  <c:v>29.538699999999999</c:v>
                </c:pt>
              </c:numCache>
            </c:numRef>
          </c:val>
        </c:ser>
        <c:dLbls>
          <c:showLegendKey val="0"/>
          <c:showVal val="0"/>
          <c:showCatName val="0"/>
          <c:showSerName val="0"/>
          <c:showPercent val="0"/>
          <c:showBubbleSize val="0"/>
        </c:dLbls>
        <c:gapWidth val="150"/>
        <c:axId val="835463424"/>
        <c:axId val="835502464"/>
      </c:barChart>
      <c:catAx>
        <c:axId val="835463424"/>
        <c:scaling>
          <c:orientation val="minMax"/>
        </c:scaling>
        <c:delete val="0"/>
        <c:axPos val="b"/>
        <c:title>
          <c:tx>
            <c:rich>
              <a:bodyPr/>
              <a:lstStyle/>
              <a:p>
                <a:pPr>
                  <a:defRPr/>
                </a:pPr>
                <a:r>
                  <a:rPr lang="en-US" baseline="0"/>
                  <a:t>Gambling Status</a:t>
                </a:r>
              </a:p>
            </c:rich>
          </c:tx>
          <c:layout>
            <c:manualLayout>
              <c:xMode val="edge"/>
              <c:yMode val="edge"/>
              <c:x val="0.44888402312803882"/>
              <c:y val="0.92716557865433769"/>
            </c:manualLayout>
          </c:layout>
          <c:overlay val="0"/>
        </c:title>
        <c:numFmt formatCode="General" sourceLinked="1"/>
        <c:majorTickMark val="out"/>
        <c:minorTickMark val="none"/>
        <c:tickLblPos val="nextTo"/>
        <c:txPr>
          <a:bodyPr/>
          <a:lstStyle/>
          <a:p>
            <a:pPr>
              <a:defRPr sz="800"/>
            </a:pPr>
            <a:endParaRPr lang="en-US"/>
          </a:p>
        </c:txPr>
        <c:crossAx val="835502464"/>
        <c:crosses val="autoZero"/>
        <c:auto val="1"/>
        <c:lblAlgn val="ctr"/>
        <c:lblOffset val="100"/>
        <c:noMultiLvlLbl val="0"/>
      </c:catAx>
      <c:valAx>
        <c:axId val="835502464"/>
        <c:scaling>
          <c:orientation val="minMax"/>
          <c:max val="5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5463424"/>
        <c:crosses val="autoZero"/>
        <c:crossBetween val="between"/>
      </c:valAx>
    </c:plotArea>
    <c:legend>
      <c:legendPos val="r"/>
      <c:layout>
        <c:manualLayout>
          <c:xMode val="edge"/>
          <c:yMode val="edge"/>
          <c:x val="0.59208558789040755"/>
          <c:y val="3.4129661623072731E-2"/>
          <c:w val="0.40520073346996011"/>
          <c:h val="0.12947893033221758"/>
        </c:manualLayout>
      </c:layout>
      <c:overlay val="1"/>
      <c:spPr>
        <a:solidFill>
          <a:schemeClr val="bg1"/>
        </a:solidFill>
      </c:spPr>
      <c:txPr>
        <a:bodyPr/>
        <a:lstStyle/>
        <a:p>
          <a:pPr>
            <a:defRPr sz="900"/>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5283482154927"/>
          <c:y val="5.1400554097404488E-2"/>
          <c:w val="0.85607311097529981"/>
          <c:h val="0.75377216337166475"/>
        </c:manualLayout>
      </c:layout>
      <c:barChart>
        <c:barDir val="col"/>
        <c:grouping val="clustered"/>
        <c:varyColors val="0"/>
        <c:ser>
          <c:idx val="0"/>
          <c:order val="0"/>
          <c:tx>
            <c:strRef>
              <c:f>'CPGI by Health services'!$T$48</c:f>
              <c:strCache>
                <c:ptCount val="1"/>
                <c:pt idx="0">
                  <c:v>Seen a GP</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1.5</c:v>
                </c:pt>
                <c:pt idx="1">
                  <c:v>1.4</c:v>
                </c:pt>
                <c:pt idx="2">
                  <c:v>6.4</c:v>
                </c:pt>
                <c:pt idx="3">
                  <c:v>6.4</c:v>
                </c:pt>
              </c:numLit>
            </c:plus>
            <c:minus>
              <c:numLit>
                <c:formatCode>General</c:formatCode>
                <c:ptCount val="4"/>
                <c:pt idx="0">
                  <c:v>1.5</c:v>
                </c:pt>
                <c:pt idx="1">
                  <c:v>1.4</c:v>
                </c:pt>
                <c:pt idx="2">
                  <c:v>6.4</c:v>
                </c:pt>
                <c:pt idx="3">
                  <c:v>6.4</c:v>
                </c:pt>
              </c:numLit>
            </c:minus>
          </c:errBars>
          <c:cat>
            <c:strRef>
              <c:f>'CPGI by Health services'!$S$49:$S$52</c:f>
              <c:strCache>
                <c:ptCount val="4"/>
                <c:pt idx="0">
                  <c:v>Non-gambler</c:v>
                </c:pt>
                <c:pt idx="1">
                  <c:v>Non-problem / recreational</c:v>
                </c:pt>
                <c:pt idx="2">
                  <c:v>Low-risk</c:v>
                </c:pt>
                <c:pt idx="3">
                  <c:v>Moderate-risk / problem </c:v>
                </c:pt>
              </c:strCache>
            </c:strRef>
          </c:cat>
          <c:val>
            <c:numRef>
              <c:f>'CPGI by Health services'!$T$49:$T$52</c:f>
              <c:numCache>
                <c:formatCode>General</c:formatCode>
                <c:ptCount val="4"/>
                <c:pt idx="0">
                  <c:v>75.642399999999995</c:v>
                </c:pt>
                <c:pt idx="1">
                  <c:v>81.175399999999996</c:v>
                </c:pt>
                <c:pt idx="2">
                  <c:v>77.803100000000001</c:v>
                </c:pt>
                <c:pt idx="3">
                  <c:v>84.628500000000003</c:v>
                </c:pt>
              </c:numCache>
            </c:numRef>
          </c:val>
        </c:ser>
        <c:dLbls>
          <c:showLegendKey val="0"/>
          <c:showVal val="0"/>
          <c:showCatName val="0"/>
          <c:showSerName val="0"/>
          <c:showPercent val="0"/>
          <c:showBubbleSize val="0"/>
        </c:dLbls>
        <c:gapWidth val="150"/>
        <c:axId val="832701184"/>
        <c:axId val="832703104"/>
      </c:barChart>
      <c:catAx>
        <c:axId val="832701184"/>
        <c:scaling>
          <c:orientation val="minMax"/>
        </c:scaling>
        <c:delete val="0"/>
        <c:axPos val="b"/>
        <c:title>
          <c:tx>
            <c:rich>
              <a:bodyPr/>
              <a:lstStyle/>
              <a:p>
                <a:pPr>
                  <a:defRPr/>
                </a:pPr>
                <a:r>
                  <a:rPr lang="en-US" baseline="0"/>
                  <a:t>Gambling Status</a:t>
                </a:r>
              </a:p>
            </c:rich>
          </c:tx>
          <c:layout>
            <c:manualLayout>
              <c:xMode val="edge"/>
              <c:yMode val="edge"/>
              <c:x val="0.44888402312803882"/>
              <c:y val="0.92716557865433769"/>
            </c:manualLayout>
          </c:layout>
          <c:overlay val="0"/>
        </c:title>
        <c:numFmt formatCode="General" sourceLinked="1"/>
        <c:majorTickMark val="out"/>
        <c:minorTickMark val="none"/>
        <c:tickLblPos val="nextTo"/>
        <c:txPr>
          <a:bodyPr/>
          <a:lstStyle/>
          <a:p>
            <a:pPr>
              <a:defRPr sz="800"/>
            </a:pPr>
            <a:endParaRPr lang="en-US"/>
          </a:p>
        </c:txPr>
        <c:crossAx val="832703104"/>
        <c:crosses val="autoZero"/>
        <c:auto val="1"/>
        <c:lblAlgn val="ctr"/>
        <c:lblOffset val="100"/>
        <c:noMultiLvlLbl val="0"/>
      </c:catAx>
      <c:valAx>
        <c:axId val="832703104"/>
        <c:scaling>
          <c:orientation val="minMax"/>
          <c:max val="100"/>
          <c:min val="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2701184"/>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5283482154927"/>
          <c:y val="5.1400554097404488E-2"/>
          <c:w val="0.85607311097529981"/>
          <c:h val="0.72379641144075313"/>
        </c:manualLayout>
      </c:layout>
      <c:barChart>
        <c:barDir val="col"/>
        <c:grouping val="clustered"/>
        <c:varyColors val="0"/>
        <c:ser>
          <c:idx val="0"/>
          <c:order val="0"/>
          <c:tx>
            <c:strRef>
              <c:f>'CPGI by Health services'!$V$87</c:f>
              <c:strCache>
                <c:ptCount val="1"/>
                <c:pt idx="0">
                  <c:v>Unmet health needs</c:v>
                </c:pt>
              </c:strCache>
            </c:strRef>
          </c:tx>
          <c:spPr>
            <a:solidFill>
              <a:schemeClr val="accent5">
                <a:lumMod val="75000"/>
              </a:schemeClr>
            </a:solidFill>
            <a:ln>
              <a:noFill/>
            </a:ln>
          </c:spPr>
          <c:invertIfNegative val="0"/>
          <c:errBars>
            <c:errBarType val="both"/>
            <c:errValType val="cust"/>
            <c:noEndCap val="0"/>
            <c:plus>
              <c:numLit>
                <c:formatCode>General</c:formatCode>
                <c:ptCount val="4"/>
                <c:pt idx="0">
                  <c:v>0.9</c:v>
                </c:pt>
                <c:pt idx="1">
                  <c:v>0.9</c:v>
                </c:pt>
                <c:pt idx="2">
                  <c:v>5.3</c:v>
                </c:pt>
                <c:pt idx="3">
                  <c:v>8.3000000000000007</c:v>
                </c:pt>
              </c:numLit>
            </c:plus>
            <c:minus>
              <c:numLit>
                <c:formatCode>General</c:formatCode>
                <c:ptCount val="4"/>
                <c:pt idx="0">
                  <c:v>0.9</c:v>
                </c:pt>
                <c:pt idx="1">
                  <c:v>0.9</c:v>
                </c:pt>
                <c:pt idx="2">
                  <c:v>5.3</c:v>
                </c:pt>
                <c:pt idx="3">
                  <c:v>8.3000000000000007</c:v>
                </c:pt>
              </c:numLit>
            </c:minus>
          </c:errBars>
          <c:cat>
            <c:strRef>
              <c:f>'CPGI by Health services'!$U$88:$U$91</c:f>
              <c:strCache>
                <c:ptCount val="4"/>
                <c:pt idx="0">
                  <c:v>Non-gambler</c:v>
                </c:pt>
                <c:pt idx="1">
                  <c:v>Non-problem / recreational</c:v>
                </c:pt>
                <c:pt idx="2">
                  <c:v>Low-risk</c:v>
                </c:pt>
                <c:pt idx="3">
                  <c:v>Moderate-risk / problem </c:v>
                </c:pt>
              </c:strCache>
            </c:strRef>
          </c:cat>
          <c:val>
            <c:numRef>
              <c:f>'CPGI by Health services'!$V$88:$V$91</c:f>
              <c:numCache>
                <c:formatCode>General</c:formatCode>
                <c:ptCount val="4"/>
                <c:pt idx="0">
                  <c:v>8.1</c:v>
                </c:pt>
                <c:pt idx="1">
                  <c:v>8.5</c:v>
                </c:pt>
                <c:pt idx="2">
                  <c:v>17.100000000000001</c:v>
                </c:pt>
                <c:pt idx="3">
                  <c:v>22</c:v>
                </c:pt>
              </c:numCache>
            </c:numRef>
          </c:val>
        </c:ser>
        <c:dLbls>
          <c:showLegendKey val="0"/>
          <c:showVal val="0"/>
          <c:showCatName val="0"/>
          <c:showSerName val="0"/>
          <c:showPercent val="0"/>
          <c:showBubbleSize val="0"/>
        </c:dLbls>
        <c:gapWidth val="150"/>
        <c:axId val="835557632"/>
        <c:axId val="835563904"/>
      </c:barChart>
      <c:catAx>
        <c:axId val="835557632"/>
        <c:scaling>
          <c:orientation val="minMax"/>
        </c:scaling>
        <c:delete val="0"/>
        <c:axPos val="b"/>
        <c:title>
          <c:tx>
            <c:rich>
              <a:bodyPr/>
              <a:lstStyle/>
              <a:p>
                <a:pPr>
                  <a:defRPr/>
                </a:pPr>
                <a:r>
                  <a:rPr lang="en-US" baseline="0"/>
                  <a:t>Gambling Status</a:t>
                </a:r>
              </a:p>
            </c:rich>
          </c:tx>
          <c:layout>
            <c:manualLayout>
              <c:xMode val="edge"/>
              <c:yMode val="edge"/>
              <c:x val="0.42803335916406016"/>
              <c:y val="0.91578874039694447"/>
            </c:manualLayout>
          </c:layout>
          <c:overlay val="0"/>
        </c:title>
        <c:numFmt formatCode="General" sourceLinked="1"/>
        <c:majorTickMark val="out"/>
        <c:minorTickMark val="none"/>
        <c:tickLblPos val="nextTo"/>
        <c:txPr>
          <a:bodyPr/>
          <a:lstStyle/>
          <a:p>
            <a:pPr>
              <a:defRPr sz="800"/>
            </a:pPr>
            <a:endParaRPr lang="en-US"/>
          </a:p>
        </c:txPr>
        <c:crossAx val="835563904"/>
        <c:crosses val="autoZero"/>
        <c:auto val="1"/>
        <c:lblAlgn val="ctr"/>
        <c:lblOffset val="100"/>
        <c:noMultiLvlLbl val="0"/>
      </c:catAx>
      <c:valAx>
        <c:axId val="835563904"/>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3.0747609171022862E-3"/>
              <c:y val="0.35019799329065066"/>
            </c:manualLayout>
          </c:layout>
          <c:overlay val="0"/>
        </c:title>
        <c:numFmt formatCode="0" sourceLinked="0"/>
        <c:majorTickMark val="out"/>
        <c:minorTickMark val="none"/>
        <c:tickLblPos val="nextTo"/>
        <c:crossAx val="83555763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5283482154927"/>
          <c:y val="5.1400554097404488E-2"/>
          <c:w val="0.85607311097529981"/>
          <c:h val="0.73831038742367616"/>
        </c:manualLayout>
      </c:layout>
      <c:barChart>
        <c:barDir val="col"/>
        <c:grouping val="clustered"/>
        <c:varyColors val="0"/>
        <c:ser>
          <c:idx val="1"/>
          <c:order val="0"/>
          <c:tx>
            <c:strRef>
              <c:f>'CPGI by Health services'!$W$87</c:f>
              <c:strCache>
                <c:ptCount val="1"/>
                <c:pt idx="0">
                  <c:v>Un-met health needs due to cost</c:v>
                </c:pt>
              </c:strCache>
            </c:strRef>
          </c:tx>
          <c:spPr>
            <a:solidFill>
              <a:schemeClr val="accent5">
                <a:lumMod val="75000"/>
              </a:schemeClr>
            </a:solidFill>
          </c:spPr>
          <c:invertIfNegative val="0"/>
          <c:errBars>
            <c:errBarType val="both"/>
            <c:errValType val="cust"/>
            <c:noEndCap val="0"/>
            <c:plus>
              <c:numLit>
                <c:formatCode>General</c:formatCode>
                <c:ptCount val="4"/>
                <c:pt idx="0">
                  <c:v>1.2</c:v>
                </c:pt>
                <c:pt idx="1">
                  <c:v>1.2</c:v>
                </c:pt>
                <c:pt idx="2">
                  <c:v>6.6</c:v>
                </c:pt>
                <c:pt idx="3">
                  <c:v>8.9</c:v>
                </c:pt>
              </c:numLit>
            </c:plus>
            <c:minus>
              <c:numLit>
                <c:formatCode>General</c:formatCode>
                <c:ptCount val="4"/>
                <c:pt idx="0">
                  <c:v>1.2</c:v>
                </c:pt>
                <c:pt idx="1">
                  <c:v>1.2</c:v>
                </c:pt>
                <c:pt idx="2">
                  <c:v>6.6</c:v>
                </c:pt>
                <c:pt idx="3">
                  <c:v>8.9</c:v>
                </c:pt>
              </c:numLit>
            </c:minus>
          </c:errBars>
          <c:cat>
            <c:strRef>
              <c:f>'CPGI by Health services'!$U$88:$U$91</c:f>
              <c:strCache>
                <c:ptCount val="4"/>
                <c:pt idx="0">
                  <c:v>Non-gambler</c:v>
                </c:pt>
                <c:pt idx="1">
                  <c:v>Non-problem / recreational</c:v>
                </c:pt>
                <c:pt idx="2">
                  <c:v>Low-risk</c:v>
                </c:pt>
                <c:pt idx="3">
                  <c:v>Moderate-risk / problem </c:v>
                </c:pt>
              </c:strCache>
            </c:strRef>
          </c:cat>
          <c:val>
            <c:numRef>
              <c:f>'CPGI by Health services'!$W$88:$W$91</c:f>
              <c:numCache>
                <c:formatCode>General</c:formatCode>
                <c:ptCount val="4"/>
                <c:pt idx="0">
                  <c:v>13.7</c:v>
                </c:pt>
                <c:pt idx="1">
                  <c:v>13</c:v>
                </c:pt>
                <c:pt idx="2">
                  <c:v>26.5</c:v>
                </c:pt>
                <c:pt idx="3">
                  <c:v>27</c:v>
                </c:pt>
              </c:numCache>
            </c:numRef>
          </c:val>
        </c:ser>
        <c:dLbls>
          <c:showLegendKey val="0"/>
          <c:showVal val="0"/>
          <c:showCatName val="0"/>
          <c:showSerName val="0"/>
          <c:showPercent val="0"/>
          <c:showBubbleSize val="0"/>
        </c:dLbls>
        <c:gapWidth val="150"/>
        <c:axId val="836260224"/>
        <c:axId val="836262144"/>
      </c:barChart>
      <c:catAx>
        <c:axId val="836260224"/>
        <c:scaling>
          <c:orientation val="minMax"/>
        </c:scaling>
        <c:delete val="0"/>
        <c:axPos val="b"/>
        <c:title>
          <c:tx>
            <c:rich>
              <a:bodyPr/>
              <a:lstStyle/>
              <a:p>
                <a:pPr>
                  <a:defRPr/>
                </a:pPr>
                <a:r>
                  <a:rPr lang="en-US" baseline="0"/>
                  <a:t>Gambling Status</a:t>
                </a:r>
              </a:p>
            </c:rich>
          </c:tx>
          <c:layout>
            <c:manualLayout>
              <c:xMode val="edge"/>
              <c:yMode val="edge"/>
              <c:x val="0.42207603052403853"/>
              <c:y val="0.91590133091770609"/>
            </c:manualLayout>
          </c:layout>
          <c:overlay val="0"/>
        </c:title>
        <c:numFmt formatCode="General" sourceLinked="1"/>
        <c:majorTickMark val="out"/>
        <c:minorTickMark val="none"/>
        <c:tickLblPos val="nextTo"/>
        <c:txPr>
          <a:bodyPr/>
          <a:lstStyle/>
          <a:p>
            <a:pPr>
              <a:defRPr sz="800"/>
            </a:pPr>
            <a:endParaRPr lang="en-US"/>
          </a:p>
        </c:txPr>
        <c:crossAx val="836262144"/>
        <c:crosses val="autoZero"/>
        <c:auto val="1"/>
        <c:lblAlgn val="ctr"/>
        <c:lblOffset val="100"/>
        <c:noMultiLvlLbl val="0"/>
      </c:catAx>
      <c:valAx>
        <c:axId val="836262144"/>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2.8686092522616975E-3"/>
              <c:y val="0.32881985575918055"/>
            </c:manualLayout>
          </c:layout>
          <c:overlay val="0"/>
        </c:title>
        <c:numFmt formatCode="0" sourceLinked="0"/>
        <c:majorTickMark val="out"/>
        <c:minorTickMark val="none"/>
        <c:tickLblPos val="nextTo"/>
        <c:crossAx val="836260224"/>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5283482154927"/>
          <c:y val="5.1400554097404488E-2"/>
          <c:w val="0.85607311097529981"/>
          <c:h val="0.72172527369660766"/>
        </c:manualLayout>
      </c:layout>
      <c:barChart>
        <c:barDir val="col"/>
        <c:grouping val="clustered"/>
        <c:varyColors val="0"/>
        <c:ser>
          <c:idx val="1"/>
          <c:order val="0"/>
          <c:tx>
            <c:strRef>
              <c:f>'CPGI by Health services'!$T$198</c:f>
              <c:strCache>
                <c:ptCount val="1"/>
                <c:pt idx="0">
                  <c:v>Seen a psych etc</c:v>
                </c:pt>
              </c:strCache>
            </c:strRef>
          </c:tx>
          <c:spPr>
            <a:solidFill>
              <a:schemeClr val="accent5">
                <a:lumMod val="75000"/>
              </a:schemeClr>
            </a:solidFill>
          </c:spPr>
          <c:invertIfNegative val="0"/>
          <c:errBars>
            <c:errBarType val="both"/>
            <c:errValType val="cust"/>
            <c:noEndCap val="0"/>
            <c:plus>
              <c:numLit>
                <c:formatCode>General</c:formatCode>
                <c:ptCount val="4"/>
                <c:pt idx="0">
                  <c:v>0.6</c:v>
                </c:pt>
                <c:pt idx="1">
                  <c:v>0.6</c:v>
                </c:pt>
                <c:pt idx="2">
                  <c:v>2.9</c:v>
                </c:pt>
                <c:pt idx="3">
                  <c:v>6.3</c:v>
                </c:pt>
              </c:numLit>
            </c:plus>
            <c:minus>
              <c:numLit>
                <c:formatCode>General</c:formatCode>
                <c:ptCount val="4"/>
                <c:pt idx="0">
                  <c:v>0.6</c:v>
                </c:pt>
                <c:pt idx="1">
                  <c:v>0.6</c:v>
                </c:pt>
                <c:pt idx="2">
                  <c:v>2.9</c:v>
                </c:pt>
                <c:pt idx="3">
                  <c:v>6.3</c:v>
                </c:pt>
              </c:numLit>
            </c:minus>
          </c:errBars>
          <c:cat>
            <c:strRef>
              <c:f>'CPGI by Health services'!$S$199:$S$202</c:f>
              <c:strCache>
                <c:ptCount val="4"/>
                <c:pt idx="0">
                  <c:v>Non-gambler</c:v>
                </c:pt>
                <c:pt idx="1">
                  <c:v>Non-problem / recreational</c:v>
                </c:pt>
                <c:pt idx="2">
                  <c:v>Low-risk</c:v>
                </c:pt>
                <c:pt idx="3">
                  <c:v>Moderate-risk / problem </c:v>
                </c:pt>
              </c:strCache>
            </c:strRef>
          </c:cat>
          <c:val>
            <c:numRef>
              <c:f>'CPGI by Health services'!$T$199:$T$202</c:f>
              <c:numCache>
                <c:formatCode>General</c:formatCode>
                <c:ptCount val="4"/>
                <c:pt idx="0">
                  <c:v>4.2</c:v>
                </c:pt>
                <c:pt idx="1">
                  <c:v>3.4</c:v>
                </c:pt>
                <c:pt idx="2">
                  <c:v>5.5</c:v>
                </c:pt>
                <c:pt idx="3">
                  <c:v>12.5</c:v>
                </c:pt>
              </c:numCache>
            </c:numRef>
          </c:val>
        </c:ser>
        <c:dLbls>
          <c:showLegendKey val="0"/>
          <c:showVal val="0"/>
          <c:showCatName val="0"/>
          <c:showSerName val="0"/>
          <c:showPercent val="0"/>
          <c:showBubbleSize val="0"/>
        </c:dLbls>
        <c:gapWidth val="150"/>
        <c:axId val="841308416"/>
        <c:axId val="841343360"/>
      </c:barChart>
      <c:catAx>
        <c:axId val="841308416"/>
        <c:scaling>
          <c:orientation val="minMax"/>
        </c:scaling>
        <c:delete val="0"/>
        <c:axPos val="b"/>
        <c:title>
          <c:tx>
            <c:rich>
              <a:bodyPr/>
              <a:lstStyle/>
              <a:p>
                <a:pPr>
                  <a:defRPr/>
                </a:pPr>
                <a:r>
                  <a:rPr lang="en-US" baseline="0"/>
                  <a:t>Gambling Status</a:t>
                </a:r>
              </a:p>
            </c:rich>
          </c:tx>
          <c:layout>
            <c:manualLayout>
              <c:xMode val="edge"/>
              <c:yMode val="edge"/>
              <c:x val="0.43994801644410336"/>
              <c:y val="0.91585361340476623"/>
            </c:manualLayout>
          </c:layout>
          <c:overlay val="0"/>
        </c:title>
        <c:numFmt formatCode="General" sourceLinked="1"/>
        <c:majorTickMark val="out"/>
        <c:minorTickMark val="none"/>
        <c:tickLblPos val="nextTo"/>
        <c:txPr>
          <a:bodyPr/>
          <a:lstStyle/>
          <a:p>
            <a:pPr>
              <a:defRPr sz="800"/>
            </a:pPr>
            <a:endParaRPr lang="en-US"/>
          </a:p>
        </c:txPr>
        <c:crossAx val="841343360"/>
        <c:crosses val="autoZero"/>
        <c:auto val="1"/>
        <c:lblAlgn val="ctr"/>
        <c:lblOffset val="100"/>
        <c:noMultiLvlLbl val="0"/>
      </c:catAx>
      <c:valAx>
        <c:axId val="841343360"/>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2.876170122542719E-3"/>
              <c:y val="0.29841017591905244"/>
            </c:manualLayout>
          </c:layout>
          <c:overlay val="0"/>
        </c:title>
        <c:numFmt formatCode="0" sourceLinked="0"/>
        <c:majorTickMark val="out"/>
        <c:minorTickMark val="none"/>
        <c:tickLblPos val="nextTo"/>
        <c:crossAx val="841308416"/>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10889608166568111"/>
          <c:y val="5.1400554097404488E-2"/>
          <c:w val="0.87022999595406303"/>
          <c:h val="0.77967120535925794"/>
        </c:manualLayout>
      </c:layout>
      <c:barChart>
        <c:barDir val="col"/>
        <c:grouping val="clustered"/>
        <c:varyColors val="0"/>
        <c:ser>
          <c:idx val="0"/>
          <c:order val="0"/>
          <c:tx>
            <c:strRef>
              <c:f>'Impacted by others gambling'!$Q$265</c:f>
              <c:strCache>
                <c:ptCount val="1"/>
              </c:strCache>
            </c:strRef>
          </c:tx>
          <c:spPr>
            <a:solidFill>
              <a:schemeClr val="accent5">
                <a:lumMod val="75000"/>
              </a:schemeClr>
            </a:solidFill>
            <a:ln>
              <a:noFill/>
            </a:ln>
          </c:spPr>
          <c:invertIfNegative val="0"/>
          <c:errBars>
            <c:errBarType val="both"/>
            <c:errValType val="cust"/>
            <c:noEndCap val="0"/>
            <c:plus>
              <c:numLit>
                <c:formatCode>General</c:formatCode>
                <c:ptCount val="6"/>
                <c:pt idx="0">
                  <c:v>1</c:v>
                </c:pt>
                <c:pt idx="1">
                  <c:v>1.1000000000000001</c:v>
                </c:pt>
                <c:pt idx="2">
                  <c:v>0.8</c:v>
                </c:pt>
                <c:pt idx="3">
                  <c:v>0.9</c:v>
                </c:pt>
                <c:pt idx="4">
                  <c:v>0.6</c:v>
                </c:pt>
                <c:pt idx="5">
                  <c:v>0.4</c:v>
                </c:pt>
              </c:numLit>
            </c:plus>
            <c:minus>
              <c:numLit>
                <c:formatCode>General</c:formatCode>
                <c:ptCount val="6"/>
                <c:pt idx="0">
                  <c:v>1</c:v>
                </c:pt>
                <c:pt idx="1">
                  <c:v>1.1000000000000001</c:v>
                </c:pt>
                <c:pt idx="2">
                  <c:v>0.8</c:v>
                </c:pt>
                <c:pt idx="3">
                  <c:v>0.9</c:v>
                </c:pt>
                <c:pt idx="4">
                  <c:v>0.6</c:v>
                </c:pt>
                <c:pt idx="5">
                  <c:v>0.4</c:v>
                </c:pt>
              </c:numLit>
            </c:minus>
          </c:errBars>
          <c:cat>
            <c:strRef>
              <c:f>'Impacted by others gambling'!$P$266:$P$271</c:f>
              <c:strCache>
                <c:ptCount val="6"/>
                <c:pt idx="0">
                  <c:v>15-24</c:v>
                </c:pt>
                <c:pt idx="1">
                  <c:v>25-34</c:v>
                </c:pt>
                <c:pt idx="2">
                  <c:v>35-44</c:v>
                </c:pt>
                <c:pt idx="3">
                  <c:v>45-54</c:v>
                </c:pt>
                <c:pt idx="4">
                  <c:v>55-64</c:v>
                </c:pt>
                <c:pt idx="5">
                  <c:v>65+</c:v>
                </c:pt>
              </c:strCache>
            </c:strRef>
          </c:cat>
          <c:val>
            <c:numRef>
              <c:f>'Impacted by others gambling'!$Q$266:$Q$271</c:f>
              <c:numCache>
                <c:formatCode>0.0</c:formatCode>
                <c:ptCount val="6"/>
                <c:pt idx="0">
                  <c:v>2.7324999999999999</c:v>
                </c:pt>
                <c:pt idx="1">
                  <c:v>3.9464000000000001</c:v>
                </c:pt>
                <c:pt idx="2">
                  <c:v>3.0123000000000002</c:v>
                </c:pt>
                <c:pt idx="3">
                  <c:v>2.6067999999999998</c:v>
                </c:pt>
                <c:pt idx="4">
                  <c:v>1.6852</c:v>
                </c:pt>
                <c:pt idx="5">
                  <c:v>1.0541</c:v>
                </c:pt>
              </c:numCache>
            </c:numRef>
          </c:val>
        </c:ser>
        <c:dLbls>
          <c:showLegendKey val="0"/>
          <c:showVal val="0"/>
          <c:showCatName val="0"/>
          <c:showSerName val="0"/>
          <c:showPercent val="0"/>
          <c:showBubbleSize val="0"/>
        </c:dLbls>
        <c:gapWidth val="150"/>
        <c:axId val="837751168"/>
        <c:axId val="837753088"/>
      </c:barChart>
      <c:catAx>
        <c:axId val="837751168"/>
        <c:scaling>
          <c:orientation val="minMax"/>
        </c:scaling>
        <c:delete val="0"/>
        <c:axPos val="b"/>
        <c:title>
          <c:tx>
            <c:rich>
              <a:bodyPr/>
              <a:lstStyle/>
              <a:p>
                <a:pPr>
                  <a:defRPr/>
                </a:pPr>
                <a:r>
                  <a:rPr lang="en-US"/>
                  <a:t>Age group - years </a:t>
                </a:r>
              </a:p>
            </c:rich>
          </c:tx>
          <c:layout>
            <c:manualLayout>
              <c:xMode val="edge"/>
              <c:yMode val="edge"/>
              <c:x val="0.40129034265973668"/>
              <c:y val="0.92681088149179913"/>
            </c:manualLayout>
          </c:layout>
          <c:overlay val="0"/>
        </c:title>
        <c:numFmt formatCode="General" sourceLinked="0"/>
        <c:majorTickMark val="out"/>
        <c:minorTickMark val="none"/>
        <c:tickLblPos val="nextTo"/>
        <c:crossAx val="837753088"/>
        <c:crosses val="autoZero"/>
        <c:auto val="1"/>
        <c:lblAlgn val="ctr"/>
        <c:lblOffset val="100"/>
        <c:noMultiLvlLbl val="0"/>
      </c:catAx>
      <c:valAx>
        <c:axId val="837753088"/>
        <c:scaling>
          <c:orientation val="minMax"/>
          <c:max val="10"/>
        </c:scaling>
        <c:delete val="0"/>
        <c:axPos val="l"/>
        <c:majorGridlines/>
        <c:title>
          <c:tx>
            <c:rich>
              <a:bodyPr rot="-5400000" vert="horz"/>
              <a:lstStyle/>
              <a:p>
                <a:pPr>
                  <a:defRPr/>
                </a:pPr>
                <a:r>
                  <a:rPr lang="en-US" sz="1100"/>
                  <a:t>Percent</a:t>
                </a:r>
              </a:p>
            </c:rich>
          </c:tx>
          <c:layout>
            <c:manualLayout>
              <c:xMode val="edge"/>
              <c:yMode val="edge"/>
              <c:x val="2.5829676428786321E-3"/>
              <c:y val="0.34215071491514831"/>
            </c:manualLayout>
          </c:layout>
          <c:overlay val="0"/>
        </c:title>
        <c:numFmt formatCode="0" sourceLinked="0"/>
        <c:majorTickMark val="out"/>
        <c:minorTickMark val="none"/>
        <c:tickLblPos val="nextTo"/>
        <c:crossAx val="837751168"/>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30154798630863"/>
          <c:y val="0.11237628832981243"/>
          <c:w val="0.83547336917022352"/>
          <c:h val="0.72717814320202978"/>
        </c:manualLayout>
      </c:layout>
      <c:barChart>
        <c:barDir val="col"/>
        <c:grouping val="percentStacked"/>
        <c:varyColors val="0"/>
        <c:ser>
          <c:idx val="0"/>
          <c:order val="0"/>
          <c:tx>
            <c:strRef>
              <c:f>'Impact by others gambling'!$AF$491</c:f>
              <c:strCache>
                <c:ptCount val="1"/>
                <c:pt idx="0">
                  <c:v>Not Affected</c:v>
                </c:pt>
              </c:strCache>
            </c:strRef>
          </c:tx>
          <c:spPr>
            <a:solidFill>
              <a:schemeClr val="accent5">
                <a:lumMod val="60000"/>
                <a:lumOff val="40000"/>
              </a:schemeClr>
            </a:solidFill>
          </c:spPr>
          <c:invertIfNegative val="0"/>
          <c:dLbls>
            <c:dLbl>
              <c:idx val="0"/>
              <c:layout>
                <c:manualLayout>
                  <c:x val="0.1006129349804958"/>
                  <c:y val="2.8439226632732646E-2"/>
                </c:manualLayout>
              </c:layout>
              <c:numFmt formatCode="#,##0.0" sourceLinked="0"/>
              <c:spPr>
                <a:solidFill>
                  <a:schemeClr val="bg1"/>
                </a:solidFill>
              </c:spPr>
              <c:txPr>
                <a:bodyPr/>
                <a:lstStyle/>
                <a:p>
                  <a:pPr>
                    <a:defRPr/>
                  </a:pPr>
                  <a:endParaRPr lang="en-US"/>
                </a:p>
              </c:txPr>
              <c:showLegendKey val="1"/>
              <c:showVal val="1"/>
              <c:showCatName val="0"/>
              <c:showSerName val="0"/>
              <c:showPercent val="0"/>
              <c:showBubbleSize val="0"/>
              <c:extLst>
                <c:ext xmlns:c15="http://schemas.microsoft.com/office/drawing/2012/chart" uri="{CE6537A1-D6FC-4f65-9D91-7224C49458BB}">
                  <c15:layout/>
                </c:ext>
              </c:extLst>
            </c:dLbl>
            <c:dLbl>
              <c:idx val="1"/>
              <c:layout>
                <c:manualLayout>
                  <c:x val="9.8388649089444835E-2"/>
                  <c:y val="2.0313780222486762E-2"/>
                </c:manualLayout>
              </c:layout>
              <c:showLegendKey val="1"/>
              <c:showVal val="1"/>
              <c:showCatName val="0"/>
              <c:showSerName val="0"/>
              <c:showPercent val="0"/>
              <c:showBubbleSize val="0"/>
              <c:extLst>
                <c:ext xmlns:c15="http://schemas.microsoft.com/office/drawing/2012/chart" uri="{CE6537A1-D6FC-4f65-9D91-7224C49458BB}">
                  <c15:layout/>
                </c:ext>
              </c:extLst>
            </c:dLbl>
            <c:dLbl>
              <c:idx val="2"/>
              <c:layout>
                <c:manualLayout>
                  <c:x val="9.5249648324648606E-2"/>
                  <c:y val="-4.0628874019949923E-3"/>
                </c:manualLayout>
              </c:layout>
              <c:showLegendKey val="1"/>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'Impact by others gambling'!$AE$492:$AE$494</c:f>
              <c:strCache>
                <c:ptCount val="3"/>
                <c:pt idx="0">
                  <c:v>Non-gambler</c:v>
                </c:pt>
                <c:pt idx="1">
                  <c:v>Non-problem / Recreational</c:v>
                </c:pt>
                <c:pt idx="2">
                  <c:v>Combined problem / moderate-risk / low-risk *</c:v>
                </c:pt>
              </c:strCache>
            </c:strRef>
          </c:cat>
          <c:val>
            <c:numRef>
              <c:f>'Impact by others gambling'!$AF$492:$AF$494</c:f>
              <c:numCache>
                <c:formatCode>General</c:formatCode>
                <c:ptCount val="3"/>
                <c:pt idx="0">
                  <c:v>98.351299999999995</c:v>
                </c:pt>
                <c:pt idx="1">
                  <c:v>97.082300000000004</c:v>
                </c:pt>
                <c:pt idx="2">
                  <c:v>90.499899999999997</c:v>
                </c:pt>
              </c:numCache>
            </c:numRef>
          </c:val>
        </c:ser>
        <c:ser>
          <c:idx val="1"/>
          <c:order val="1"/>
          <c:tx>
            <c:strRef>
              <c:f>'Impact by others gambling'!$AG$491</c:f>
              <c:strCache>
                <c:ptCount val="1"/>
                <c:pt idx="0">
                  <c:v>Affected</c:v>
                </c:pt>
              </c:strCache>
            </c:strRef>
          </c:tx>
          <c:spPr>
            <a:solidFill>
              <a:schemeClr val="accent5">
                <a:lumMod val="75000"/>
              </a:schemeClr>
            </a:solidFill>
          </c:spPr>
          <c:invertIfNegative val="0"/>
          <c:dLbls>
            <c:dLbl>
              <c:idx val="0"/>
              <c:layout>
                <c:manualLayout>
                  <c:x val="8.9034148088368389E-2"/>
                  <c:y val="2.8439226632732646E-2"/>
                </c:manualLayout>
              </c:layout>
              <c:dLblPos val="ctr"/>
              <c:showLegendKey val="1"/>
              <c:showVal val="1"/>
              <c:showCatName val="0"/>
              <c:showSerName val="0"/>
              <c:showPercent val="0"/>
              <c:showBubbleSize val="0"/>
              <c:extLst>
                <c:ext xmlns:c15="http://schemas.microsoft.com/office/drawing/2012/chart" uri="{CE6537A1-D6FC-4f65-9D91-7224C49458BB}">
                  <c15:layout/>
                </c:ext>
              </c:extLst>
            </c:dLbl>
            <c:dLbl>
              <c:idx val="1"/>
              <c:layout>
                <c:manualLayout>
                  <c:x val="9.1258433979419337E-2"/>
                  <c:y val="2.4376339230737655E-2"/>
                </c:manualLayout>
              </c:layout>
              <c:dLblPos val="ctr"/>
              <c:showLegendKey val="1"/>
              <c:showVal val="1"/>
              <c:showCatName val="0"/>
              <c:showSerName val="0"/>
              <c:showPercent val="0"/>
              <c:showBubbleSize val="0"/>
              <c:extLst>
                <c:ext xmlns:c15="http://schemas.microsoft.com/office/drawing/2012/chart" uri="{CE6537A1-D6FC-4f65-9D91-7224C49458BB}">
                  <c15:layout/>
                </c:ext>
              </c:extLst>
            </c:dLbl>
            <c:dLbl>
              <c:idx val="2"/>
              <c:layout>
                <c:manualLayout>
                  <c:x val="8.8576579498477803E-2"/>
                  <c:y val="-4.0628874019949923E-3"/>
                </c:manualLayout>
              </c:layout>
              <c:dLblPos val="ctr"/>
              <c:showLegendKey val="1"/>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dLblPos val="ct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'Impact by others gambling'!$AE$492:$AE$494</c:f>
              <c:strCache>
                <c:ptCount val="3"/>
                <c:pt idx="0">
                  <c:v>Non-gambler</c:v>
                </c:pt>
                <c:pt idx="1">
                  <c:v>Non-problem / Recreational</c:v>
                </c:pt>
                <c:pt idx="2">
                  <c:v>Combined problem / moderate-risk / low-risk *</c:v>
                </c:pt>
              </c:strCache>
            </c:strRef>
          </c:cat>
          <c:val>
            <c:numRef>
              <c:f>'Impact by others gambling'!$AG$492:$AG$494</c:f>
              <c:numCache>
                <c:formatCode>General</c:formatCode>
                <c:ptCount val="3"/>
                <c:pt idx="0">
                  <c:v>1.6487000000000001</c:v>
                </c:pt>
                <c:pt idx="1">
                  <c:v>2.9177</c:v>
                </c:pt>
                <c:pt idx="2">
                  <c:v>9.5000999999999998</c:v>
                </c:pt>
              </c:numCache>
            </c:numRef>
          </c:val>
        </c:ser>
        <c:dLbls>
          <c:showLegendKey val="0"/>
          <c:showVal val="0"/>
          <c:showCatName val="0"/>
          <c:showSerName val="0"/>
          <c:showPercent val="0"/>
          <c:showBubbleSize val="0"/>
        </c:dLbls>
        <c:gapWidth val="150"/>
        <c:overlap val="100"/>
        <c:axId val="838472064"/>
        <c:axId val="838473984"/>
      </c:barChart>
      <c:catAx>
        <c:axId val="838472064"/>
        <c:scaling>
          <c:orientation val="minMax"/>
        </c:scaling>
        <c:delete val="0"/>
        <c:axPos val="b"/>
        <c:title>
          <c:tx>
            <c:rich>
              <a:bodyPr/>
              <a:lstStyle/>
              <a:p>
                <a:pPr>
                  <a:defRPr/>
                </a:pPr>
                <a:r>
                  <a:rPr lang="en-US"/>
                  <a:t>Gambling status</a:t>
                </a:r>
              </a:p>
            </c:rich>
          </c:tx>
          <c:overlay val="0"/>
        </c:title>
        <c:numFmt formatCode="General" sourceLinked="0"/>
        <c:majorTickMark val="out"/>
        <c:minorTickMark val="none"/>
        <c:tickLblPos val="nextTo"/>
        <c:txPr>
          <a:bodyPr/>
          <a:lstStyle/>
          <a:p>
            <a:pPr>
              <a:defRPr sz="900"/>
            </a:pPr>
            <a:endParaRPr lang="en-US"/>
          </a:p>
        </c:txPr>
        <c:crossAx val="838473984"/>
        <c:crosses val="autoZero"/>
        <c:auto val="1"/>
        <c:lblAlgn val="ctr"/>
        <c:lblOffset val="100"/>
        <c:noMultiLvlLbl val="0"/>
      </c:catAx>
      <c:valAx>
        <c:axId val="838473984"/>
        <c:scaling>
          <c:orientation val="minMax"/>
          <c:max val="1"/>
          <c:min val="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8472064"/>
        <c:crosses val="autoZero"/>
        <c:crossBetween val="between"/>
      </c:valAx>
    </c:plotArea>
    <c:legend>
      <c:legendPos val="r"/>
      <c:layout>
        <c:manualLayout>
          <c:xMode val="edge"/>
          <c:yMode val="edge"/>
          <c:x val="0.33813600872653193"/>
          <c:y val="2.0354207548873907E-2"/>
          <c:w val="0.34471982092522324"/>
          <c:h val="7.3727657206134431E-2"/>
        </c:manualLayout>
      </c:layout>
      <c:overlay val="0"/>
      <c:spPr>
        <a:solidFill>
          <a:schemeClr val="bg1"/>
        </a:solidFill>
      </c:spPr>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18705178256661"/>
          <c:y val="5.1400554097404488E-2"/>
          <c:w val="0.8759388541989015"/>
          <c:h val="0.72807425561870986"/>
        </c:manualLayout>
      </c:layout>
      <c:barChart>
        <c:barDir val="col"/>
        <c:grouping val="clustered"/>
        <c:varyColors val="0"/>
        <c:ser>
          <c:idx val="0"/>
          <c:order val="0"/>
          <c:tx>
            <c:strRef>
              <c:f>'Impacted by others gambling'!$O$139</c:f>
              <c:strCache>
                <c:ptCount val="1"/>
              </c:strCache>
            </c:strRef>
          </c:tx>
          <c:spPr>
            <a:solidFill>
              <a:schemeClr val="accent5">
                <a:lumMod val="75000"/>
              </a:schemeClr>
            </a:solidFill>
            <a:ln>
              <a:noFill/>
            </a:ln>
          </c:spPr>
          <c:invertIfNegative val="0"/>
          <c:errBars>
            <c:errBarType val="both"/>
            <c:errValType val="cust"/>
            <c:noEndCap val="0"/>
            <c:plus>
              <c:numLit>
                <c:formatCode>General</c:formatCode>
                <c:ptCount val="13"/>
                <c:pt idx="0">
                  <c:v>1.5</c:v>
                </c:pt>
                <c:pt idx="1">
                  <c:v>1.6</c:v>
                </c:pt>
                <c:pt idx="2">
                  <c:v>1.1000000000000001</c:v>
                </c:pt>
                <c:pt idx="3">
                  <c:v>0.87</c:v>
                </c:pt>
                <c:pt idx="4">
                  <c:v>1.9</c:v>
                </c:pt>
                <c:pt idx="5">
                  <c:v>1.3</c:v>
                </c:pt>
                <c:pt idx="6">
                  <c:v>0.8</c:v>
                </c:pt>
                <c:pt idx="7">
                  <c:v>1</c:v>
                </c:pt>
                <c:pt idx="8">
                  <c:v>0.7</c:v>
                </c:pt>
                <c:pt idx="9">
                  <c:v>0.8</c:v>
                </c:pt>
                <c:pt idx="10">
                  <c:v>0.6</c:v>
                </c:pt>
                <c:pt idx="11">
                  <c:v>0.7</c:v>
                </c:pt>
                <c:pt idx="12">
                  <c:v>0.3</c:v>
                </c:pt>
              </c:numLit>
            </c:plus>
            <c:minus>
              <c:numLit>
                <c:formatCode>General</c:formatCode>
                <c:ptCount val="13"/>
                <c:pt idx="0">
                  <c:v>1.5</c:v>
                </c:pt>
                <c:pt idx="1">
                  <c:v>1.6</c:v>
                </c:pt>
                <c:pt idx="2">
                  <c:v>1.1000000000000001</c:v>
                </c:pt>
                <c:pt idx="3">
                  <c:v>0.87</c:v>
                </c:pt>
                <c:pt idx="4">
                  <c:v>1.9</c:v>
                </c:pt>
                <c:pt idx="5">
                  <c:v>1.3</c:v>
                </c:pt>
                <c:pt idx="6">
                  <c:v>0.8</c:v>
                </c:pt>
                <c:pt idx="7">
                  <c:v>1</c:v>
                </c:pt>
                <c:pt idx="8">
                  <c:v>0.7</c:v>
                </c:pt>
                <c:pt idx="9">
                  <c:v>0.8</c:v>
                </c:pt>
                <c:pt idx="10">
                  <c:v>0.6</c:v>
                </c:pt>
                <c:pt idx="11">
                  <c:v>0.7</c:v>
                </c:pt>
                <c:pt idx="12">
                  <c:v>0.3</c:v>
                </c:pt>
              </c:numLit>
            </c:minus>
          </c:errBars>
          <c:cat>
            <c:strRef>
              <c:f>'Impacted by others gambling'!$N$140:$N$145</c:f>
              <c:strCache>
                <c:ptCount val="6"/>
                <c:pt idx="0">
                  <c:v>Non-casino EGM</c:v>
                </c:pt>
                <c:pt idx="1">
                  <c:v>Casino EGM</c:v>
                </c:pt>
                <c:pt idx="2">
                  <c:v>Track or sports betting</c:v>
                </c:pt>
                <c:pt idx="3">
                  <c:v>Casino tables</c:v>
                </c:pt>
                <c:pt idx="4">
                  <c:v>Other / Housie / Internet</c:v>
                </c:pt>
                <c:pt idx="5">
                  <c:v>Lotto / Keno / Instant Kiwi</c:v>
                </c:pt>
              </c:strCache>
            </c:strRef>
          </c:cat>
          <c:val>
            <c:numRef>
              <c:f>'Impacted by others gambling'!$O$140:$O$145</c:f>
              <c:numCache>
                <c:formatCode>General</c:formatCode>
                <c:ptCount val="6"/>
              </c:numCache>
            </c:numRef>
          </c:val>
        </c:ser>
        <c:ser>
          <c:idx val="1"/>
          <c:order val="1"/>
          <c:tx>
            <c:strRef>
              <c:f>'Impacted by others gambling'!$P$139</c:f>
              <c:strCache>
                <c:ptCount val="1"/>
              </c:strCache>
            </c:strRef>
          </c:tx>
          <c:spPr>
            <a:solidFill>
              <a:schemeClr val="accent5">
                <a:lumMod val="75000"/>
              </a:schemeClr>
            </a:solidFill>
            <a:ln>
              <a:noFill/>
            </a:ln>
          </c:spPr>
          <c:invertIfNegative val="0"/>
          <c:errBars>
            <c:errBarType val="both"/>
            <c:errValType val="cust"/>
            <c:noEndCap val="0"/>
            <c:plus>
              <c:numLit>
                <c:formatCode>General</c:formatCode>
                <c:ptCount val="6"/>
                <c:pt idx="0">
                  <c:v>7.1</c:v>
                </c:pt>
                <c:pt idx="1">
                  <c:v>6.5</c:v>
                </c:pt>
                <c:pt idx="2">
                  <c:v>5.8</c:v>
                </c:pt>
                <c:pt idx="3">
                  <c:v>4.4000000000000004</c:v>
                </c:pt>
                <c:pt idx="4">
                  <c:v>4.7</c:v>
                </c:pt>
                <c:pt idx="5">
                  <c:v>3.6</c:v>
                </c:pt>
              </c:numLit>
            </c:plus>
            <c:minus>
              <c:numLit>
                <c:formatCode>General</c:formatCode>
                <c:ptCount val="6"/>
                <c:pt idx="0">
                  <c:v>7.1</c:v>
                </c:pt>
                <c:pt idx="1">
                  <c:v>6.5</c:v>
                </c:pt>
                <c:pt idx="2">
                  <c:v>5.8</c:v>
                </c:pt>
                <c:pt idx="3">
                  <c:v>4.4000000000000004</c:v>
                </c:pt>
                <c:pt idx="4">
                  <c:v>4.7</c:v>
                </c:pt>
                <c:pt idx="5">
                  <c:v>3.6</c:v>
                </c:pt>
              </c:numLit>
            </c:minus>
          </c:errBars>
          <c:cat>
            <c:strRef>
              <c:f>'Impacted by others gambling'!$N$140:$N$145</c:f>
              <c:strCache>
                <c:ptCount val="6"/>
                <c:pt idx="0">
                  <c:v>Non-casino EGM</c:v>
                </c:pt>
                <c:pt idx="1">
                  <c:v>Casino EGM</c:v>
                </c:pt>
                <c:pt idx="2">
                  <c:v>Track or sports betting</c:v>
                </c:pt>
                <c:pt idx="3">
                  <c:v>Casino tables</c:v>
                </c:pt>
                <c:pt idx="4">
                  <c:v>Other / Housie / Internet</c:v>
                </c:pt>
                <c:pt idx="5">
                  <c:v>Lotto / Keno / Instant Kiwi</c:v>
                </c:pt>
              </c:strCache>
            </c:strRef>
          </c:cat>
          <c:val>
            <c:numRef>
              <c:f>'Impacted by others gambling'!$P$140:$P$145</c:f>
              <c:numCache>
                <c:formatCode>0.0</c:formatCode>
                <c:ptCount val="6"/>
                <c:pt idx="0">
                  <c:v>52.927900000000001</c:v>
                </c:pt>
                <c:pt idx="1">
                  <c:v>31.9526</c:v>
                </c:pt>
                <c:pt idx="2">
                  <c:v>22.061900000000001</c:v>
                </c:pt>
                <c:pt idx="3">
                  <c:v>9.7927</c:v>
                </c:pt>
                <c:pt idx="4">
                  <c:v>9.6837</c:v>
                </c:pt>
                <c:pt idx="5">
                  <c:v>7.5319000000000003</c:v>
                </c:pt>
              </c:numCache>
            </c:numRef>
          </c:val>
        </c:ser>
        <c:dLbls>
          <c:showLegendKey val="0"/>
          <c:showVal val="0"/>
          <c:showCatName val="0"/>
          <c:showSerName val="0"/>
          <c:showPercent val="0"/>
          <c:showBubbleSize val="0"/>
        </c:dLbls>
        <c:gapWidth val="84"/>
        <c:overlap val="100"/>
        <c:axId val="837795840"/>
        <c:axId val="837797760"/>
      </c:barChart>
      <c:catAx>
        <c:axId val="837795840"/>
        <c:scaling>
          <c:orientation val="minMax"/>
        </c:scaling>
        <c:delete val="0"/>
        <c:axPos val="b"/>
        <c:title>
          <c:tx>
            <c:rich>
              <a:bodyPr/>
              <a:lstStyle/>
              <a:p>
                <a:pPr>
                  <a:defRPr sz="1050"/>
                </a:pPr>
                <a:r>
                  <a:rPr lang="en-US" sz="1050"/>
                  <a:t>Gambling activity</a:t>
                </a:r>
              </a:p>
            </c:rich>
          </c:tx>
          <c:layout>
            <c:manualLayout>
              <c:xMode val="edge"/>
              <c:yMode val="edge"/>
              <c:x val="0.44223305105729716"/>
              <c:y val="0.93267977264431345"/>
            </c:manualLayout>
          </c:layout>
          <c:overlay val="0"/>
        </c:title>
        <c:numFmt formatCode="General" sourceLinked="1"/>
        <c:majorTickMark val="out"/>
        <c:minorTickMark val="none"/>
        <c:tickLblPos val="nextTo"/>
        <c:txPr>
          <a:bodyPr/>
          <a:lstStyle/>
          <a:p>
            <a:pPr>
              <a:defRPr sz="900"/>
            </a:pPr>
            <a:endParaRPr lang="en-US"/>
          </a:p>
        </c:txPr>
        <c:crossAx val="837797760"/>
        <c:crosses val="autoZero"/>
        <c:auto val="1"/>
        <c:lblAlgn val="ctr"/>
        <c:lblOffset val="100"/>
        <c:noMultiLvlLbl val="0"/>
      </c:catAx>
      <c:valAx>
        <c:axId val="837797760"/>
        <c:scaling>
          <c:orientation val="minMax"/>
          <c:max val="100"/>
          <c:min val="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8377958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99981288708984"/>
          <c:y val="2.9879901452820729E-2"/>
          <c:w val="0.84708384529504588"/>
          <c:h val="0.8233850995408204"/>
        </c:manualLayout>
      </c:layout>
      <c:barChart>
        <c:barDir val="col"/>
        <c:grouping val="clustered"/>
        <c:varyColors val="0"/>
        <c:ser>
          <c:idx val="0"/>
          <c:order val="0"/>
          <c:tx>
            <c:strRef>
              <c:f>'Client # by mode'!$A$92</c:f>
              <c:strCache>
                <c:ptCount val="1"/>
                <c:pt idx="0">
                  <c:v>Non-casino gaming machines</c:v>
                </c:pt>
              </c:strCache>
            </c:strRef>
          </c:tx>
          <c:invertIfNegative val="0"/>
          <c:cat>
            <c:strRef>
              <c:f>'Client # by mode'!$B$91:$H$91</c:f>
              <c:strCache>
                <c:ptCount val="7"/>
                <c:pt idx="0">
                  <c:v>2006/07</c:v>
                </c:pt>
                <c:pt idx="1">
                  <c:v>2007/08</c:v>
                </c:pt>
                <c:pt idx="2">
                  <c:v>2008/09</c:v>
                </c:pt>
                <c:pt idx="3">
                  <c:v>2009/10</c:v>
                </c:pt>
                <c:pt idx="4">
                  <c:v>2010/11</c:v>
                </c:pt>
                <c:pt idx="5">
                  <c:v>2011/12</c:v>
                </c:pt>
                <c:pt idx="6">
                  <c:v>2012/13</c:v>
                </c:pt>
              </c:strCache>
            </c:strRef>
          </c:cat>
          <c:val>
            <c:numRef>
              <c:f>'Client # by mode'!$B$92:$H$92</c:f>
              <c:numCache>
                <c:formatCode>0</c:formatCode>
                <c:ptCount val="7"/>
                <c:pt idx="0">
                  <c:v>2721.34</c:v>
                </c:pt>
                <c:pt idx="1">
                  <c:v>2935.6</c:v>
                </c:pt>
                <c:pt idx="2">
                  <c:v>4285.54</c:v>
                </c:pt>
                <c:pt idx="3">
                  <c:v>6262.62</c:v>
                </c:pt>
                <c:pt idx="4">
                  <c:v>4968.1900000000005</c:v>
                </c:pt>
                <c:pt idx="5">
                  <c:v>4872</c:v>
                </c:pt>
                <c:pt idx="6">
                  <c:v>5005</c:v>
                </c:pt>
              </c:numCache>
            </c:numRef>
          </c:val>
        </c:ser>
        <c:ser>
          <c:idx val="1"/>
          <c:order val="1"/>
          <c:tx>
            <c:strRef>
              <c:f>'Client # by mode'!$A$93</c:f>
              <c:strCache>
                <c:ptCount val="1"/>
                <c:pt idx="0">
                  <c:v>Casino gaming machines</c:v>
                </c:pt>
              </c:strCache>
            </c:strRef>
          </c:tx>
          <c:spPr>
            <a:pattFill prst="dkDnDiag">
              <a:fgClr>
                <a:schemeClr val="accent1"/>
              </a:fgClr>
              <a:bgClr>
                <a:schemeClr val="bg1"/>
              </a:bgClr>
            </a:pattFill>
          </c:spPr>
          <c:invertIfNegative val="0"/>
          <c:cat>
            <c:strRef>
              <c:f>'Client # by mode'!$B$91:$H$91</c:f>
              <c:strCache>
                <c:ptCount val="7"/>
                <c:pt idx="0">
                  <c:v>2006/07</c:v>
                </c:pt>
                <c:pt idx="1">
                  <c:v>2007/08</c:v>
                </c:pt>
                <c:pt idx="2">
                  <c:v>2008/09</c:v>
                </c:pt>
                <c:pt idx="3">
                  <c:v>2009/10</c:v>
                </c:pt>
                <c:pt idx="4">
                  <c:v>2010/11</c:v>
                </c:pt>
                <c:pt idx="5">
                  <c:v>2011/12</c:v>
                </c:pt>
                <c:pt idx="6">
                  <c:v>2012/13</c:v>
                </c:pt>
              </c:strCache>
            </c:strRef>
          </c:cat>
          <c:val>
            <c:numRef>
              <c:f>'Client # by mode'!$B$93:$H$93</c:f>
              <c:numCache>
                <c:formatCode>0</c:formatCode>
                <c:ptCount val="7"/>
                <c:pt idx="0">
                  <c:v>362.01</c:v>
                </c:pt>
                <c:pt idx="1">
                  <c:v>343.31</c:v>
                </c:pt>
                <c:pt idx="2">
                  <c:v>750.23</c:v>
                </c:pt>
                <c:pt idx="3">
                  <c:v>660.56999999999994</c:v>
                </c:pt>
                <c:pt idx="4">
                  <c:v>759.01</c:v>
                </c:pt>
                <c:pt idx="5">
                  <c:v>602</c:v>
                </c:pt>
                <c:pt idx="6">
                  <c:v>819</c:v>
                </c:pt>
              </c:numCache>
            </c:numRef>
          </c:val>
        </c:ser>
        <c:ser>
          <c:idx val="2"/>
          <c:order val="2"/>
          <c:tx>
            <c:strRef>
              <c:f>'Client # by mode'!$A$94</c:f>
              <c:strCache>
                <c:ptCount val="1"/>
                <c:pt idx="0">
                  <c:v>Casino tables</c:v>
                </c:pt>
              </c:strCache>
            </c:strRef>
          </c:tx>
          <c:spPr>
            <a:pattFill prst="dkHorz">
              <a:fgClr>
                <a:schemeClr val="accent1"/>
              </a:fgClr>
              <a:bgClr>
                <a:schemeClr val="bg1"/>
              </a:bgClr>
            </a:pattFill>
          </c:spPr>
          <c:invertIfNegative val="0"/>
          <c:cat>
            <c:strRef>
              <c:f>'Client # by mode'!$B$91:$H$91</c:f>
              <c:strCache>
                <c:ptCount val="7"/>
                <c:pt idx="0">
                  <c:v>2006/07</c:v>
                </c:pt>
                <c:pt idx="1">
                  <c:v>2007/08</c:v>
                </c:pt>
                <c:pt idx="2">
                  <c:v>2008/09</c:v>
                </c:pt>
                <c:pt idx="3">
                  <c:v>2009/10</c:v>
                </c:pt>
                <c:pt idx="4">
                  <c:v>2010/11</c:v>
                </c:pt>
                <c:pt idx="5">
                  <c:v>2011/12</c:v>
                </c:pt>
                <c:pt idx="6">
                  <c:v>2012/13</c:v>
                </c:pt>
              </c:strCache>
            </c:strRef>
          </c:cat>
          <c:val>
            <c:numRef>
              <c:f>'Client # by mode'!$B$94:$H$94</c:f>
              <c:numCache>
                <c:formatCode>0</c:formatCode>
                <c:ptCount val="7"/>
                <c:pt idx="0">
                  <c:v>248.45</c:v>
                </c:pt>
                <c:pt idx="1">
                  <c:v>277.88</c:v>
                </c:pt>
                <c:pt idx="2">
                  <c:v>668</c:v>
                </c:pt>
                <c:pt idx="3">
                  <c:v>693.1</c:v>
                </c:pt>
                <c:pt idx="4">
                  <c:v>433.08</c:v>
                </c:pt>
                <c:pt idx="5">
                  <c:v>510</c:v>
                </c:pt>
                <c:pt idx="6">
                  <c:v>616</c:v>
                </c:pt>
              </c:numCache>
            </c:numRef>
          </c:val>
        </c:ser>
        <c:ser>
          <c:idx val="3"/>
          <c:order val="3"/>
          <c:tx>
            <c:strRef>
              <c:f>'Client # by mode'!$A$95</c:f>
              <c:strCache>
                <c:ptCount val="1"/>
                <c:pt idx="0">
                  <c:v>NZ Lotteries Commission products</c:v>
                </c:pt>
              </c:strCache>
            </c:strRef>
          </c:tx>
          <c:spPr>
            <a:pattFill prst="pct40">
              <a:fgClr>
                <a:schemeClr val="accent1"/>
              </a:fgClr>
              <a:bgClr>
                <a:schemeClr val="bg1"/>
              </a:bgClr>
            </a:pattFill>
          </c:spPr>
          <c:invertIfNegative val="0"/>
          <c:cat>
            <c:strRef>
              <c:f>'Client # by mode'!$B$91:$H$91</c:f>
              <c:strCache>
                <c:ptCount val="7"/>
                <c:pt idx="0">
                  <c:v>2006/07</c:v>
                </c:pt>
                <c:pt idx="1">
                  <c:v>2007/08</c:v>
                </c:pt>
                <c:pt idx="2">
                  <c:v>2008/09</c:v>
                </c:pt>
                <c:pt idx="3">
                  <c:v>2009/10</c:v>
                </c:pt>
                <c:pt idx="4">
                  <c:v>2010/11</c:v>
                </c:pt>
                <c:pt idx="5">
                  <c:v>2011/12</c:v>
                </c:pt>
                <c:pt idx="6">
                  <c:v>2012/13</c:v>
                </c:pt>
              </c:strCache>
            </c:strRef>
          </c:cat>
          <c:val>
            <c:numRef>
              <c:f>'Client # by mode'!$B$95:$H$95</c:f>
              <c:numCache>
                <c:formatCode>0</c:formatCode>
                <c:ptCount val="7"/>
                <c:pt idx="0">
                  <c:v>93.1</c:v>
                </c:pt>
                <c:pt idx="1">
                  <c:v>119.69</c:v>
                </c:pt>
                <c:pt idx="2">
                  <c:v>801.39</c:v>
                </c:pt>
                <c:pt idx="3">
                  <c:v>1403.0200000000002</c:v>
                </c:pt>
                <c:pt idx="4">
                  <c:v>1333.25</c:v>
                </c:pt>
                <c:pt idx="5">
                  <c:v>1281</c:v>
                </c:pt>
                <c:pt idx="6">
                  <c:v>1116</c:v>
                </c:pt>
              </c:numCache>
            </c:numRef>
          </c:val>
        </c:ser>
        <c:ser>
          <c:idx val="4"/>
          <c:order val="4"/>
          <c:tx>
            <c:strRef>
              <c:f>'Client # by mode'!$A$96</c:f>
              <c:strCache>
                <c:ptCount val="1"/>
                <c:pt idx="0">
                  <c:v>NZ Racing Board</c:v>
                </c:pt>
              </c:strCache>
            </c:strRef>
          </c:tx>
          <c:spPr>
            <a:pattFill prst="lgCheck">
              <a:fgClr>
                <a:schemeClr val="accent1"/>
              </a:fgClr>
              <a:bgClr>
                <a:schemeClr val="bg1"/>
              </a:bgClr>
            </a:pattFill>
          </c:spPr>
          <c:invertIfNegative val="0"/>
          <c:cat>
            <c:strRef>
              <c:f>'Client # by mode'!$B$91:$H$91</c:f>
              <c:strCache>
                <c:ptCount val="7"/>
                <c:pt idx="0">
                  <c:v>2006/07</c:v>
                </c:pt>
                <c:pt idx="1">
                  <c:v>2007/08</c:v>
                </c:pt>
                <c:pt idx="2">
                  <c:v>2008/09</c:v>
                </c:pt>
                <c:pt idx="3">
                  <c:v>2009/10</c:v>
                </c:pt>
                <c:pt idx="4">
                  <c:v>2010/11</c:v>
                </c:pt>
                <c:pt idx="5">
                  <c:v>2011/12</c:v>
                </c:pt>
                <c:pt idx="6">
                  <c:v>2012/13</c:v>
                </c:pt>
              </c:strCache>
            </c:strRef>
          </c:cat>
          <c:val>
            <c:numRef>
              <c:f>'Client # by mode'!$B$96:$H$96</c:f>
              <c:numCache>
                <c:formatCode>0</c:formatCode>
                <c:ptCount val="7"/>
                <c:pt idx="0">
                  <c:v>255.63</c:v>
                </c:pt>
                <c:pt idx="1">
                  <c:v>257.35000000000002</c:v>
                </c:pt>
                <c:pt idx="2">
                  <c:v>444.74</c:v>
                </c:pt>
                <c:pt idx="3">
                  <c:v>636.71999999999991</c:v>
                </c:pt>
                <c:pt idx="4">
                  <c:v>635.51</c:v>
                </c:pt>
                <c:pt idx="5">
                  <c:v>783</c:v>
                </c:pt>
                <c:pt idx="6">
                  <c:v>819</c:v>
                </c:pt>
              </c:numCache>
            </c:numRef>
          </c:val>
        </c:ser>
        <c:dLbls>
          <c:showLegendKey val="0"/>
          <c:showVal val="0"/>
          <c:showCatName val="0"/>
          <c:showSerName val="0"/>
          <c:showPercent val="0"/>
          <c:showBubbleSize val="0"/>
        </c:dLbls>
        <c:gapWidth val="150"/>
        <c:axId val="768195968"/>
        <c:axId val="768615936"/>
      </c:barChart>
      <c:catAx>
        <c:axId val="768195968"/>
        <c:scaling>
          <c:orientation val="minMax"/>
        </c:scaling>
        <c:delete val="0"/>
        <c:axPos val="b"/>
        <c:title>
          <c:tx>
            <c:rich>
              <a:bodyPr/>
              <a:lstStyle/>
              <a:p>
                <a:pPr>
                  <a:defRPr/>
                </a:pPr>
                <a:r>
                  <a:rPr lang="en-NZ" sz="1100"/>
                  <a:t>Year</a:t>
                </a:r>
                <a:endParaRPr lang="en-NZ"/>
              </a:p>
            </c:rich>
          </c:tx>
          <c:layout>
            <c:manualLayout>
              <c:xMode val="edge"/>
              <c:yMode val="edge"/>
              <c:x val="0.52609467735051685"/>
              <c:y val="0.93556860755553728"/>
            </c:manualLayout>
          </c:layout>
          <c:overlay val="0"/>
        </c:title>
        <c:numFmt formatCode="General" sourceLinked="1"/>
        <c:majorTickMark val="out"/>
        <c:minorTickMark val="none"/>
        <c:tickLblPos val="nextTo"/>
        <c:txPr>
          <a:bodyPr rot="0" vert="horz"/>
          <a:lstStyle/>
          <a:p>
            <a:pPr>
              <a:defRPr/>
            </a:pPr>
            <a:endParaRPr lang="en-US"/>
          </a:p>
        </c:txPr>
        <c:crossAx val="768615936"/>
        <c:crosses val="autoZero"/>
        <c:auto val="1"/>
        <c:lblAlgn val="ctr"/>
        <c:lblOffset val="100"/>
        <c:noMultiLvlLbl val="0"/>
      </c:catAx>
      <c:valAx>
        <c:axId val="768615936"/>
        <c:scaling>
          <c:orientation val="minMax"/>
        </c:scaling>
        <c:delete val="0"/>
        <c:axPos val="l"/>
        <c:majorGridlines/>
        <c:title>
          <c:tx>
            <c:rich>
              <a:bodyPr rot="-5400000" vert="horz"/>
              <a:lstStyle/>
              <a:p>
                <a:pPr>
                  <a:defRPr/>
                </a:pPr>
                <a:r>
                  <a:rPr lang="en-US" sz="1100"/>
                  <a:t>Number</a:t>
                </a:r>
                <a:r>
                  <a:rPr lang="en-US" sz="1100" baseline="0"/>
                  <a:t> of clients per year</a:t>
                </a:r>
                <a:endParaRPr lang="en-US" sz="1100"/>
              </a:p>
            </c:rich>
          </c:tx>
          <c:layout>
            <c:manualLayout>
              <c:xMode val="edge"/>
              <c:yMode val="edge"/>
              <c:x val="4.2672435684392189E-3"/>
              <c:y val="0.19080753151382784"/>
            </c:manualLayout>
          </c:layout>
          <c:overlay val="0"/>
        </c:title>
        <c:numFmt formatCode="#,##0" sourceLinked="0"/>
        <c:majorTickMark val="out"/>
        <c:minorTickMark val="none"/>
        <c:tickLblPos val="nextTo"/>
        <c:crossAx val="768195968"/>
        <c:crosses val="autoZero"/>
        <c:crossBetween val="between"/>
      </c:valAx>
    </c:plotArea>
    <c:legend>
      <c:legendPos val="r"/>
      <c:layout>
        <c:manualLayout>
          <c:xMode val="edge"/>
          <c:yMode val="edge"/>
          <c:x val="0.14495690611476081"/>
          <c:y val="3.6444352769600986E-2"/>
          <c:w val="0.34802003355558186"/>
          <c:h val="0.26437093233624592"/>
        </c:manualLayout>
      </c:layout>
      <c:overlay val="0"/>
      <c:spPr>
        <a:solidFill>
          <a:schemeClr val="bg1"/>
        </a:solidFill>
      </c:sp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085739282589675E-2"/>
          <c:y val="5.1400554097404488E-2"/>
          <c:w val="0.88604024496937872"/>
          <c:h val="0.80337707884949194"/>
        </c:manualLayout>
      </c:layout>
      <c:barChart>
        <c:barDir val="col"/>
        <c:grouping val="clustered"/>
        <c:varyColors val="0"/>
        <c:ser>
          <c:idx val="0"/>
          <c:order val="0"/>
          <c:tx>
            <c:strRef>
              <c:f>'PYG by DEMOGRAPHICS'!$AO$45</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6"/>
                <c:pt idx="0">
                  <c:v>4.5999999999999996</c:v>
                </c:pt>
                <c:pt idx="1">
                  <c:v>4.3</c:v>
                </c:pt>
                <c:pt idx="2">
                  <c:v>3.9</c:v>
                </c:pt>
                <c:pt idx="3">
                  <c:v>4</c:v>
                </c:pt>
                <c:pt idx="4">
                  <c:v>4.4000000000000004</c:v>
                </c:pt>
                <c:pt idx="5">
                  <c:v>3.9</c:v>
                </c:pt>
              </c:numLit>
            </c:plus>
            <c:minus>
              <c:numLit>
                <c:formatCode>General</c:formatCode>
                <c:ptCount val="6"/>
                <c:pt idx="0">
                  <c:v>4.5999999999999996</c:v>
                </c:pt>
                <c:pt idx="1">
                  <c:v>4.3</c:v>
                </c:pt>
                <c:pt idx="2">
                  <c:v>3.9</c:v>
                </c:pt>
                <c:pt idx="3">
                  <c:v>4</c:v>
                </c:pt>
                <c:pt idx="4">
                  <c:v>4.4000000000000004</c:v>
                </c:pt>
                <c:pt idx="5">
                  <c:v>3.9</c:v>
                </c:pt>
              </c:numLit>
            </c:minus>
          </c:errBars>
          <c:cat>
            <c:strRef>
              <c:f>'PYG by DEMOGRAPHICS'!$AN$46:$AN$51</c:f>
              <c:strCache>
                <c:ptCount val="6"/>
                <c:pt idx="0">
                  <c:v>15-24</c:v>
                </c:pt>
                <c:pt idx="1">
                  <c:v>25-34</c:v>
                </c:pt>
                <c:pt idx="2">
                  <c:v>35-44</c:v>
                </c:pt>
                <c:pt idx="3">
                  <c:v>45-54</c:v>
                </c:pt>
                <c:pt idx="4">
                  <c:v>55-64</c:v>
                </c:pt>
                <c:pt idx="5">
                  <c:v>65+</c:v>
                </c:pt>
              </c:strCache>
            </c:strRef>
          </c:cat>
          <c:val>
            <c:numRef>
              <c:f>'PYG by DEMOGRAPHICS'!$AO$46:$AO$51</c:f>
              <c:numCache>
                <c:formatCode>0.0</c:formatCode>
                <c:ptCount val="6"/>
                <c:pt idx="0">
                  <c:v>32.778399999999998</c:v>
                </c:pt>
                <c:pt idx="1">
                  <c:v>56.942799999999998</c:v>
                </c:pt>
                <c:pt idx="2">
                  <c:v>58.548299999999998</c:v>
                </c:pt>
                <c:pt idx="3">
                  <c:v>63.365099999999998</c:v>
                </c:pt>
                <c:pt idx="4">
                  <c:v>59.663499999999999</c:v>
                </c:pt>
                <c:pt idx="5">
                  <c:v>56.162100000000002</c:v>
                </c:pt>
              </c:numCache>
            </c:numRef>
          </c:val>
        </c:ser>
        <c:ser>
          <c:idx val="1"/>
          <c:order val="1"/>
          <c:tx>
            <c:strRef>
              <c:f>'PYG by DEMOGRAPHICS'!$AP$45</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6"/>
                <c:pt idx="0">
                  <c:v>4.0999999999999996</c:v>
                </c:pt>
                <c:pt idx="1">
                  <c:v>4</c:v>
                </c:pt>
                <c:pt idx="2">
                  <c:v>3.5</c:v>
                </c:pt>
                <c:pt idx="3">
                  <c:v>3.7</c:v>
                </c:pt>
                <c:pt idx="4">
                  <c:v>3.8</c:v>
                </c:pt>
                <c:pt idx="5">
                  <c:v>3.2</c:v>
                </c:pt>
              </c:numLit>
            </c:plus>
            <c:minus>
              <c:numLit>
                <c:formatCode>General</c:formatCode>
                <c:ptCount val="6"/>
                <c:pt idx="0">
                  <c:v>4.0999999999999996</c:v>
                </c:pt>
                <c:pt idx="1">
                  <c:v>4</c:v>
                </c:pt>
                <c:pt idx="2">
                  <c:v>3.5</c:v>
                </c:pt>
                <c:pt idx="3">
                  <c:v>3.7</c:v>
                </c:pt>
                <c:pt idx="4">
                  <c:v>3.8</c:v>
                </c:pt>
                <c:pt idx="5">
                  <c:v>3.2</c:v>
                </c:pt>
              </c:numLit>
            </c:minus>
          </c:errBars>
          <c:cat>
            <c:strRef>
              <c:f>'PYG by DEMOGRAPHICS'!$AN$46:$AN$51</c:f>
              <c:strCache>
                <c:ptCount val="6"/>
                <c:pt idx="0">
                  <c:v>15-24</c:v>
                </c:pt>
                <c:pt idx="1">
                  <c:v>25-34</c:v>
                </c:pt>
                <c:pt idx="2">
                  <c:v>35-44</c:v>
                </c:pt>
                <c:pt idx="3">
                  <c:v>45-54</c:v>
                </c:pt>
                <c:pt idx="4">
                  <c:v>55-64</c:v>
                </c:pt>
                <c:pt idx="5">
                  <c:v>65+</c:v>
                </c:pt>
              </c:strCache>
            </c:strRef>
          </c:cat>
          <c:val>
            <c:numRef>
              <c:f>'PYG by DEMOGRAPHICS'!$AP$46:$AP$51</c:f>
              <c:numCache>
                <c:formatCode>0.0</c:formatCode>
                <c:ptCount val="6"/>
                <c:pt idx="0">
                  <c:v>32.744700000000002</c:v>
                </c:pt>
                <c:pt idx="1">
                  <c:v>51.051499999999997</c:v>
                </c:pt>
                <c:pt idx="2">
                  <c:v>55.107799999999997</c:v>
                </c:pt>
                <c:pt idx="3">
                  <c:v>58.916499999999999</c:v>
                </c:pt>
                <c:pt idx="4">
                  <c:v>58.767000000000003</c:v>
                </c:pt>
                <c:pt idx="5">
                  <c:v>49.041400000000003</c:v>
                </c:pt>
              </c:numCache>
            </c:numRef>
          </c:val>
        </c:ser>
        <c:dLbls>
          <c:showLegendKey val="0"/>
          <c:showVal val="0"/>
          <c:showCatName val="0"/>
          <c:showSerName val="0"/>
          <c:showPercent val="0"/>
          <c:showBubbleSize val="0"/>
        </c:dLbls>
        <c:gapWidth val="150"/>
        <c:axId val="768986112"/>
        <c:axId val="769209472"/>
      </c:barChart>
      <c:catAx>
        <c:axId val="768986112"/>
        <c:scaling>
          <c:orientation val="minMax"/>
        </c:scaling>
        <c:delete val="0"/>
        <c:axPos val="b"/>
        <c:title>
          <c:tx>
            <c:rich>
              <a:bodyPr/>
              <a:lstStyle/>
              <a:p>
                <a:pPr>
                  <a:defRPr/>
                </a:pPr>
                <a:r>
                  <a:rPr lang="en-US"/>
                  <a:t>Age group - years </a:t>
                </a:r>
              </a:p>
            </c:rich>
          </c:tx>
          <c:overlay val="0"/>
        </c:title>
        <c:numFmt formatCode="General" sourceLinked="0"/>
        <c:majorTickMark val="out"/>
        <c:minorTickMark val="none"/>
        <c:tickLblPos val="nextTo"/>
        <c:crossAx val="769209472"/>
        <c:crosses val="autoZero"/>
        <c:auto val="1"/>
        <c:lblAlgn val="ctr"/>
        <c:lblOffset val="100"/>
        <c:noMultiLvlLbl val="0"/>
      </c:catAx>
      <c:valAx>
        <c:axId val="769209472"/>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8986112"/>
        <c:crosses val="autoZero"/>
        <c:crossBetween val="between"/>
      </c:valAx>
    </c:plotArea>
    <c:legend>
      <c:legendPos val="r"/>
      <c:layout>
        <c:manualLayout>
          <c:xMode val="edge"/>
          <c:yMode val="edge"/>
          <c:x val="0.81801487314085741"/>
          <c:y val="3.6653178769320505E-2"/>
          <c:w val="0.14031846019247593"/>
          <c:h val="0.10028812891839528"/>
        </c:manualLayout>
      </c:layout>
      <c:overlay val="0"/>
      <c:spPr>
        <a:solidFill>
          <a:schemeClr val="bg1"/>
        </a:solidFill>
      </c:sp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132747829598237E-2"/>
          <c:y val="5.1400554097404488E-2"/>
          <c:w val="0.90399320277273032"/>
          <c:h val="0.69071637887924553"/>
        </c:manualLayout>
      </c:layout>
      <c:barChart>
        <c:barDir val="col"/>
        <c:grouping val="clustered"/>
        <c:varyColors val="0"/>
        <c:ser>
          <c:idx val="0"/>
          <c:order val="0"/>
          <c:tx>
            <c:strRef>
              <c:f>'+Mode by Demo'!$U$375</c:f>
              <c:strCache>
                <c:ptCount val="1"/>
                <c:pt idx="0">
                  <c:v>Males</c:v>
                </c:pt>
              </c:strCache>
            </c:strRef>
          </c:tx>
          <c:spPr>
            <a:solidFill>
              <a:schemeClr val="accent5">
                <a:lumMod val="75000"/>
              </a:schemeClr>
            </a:solidFill>
            <a:ln>
              <a:noFill/>
            </a:ln>
          </c:spPr>
          <c:invertIfNegative val="0"/>
          <c:errBars>
            <c:errBarType val="both"/>
            <c:errValType val="cust"/>
            <c:noEndCap val="0"/>
            <c:plus>
              <c:numLit>
                <c:formatCode>General</c:formatCode>
                <c:ptCount val="13"/>
                <c:pt idx="0">
                  <c:v>1.5</c:v>
                </c:pt>
                <c:pt idx="1">
                  <c:v>1.6</c:v>
                </c:pt>
                <c:pt idx="2">
                  <c:v>1.1000000000000001</c:v>
                </c:pt>
                <c:pt idx="3">
                  <c:v>0.87</c:v>
                </c:pt>
                <c:pt idx="4">
                  <c:v>1.9</c:v>
                </c:pt>
                <c:pt idx="5">
                  <c:v>1.3</c:v>
                </c:pt>
                <c:pt idx="6">
                  <c:v>0.8</c:v>
                </c:pt>
                <c:pt idx="7">
                  <c:v>1</c:v>
                </c:pt>
                <c:pt idx="8">
                  <c:v>0.7</c:v>
                </c:pt>
                <c:pt idx="9">
                  <c:v>0.8</c:v>
                </c:pt>
                <c:pt idx="10">
                  <c:v>0.6</c:v>
                </c:pt>
                <c:pt idx="11">
                  <c:v>0.7</c:v>
                </c:pt>
                <c:pt idx="12">
                  <c:v>0.3</c:v>
                </c:pt>
              </c:numLit>
            </c:plus>
            <c:minus>
              <c:numLit>
                <c:formatCode>General</c:formatCode>
                <c:ptCount val="13"/>
                <c:pt idx="0">
                  <c:v>1.5</c:v>
                </c:pt>
                <c:pt idx="1">
                  <c:v>1.6</c:v>
                </c:pt>
                <c:pt idx="2">
                  <c:v>1.1000000000000001</c:v>
                </c:pt>
                <c:pt idx="3">
                  <c:v>0.87</c:v>
                </c:pt>
                <c:pt idx="4">
                  <c:v>1.9</c:v>
                </c:pt>
                <c:pt idx="5">
                  <c:v>1.3</c:v>
                </c:pt>
                <c:pt idx="6">
                  <c:v>0.8</c:v>
                </c:pt>
                <c:pt idx="7">
                  <c:v>1</c:v>
                </c:pt>
                <c:pt idx="8">
                  <c:v>0.7</c:v>
                </c:pt>
                <c:pt idx="9">
                  <c:v>0.8</c:v>
                </c:pt>
                <c:pt idx="10">
                  <c:v>0.6</c:v>
                </c:pt>
                <c:pt idx="11">
                  <c:v>0.7</c:v>
                </c:pt>
                <c:pt idx="12">
                  <c:v>0.3</c:v>
                </c:pt>
              </c:numLit>
            </c:minus>
          </c:errBars>
          <c:cat>
            <c:strRef>
              <c:f>'+Mode by Demo'!$T$376:$T$388</c:f>
              <c:strCache>
                <c:ptCount val="13"/>
                <c:pt idx="0">
                  <c:v>Lotto only</c:v>
                </c:pt>
                <c:pt idx="1">
                  <c:v>Any non-Lotto</c:v>
                </c:pt>
                <c:pt idx="2">
                  <c:v>Any EGM</c:v>
                </c:pt>
                <c:pt idx="3">
                  <c:v>Any casino activity</c:v>
                </c:pt>
                <c:pt idx="4">
                  <c:v>* Lotto</c:v>
                </c:pt>
                <c:pt idx="5">
                  <c:v>* Instant Kiwi</c:v>
                </c:pt>
                <c:pt idx="6">
                  <c:v>Non-casino EGM</c:v>
                </c:pt>
                <c:pt idx="7">
                  <c:v>* Track betting</c:v>
                </c:pt>
                <c:pt idx="8">
                  <c:v>Casino EGMs</c:v>
                </c:pt>
                <c:pt idx="9">
                  <c:v>* Sports betting</c:v>
                </c:pt>
                <c:pt idx="10">
                  <c:v>* Casino tables</c:v>
                </c:pt>
                <c:pt idx="11">
                  <c:v>* Other</c:v>
                </c:pt>
                <c:pt idx="12">
                  <c:v>Keno</c:v>
                </c:pt>
              </c:strCache>
            </c:strRef>
          </c:cat>
          <c:val>
            <c:numRef>
              <c:f>'+Mode by Demo'!$U$376:$U$388</c:f>
              <c:numCache>
                <c:formatCode>0.0</c:formatCode>
                <c:ptCount val="13"/>
                <c:pt idx="0">
                  <c:v>27.652100000000001</c:v>
                </c:pt>
                <c:pt idx="1">
                  <c:v>26.271000000000001</c:v>
                </c:pt>
                <c:pt idx="2">
                  <c:v>9.1297999999999995</c:v>
                </c:pt>
                <c:pt idx="3">
                  <c:v>5.9119000000000002</c:v>
                </c:pt>
                <c:pt idx="4">
                  <c:v>46.868699999999997</c:v>
                </c:pt>
                <c:pt idx="5">
                  <c:v>11.9198</c:v>
                </c:pt>
                <c:pt idx="6">
                  <c:v>6.2458</c:v>
                </c:pt>
                <c:pt idx="7">
                  <c:v>8.0454000000000008</c:v>
                </c:pt>
                <c:pt idx="8">
                  <c:v>4.2146999999999997</c:v>
                </c:pt>
                <c:pt idx="9">
                  <c:v>4.8582000000000001</c:v>
                </c:pt>
                <c:pt idx="10">
                  <c:v>2.7130000000000001</c:v>
                </c:pt>
                <c:pt idx="11">
                  <c:v>1.5853999999999999</c:v>
                </c:pt>
                <c:pt idx="12">
                  <c:v>0.95520000000000005</c:v>
                </c:pt>
              </c:numCache>
            </c:numRef>
          </c:val>
        </c:ser>
        <c:ser>
          <c:idx val="1"/>
          <c:order val="1"/>
          <c:tx>
            <c:strRef>
              <c:f>'+Mode by Demo'!$V$375</c:f>
              <c:strCache>
                <c:ptCount val="1"/>
                <c:pt idx="0">
                  <c:v>Females</c:v>
                </c:pt>
              </c:strCache>
            </c:strRef>
          </c:tx>
          <c:spPr>
            <a:solidFill>
              <a:schemeClr val="accent5">
                <a:lumMod val="60000"/>
                <a:lumOff val="40000"/>
              </a:schemeClr>
            </a:solidFill>
            <a:ln>
              <a:noFill/>
            </a:ln>
          </c:spPr>
          <c:invertIfNegative val="0"/>
          <c:errBars>
            <c:errBarType val="both"/>
            <c:errValType val="cust"/>
            <c:noEndCap val="0"/>
            <c:plus>
              <c:numLit>
                <c:formatCode>General</c:formatCode>
                <c:ptCount val="13"/>
                <c:pt idx="0">
                  <c:v>1.5</c:v>
                </c:pt>
                <c:pt idx="1">
                  <c:v>1.4</c:v>
                </c:pt>
                <c:pt idx="2">
                  <c:v>0.9</c:v>
                </c:pt>
                <c:pt idx="3">
                  <c:v>0.6</c:v>
                </c:pt>
                <c:pt idx="4">
                  <c:v>1.7</c:v>
                </c:pt>
                <c:pt idx="5">
                  <c:v>1.2</c:v>
                </c:pt>
                <c:pt idx="6">
                  <c:v>0.8</c:v>
                </c:pt>
                <c:pt idx="7">
                  <c:v>0.7</c:v>
                </c:pt>
                <c:pt idx="8">
                  <c:v>0.7</c:v>
                </c:pt>
                <c:pt idx="9">
                  <c:v>0.2</c:v>
                </c:pt>
                <c:pt idx="10">
                  <c:v>0.4</c:v>
                </c:pt>
                <c:pt idx="11">
                  <c:v>0.3</c:v>
                </c:pt>
                <c:pt idx="12">
                  <c:v>0.3</c:v>
                </c:pt>
              </c:numLit>
            </c:plus>
            <c:minus>
              <c:numLit>
                <c:formatCode>General</c:formatCode>
                <c:ptCount val="13"/>
                <c:pt idx="0">
                  <c:v>1.5</c:v>
                </c:pt>
                <c:pt idx="1">
                  <c:v>1.4</c:v>
                </c:pt>
                <c:pt idx="2">
                  <c:v>0.9</c:v>
                </c:pt>
                <c:pt idx="3">
                  <c:v>0.6</c:v>
                </c:pt>
                <c:pt idx="4">
                  <c:v>1.7</c:v>
                </c:pt>
                <c:pt idx="5">
                  <c:v>1.2</c:v>
                </c:pt>
                <c:pt idx="6">
                  <c:v>0.8</c:v>
                </c:pt>
                <c:pt idx="7">
                  <c:v>0.7</c:v>
                </c:pt>
                <c:pt idx="8">
                  <c:v>0.7</c:v>
                </c:pt>
                <c:pt idx="9">
                  <c:v>0.2</c:v>
                </c:pt>
                <c:pt idx="10">
                  <c:v>0.4</c:v>
                </c:pt>
                <c:pt idx="11">
                  <c:v>0.3</c:v>
                </c:pt>
                <c:pt idx="12">
                  <c:v>0.3</c:v>
                </c:pt>
              </c:numLit>
            </c:minus>
          </c:errBars>
          <c:cat>
            <c:strRef>
              <c:f>'+Mode by Demo'!$T$376:$T$388</c:f>
              <c:strCache>
                <c:ptCount val="13"/>
                <c:pt idx="0">
                  <c:v>Lotto only</c:v>
                </c:pt>
                <c:pt idx="1">
                  <c:v>Any non-Lotto</c:v>
                </c:pt>
                <c:pt idx="2">
                  <c:v>Any EGM</c:v>
                </c:pt>
                <c:pt idx="3">
                  <c:v>Any casino activity</c:v>
                </c:pt>
                <c:pt idx="4">
                  <c:v>* Lotto</c:v>
                </c:pt>
                <c:pt idx="5">
                  <c:v>* Instant Kiwi</c:v>
                </c:pt>
                <c:pt idx="6">
                  <c:v>Non-casino EGM</c:v>
                </c:pt>
                <c:pt idx="7">
                  <c:v>* Track betting</c:v>
                </c:pt>
                <c:pt idx="8">
                  <c:v>Casino EGMs</c:v>
                </c:pt>
                <c:pt idx="9">
                  <c:v>* Sports betting</c:v>
                </c:pt>
                <c:pt idx="10">
                  <c:v>* Casino tables</c:v>
                </c:pt>
                <c:pt idx="11">
                  <c:v>* Other</c:v>
                </c:pt>
                <c:pt idx="12">
                  <c:v>Keno</c:v>
                </c:pt>
              </c:strCache>
            </c:strRef>
          </c:cat>
          <c:val>
            <c:numRef>
              <c:f>'+Mode by Demo'!$V$376:$V$388</c:f>
              <c:numCache>
                <c:formatCode>0.0</c:formatCode>
                <c:ptCount val="13"/>
                <c:pt idx="0">
                  <c:v>26.4192</c:v>
                </c:pt>
                <c:pt idx="1">
                  <c:v>24.291599999999999</c:v>
                </c:pt>
                <c:pt idx="2">
                  <c:v>8.9901999999999997</c:v>
                </c:pt>
                <c:pt idx="3">
                  <c:v>4.8907999999999996</c:v>
                </c:pt>
                <c:pt idx="4">
                  <c:v>43.679299999999998</c:v>
                </c:pt>
                <c:pt idx="5">
                  <c:v>15.1746</c:v>
                </c:pt>
                <c:pt idx="6">
                  <c:v>5.9348000000000001</c:v>
                </c:pt>
                <c:pt idx="7">
                  <c:v>4.1615000000000002</c:v>
                </c:pt>
                <c:pt idx="8">
                  <c:v>4.1672000000000002</c:v>
                </c:pt>
                <c:pt idx="9">
                  <c:v>0.54720000000000002</c:v>
                </c:pt>
                <c:pt idx="10">
                  <c:v>1.2448999999999999</c:v>
                </c:pt>
                <c:pt idx="11">
                  <c:v>0.82040000000000002</c:v>
                </c:pt>
                <c:pt idx="12">
                  <c:v>0.92659999999999998</c:v>
                </c:pt>
              </c:numCache>
            </c:numRef>
          </c:val>
        </c:ser>
        <c:dLbls>
          <c:showLegendKey val="0"/>
          <c:showVal val="0"/>
          <c:showCatName val="0"/>
          <c:showSerName val="0"/>
          <c:showPercent val="0"/>
          <c:showBubbleSize val="0"/>
        </c:dLbls>
        <c:gapWidth val="150"/>
        <c:axId val="768965248"/>
        <c:axId val="768987904"/>
      </c:barChart>
      <c:catAx>
        <c:axId val="768965248"/>
        <c:scaling>
          <c:orientation val="minMax"/>
        </c:scaling>
        <c:delete val="0"/>
        <c:axPos val="b"/>
        <c:title>
          <c:tx>
            <c:rich>
              <a:bodyPr/>
              <a:lstStyle/>
              <a:p>
                <a:pPr>
                  <a:defRPr/>
                </a:pPr>
                <a:r>
                  <a:rPr lang="en-US"/>
                  <a:t>Gambling Activity</a:t>
                </a:r>
              </a:p>
            </c:rich>
          </c:tx>
          <c:overlay val="0"/>
        </c:title>
        <c:numFmt formatCode="General" sourceLinked="1"/>
        <c:majorTickMark val="out"/>
        <c:minorTickMark val="none"/>
        <c:tickLblPos val="nextTo"/>
        <c:crossAx val="768987904"/>
        <c:crosses val="autoZero"/>
        <c:auto val="1"/>
        <c:lblAlgn val="ctr"/>
        <c:lblOffset val="100"/>
        <c:noMultiLvlLbl val="0"/>
      </c:catAx>
      <c:valAx>
        <c:axId val="768987904"/>
        <c:scaling>
          <c:orientation val="minMax"/>
          <c:max val="5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8965248"/>
        <c:crosses val="autoZero"/>
        <c:crossBetween val="between"/>
      </c:valAx>
    </c:plotArea>
    <c:legend>
      <c:legendPos val="r"/>
      <c:layout>
        <c:manualLayout>
          <c:xMode val="edge"/>
          <c:yMode val="edge"/>
          <c:x val="0.85776477820787989"/>
          <c:y val="6.1880461658332907E-2"/>
          <c:w val="0.12030122293926465"/>
          <c:h val="0.12551540773016001"/>
        </c:manualLayout>
      </c:layout>
      <c:overlay val="0"/>
      <c:spPr>
        <a:solidFill>
          <a:schemeClr val="bg1"/>
        </a:solidFill>
      </c:sp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661977087695545E-2"/>
          <c:y val="5.1400554097404488E-2"/>
          <c:w val="0.89446407221614233"/>
          <c:h val="0.7879550257314154"/>
        </c:manualLayout>
      </c:layout>
      <c:barChart>
        <c:barDir val="col"/>
        <c:grouping val="clustered"/>
        <c:varyColors val="0"/>
        <c:ser>
          <c:idx val="0"/>
          <c:order val="0"/>
          <c:tx>
            <c:strRef>
              <c:f>'+Mode by Demo'!$AC$1137</c:f>
              <c:strCache>
                <c:ptCount val="1"/>
                <c:pt idx="0">
                  <c:v>Males</c:v>
                </c:pt>
              </c:strCache>
            </c:strRef>
          </c:tx>
          <c:spPr>
            <a:solidFill>
              <a:schemeClr val="accent5">
                <a:lumMod val="75000"/>
              </a:schemeClr>
            </a:solidFill>
          </c:spPr>
          <c:invertIfNegative val="0"/>
          <c:errBars>
            <c:errBarType val="both"/>
            <c:errValType val="cust"/>
            <c:noEndCap val="0"/>
            <c:plus>
              <c:numLit>
                <c:formatCode>General</c:formatCode>
                <c:ptCount val="6"/>
                <c:pt idx="0">
                  <c:v>2.6</c:v>
                </c:pt>
                <c:pt idx="1">
                  <c:v>2.8</c:v>
                </c:pt>
                <c:pt idx="2">
                  <c:v>2.1</c:v>
                </c:pt>
                <c:pt idx="3">
                  <c:v>1.9</c:v>
                </c:pt>
                <c:pt idx="4">
                  <c:v>1.4</c:v>
                </c:pt>
                <c:pt idx="5">
                  <c:v>1.4</c:v>
                </c:pt>
              </c:numLit>
            </c:plus>
            <c:minus>
              <c:numLit>
                <c:formatCode>General</c:formatCode>
                <c:ptCount val="6"/>
                <c:pt idx="0">
                  <c:v>2.6</c:v>
                </c:pt>
                <c:pt idx="1">
                  <c:v>2.8</c:v>
                </c:pt>
                <c:pt idx="2">
                  <c:v>2.1</c:v>
                </c:pt>
                <c:pt idx="3">
                  <c:v>1.9</c:v>
                </c:pt>
                <c:pt idx="4">
                  <c:v>1.4</c:v>
                </c:pt>
                <c:pt idx="5">
                  <c:v>1.4</c:v>
                </c:pt>
              </c:numLit>
            </c:minus>
          </c:errBars>
          <c:cat>
            <c:strRef>
              <c:f>'+Mode by Demo'!$AB$1139:$AB$1144</c:f>
              <c:strCache>
                <c:ptCount val="6"/>
                <c:pt idx="0">
                  <c:v>15 - 24</c:v>
                </c:pt>
                <c:pt idx="1">
                  <c:v>25 - 34</c:v>
                </c:pt>
                <c:pt idx="2">
                  <c:v>35 - 44</c:v>
                </c:pt>
                <c:pt idx="3">
                  <c:v>45 - 54</c:v>
                </c:pt>
                <c:pt idx="4">
                  <c:v>55 - 64</c:v>
                </c:pt>
                <c:pt idx="5">
                  <c:v>65 +</c:v>
                </c:pt>
              </c:strCache>
            </c:strRef>
          </c:cat>
          <c:val>
            <c:numRef>
              <c:f>'+Mode by Demo'!$AC$1139:$AC$1144</c:f>
              <c:numCache>
                <c:formatCode>0.0</c:formatCode>
                <c:ptCount val="6"/>
                <c:pt idx="0">
                  <c:v>7.6535000000000002</c:v>
                </c:pt>
                <c:pt idx="1">
                  <c:v>9.9826999999999995</c:v>
                </c:pt>
                <c:pt idx="2">
                  <c:v>5.7424999999999997</c:v>
                </c:pt>
                <c:pt idx="3">
                  <c:v>4.6813000000000002</c:v>
                </c:pt>
                <c:pt idx="4">
                  <c:v>3.4352</c:v>
                </c:pt>
                <c:pt idx="5">
                  <c:v>3.3668</c:v>
                </c:pt>
              </c:numCache>
            </c:numRef>
          </c:val>
        </c:ser>
        <c:ser>
          <c:idx val="1"/>
          <c:order val="1"/>
          <c:tx>
            <c:strRef>
              <c:f>'+Mode by Demo'!$AD$1137</c:f>
              <c:strCache>
                <c:ptCount val="1"/>
                <c:pt idx="0">
                  <c:v>Females</c:v>
                </c:pt>
              </c:strCache>
            </c:strRef>
          </c:tx>
          <c:spPr>
            <a:solidFill>
              <a:schemeClr val="accent5">
                <a:lumMod val="60000"/>
                <a:lumOff val="40000"/>
              </a:schemeClr>
            </a:solidFill>
          </c:spPr>
          <c:invertIfNegative val="0"/>
          <c:errBars>
            <c:errBarType val="both"/>
            <c:errValType val="cust"/>
            <c:noEndCap val="0"/>
            <c:plus>
              <c:numLit>
                <c:formatCode>General</c:formatCode>
                <c:ptCount val="6"/>
                <c:pt idx="0">
                  <c:v>1.5</c:v>
                </c:pt>
                <c:pt idx="1">
                  <c:v>1.7</c:v>
                </c:pt>
                <c:pt idx="2">
                  <c:v>1.4</c:v>
                </c:pt>
                <c:pt idx="3">
                  <c:v>1.6</c:v>
                </c:pt>
                <c:pt idx="4">
                  <c:v>2</c:v>
                </c:pt>
                <c:pt idx="5">
                  <c:v>1.2</c:v>
                </c:pt>
              </c:numLit>
            </c:plus>
            <c:minus>
              <c:numLit>
                <c:formatCode>General</c:formatCode>
                <c:ptCount val="6"/>
                <c:pt idx="0">
                  <c:v>1.5</c:v>
                </c:pt>
                <c:pt idx="1">
                  <c:v>1.7</c:v>
                </c:pt>
                <c:pt idx="2">
                  <c:v>1.4</c:v>
                </c:pt>
                <c:pt idx="3">
                  <c:v>1.6</c:v>
                </c:pt>
                <c:pt idx="4">
                  <c:v>2</c:v>
                </c:pt>
                <c:pt idx="5">
                  <c:v>1.2</c:v>
                </c:pt>
              </c:numLit>
            </c:minus>
          </c:errBars>
          <c:cat>
            <c:strRef>
              <c:f>'+Mode by Demo'!$AB$1139:$AB$1144</c:f>
              <c:strCache>
                <c:ptCount val="6"/>
                <c:pt idx="0">
                  <c:v>15 - 24</c:v>
                </c:pt>
                <c:pt idx="1">
                  <c:v>25 - 34</c:v>
                </c:pt>
                <c:pt idx="2">
                  <c:v>35 - 44</c:v>
                </c:pt>
                <c:pt idx="3">
                  <c:v>45 - 54</c:v>
                </c:pt>
                <c:pt idx="4">
                  <c:v>55 - 64</c:v>
                </c:pt>
                <c:pt idx="5">
                  <c:v>65 +</c:v>
                </c:pt>
              </c:strCache>
            </c:strRef>
          </c:cat>
          <c:val>
            <c:numRef>
              <c:f>'+Mode by Demo'!$AD$1139:$AD$1144</c:f>
              <c:numCache>
                <c:formatCode>0.0</c:formatCode>
                <c:ptCount val="6"/>
                <c:pt idx="0">
                  <c:v>3.0817999999999999</c:v>
                </c:pt>
                <c:pt idx="1">
                  <c:v>6.8280000000000003</c:v>
                </c:pt>
                <c:pt idx="2">
                  <c:v>4.6406000000000001</c:v>
                </c:pt>
                <c:pt idx="3">
                  <c:v>4.7675000000000001</c:v>
                </c:pt>
                <c:pt idx="4">
                  <c:v>6.2397</c:v>
                </c:pt>
                <c:pt idx="5">
                  <c:v>4.1978999999999997</c:v>
                </c:pt>
              </c:numCache>
            </c:numRef>
          </c:val>
        </c:ser>
        <c:dLbls>
          <c:showLegendKey val="0"/>
          <c:showVal val="0"/>
          <c:showCatName val="0"/>
          <c:showSerName val="0"/>
          <c:showPercent val="0"/>
          <c:showBubbleSize val="0"/>
        </c:dLbls>
        <c:gapWidth val="150"/>
        <c:axId val="769865984"/>
        <c:axId val="769872256"/>
      </c:barChart>
      <c:catAx>
        <c:axId val="769865984"/>
        <c:scaling>
          <c:orientation val="minMax"/>
        </c:scaling>
        <c:delete val="0"/>
        <c:axPos val="b"/>
        <c:title>
          <c:tx>
            <c:rich>
              <a:bodyPr/>
              <a:lstStyle/>
              <a:p>
                <a:pPr>
                  <a:defRPr/>
                </a:pPr>
                <a:r>
                  <a:rPr lang="en-US"/>
                  <a:t>Age-group (years)</a:t>
                </a:r>
              </a:p>
            </c:rich>
          </c:tx>
          <c:layout>
            <c:manualLayout>
              <c:xMode val="edge"/>
              <c:yMode val="edge"/>
              <c:x val="0.4581400894830322"/>
              <c:y val="0.92102650677057352"/>
            </c:manualLayout>
          </c:layout>
          <c:overlay val="0"/>
        </c:title>
        <c:numFmt formatCode="General" sourceLinked="1"/>
        <c:majorTickMark val="out"/>
        <c:minorTickMark val="none"/>
        <c:tickLblPos val="nextTo"/>
        <c:crossAx val="769872256"/>
        <c:crosses val="autoZero"/>
        <c:auto val="1"/>
        <c:lblAlgn val="ctr"/>
        <c:lblOffset val="100"/>
        <c:noMultiLvlLbl val="0"/>
      </c:catAx>
      <c:valAx>
        <c:axId val="769872256"/>
        <c:scaling>
          <c:orientation val="minMax"/>
          <c:max val="5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9865984"/>
        <c:crosses val="autoZero"/>
        <c:crossBetween val="between"/>
      </c:valAx>
    </c:plotArea>
    <c:legend>
      <c:legendPos val="r"/>
      <c:layout>
        <c:manualLayout>
          <c:xMode val="edge"/>
          <c:yMode val="edge"/>
          <c:x val="0.85776477820787989"/>
          <c:y val="6.1880461658332907E-2"/>
          <c:w val="0.10145684807155825"/>
          <c:h val="0.12126609335545471"/>
        </c:manualLayout>
      </c:layout>
      <c:overlay val="0"/>
      <c:spPr>
        <a:solidFill>
          <a:schemeClr val="bg1"/>
        </a:solidFill>
      </c:sp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661977087695545E-2"/>
          <c:y val="5.1400554097404488E-2"/>
          <c:w val="0.89446407221614233"/>
          <c:h val="0.7879550257314154"/>
        </c:manualLayout>
      </c:layout>
      <c:barChart>
        <c:barDir val="col"/>
        <c:grouping val="clustered"/>
        <c:varyColors val="0"/>
        <c:ser>
          <c:idx val="0"/>
          <c:order val="0"/>
          <c:tx>
            <c:strRef>
              <c:f>'+Mode by Demo'!$AC$1190</c:f>
              <c:strCache>
                <c:ptCount val="1"/>
                <c:pt idx="0">
                  <c:v>Males</c:v>
                </c:pt>
              </c:strCache>
            </c:strRef>
          </c:tx>
          <c:spPr>
            <a:solidFill>
              <a:schemeClr val="accent5">
                <a:lumMod val="75000"/>
              </a:schemeClr>
            </a:solidFill>
          </c:spPr>
          <c:invertIfNegative val="0"/>
          <c:errBars>
            <c:errBarType val="both"/>
            <c:errValType val="cust"/>
            <c:noEndCap val="0"/>
            <c:plus>
              <c:numLit>
                <c:formatCode>General</c:formatCode>
                <c:ptCount val="6"/>
                <c:pt idx="0">
                  <c:v>3.3</c:v>
                </c:pt>
                <c:pt idx="1">
                  <c:v>3.5</c:v>
                </c:pt>
                <c:pt idx="2">
                  <c:v>2.8</c:v>
                </c:pt>
                <c:pt idx="3">
                  <c:v>2.5</c:v>
                </c:pt>
                <c:pt idx="4">
                  <c:v>2.5</c:v>
                </c:pt>
                <c:pt idx="5">
                  <c:v>2.2000000000000002</c:v>
                </c:pt>
              </c:numLit>
            </c:plus>
            <c:minus>
              <c:numLit>
                <c:formatCode>General</c:formatCode>
                <c:ptCount val="6"/>
                <c:pt idx="0">
                  <c:v>3.3</c:v>
                </c:pt>
                <c:pt idx="1">
                  <c:v>3.5</c:v>
                </c:pt>
                <c:pt idx="2">
                  <c:v>2.8</c:v>
                </c:pt>
                <c:pt idx="3">
                  <c:v>2.5</c:v>
                </c:pt>
                <c:pt idx="4">
                  <c:v>2.5</c:v>
                </c:pt>
                <c:pt idx="5">
                  <c:v>2.2000000000000002</c:v>
                </c:pt>
              </c:numLit>
            </c:minus>
          </c:errBars>
          <c:cat>
            <c:strRef>
              <c:f>'+Mode by Demo'!$AB$1191:$AB$1196</c:f>
              <c:strCache>
                <c:ptCount val="6"/>
                <c:pt idx="0">
                  <c:v>15 - 24</c:v>
                </c:pt>
                <c:pt idx="1">
                  <c:v>25 - 34</c:v>
                </c:pt>
                <c:pt idx="2">
                  <c:v>35 - 44</c:v>
                </c:pt>
                <c:pt idx="3">
                  <c:v>45 - 54</c:v>
                </c:pt>
                <c:pt idx="4">
                  <c:v>55 - 64</c:v>
                </c:pt>
                <c:pt idx="5">
                  <c:v>65 +</c:v>
                </c:pt>
              </c:strCache>
            </c:strRef>
          </c:cat>
          <c:val>
            <c:numRef>
              <c:f>'+Mode by Demo'!$AC$1191:$AC$1196</c:f>
              <c:numCache>
                <c:formatCode>0.0</c:formatCode>
                <c:ptCount val="6"/>
                <c:pt idx="0">
                  <c:v>13.6496</c:v>
                </c:pt>
                <c:pt idx="1">
                  <c:v>18.514399999999998</c:v>
                </c:pt>
                <c:pt idx="2">
                  <c:v>10.886200000000001</c:v>
                </c:pt>
                <c:pt idx="3">
                  <c:v>9.0961999999999996</c:v>
                </c:pt>
                <c:pt idx="4">
                  <c:v>9.8129000000000008</c:v>
                </c:pt>
                <c:pt idx="5">
                  <c:v>9.1038999999999994</c:v>
                </c:pt>
              </c:numCache>
            </c:numRef>
          </c:val>
        </c:ser>
        <c:ser>
          <c:idx val="1"/>
          <c:order val="1"/>
          <c:tx>
            <c:strRef>
              <c:f>'+Mode by Demo'!$AD$1190</c:f>
              <c:strCache>
                <c:ptCount val="1"/>
                <c:pt idx="0">
                  <c:v>Females</c:v>
                </c:pt>
              </c:strCache>
            </c:strRef>
          </c:tx>
          <c:spPr>
            <a:solidFill>
              <a:schemeClr val="accent5">
                <a:lumMod val="60000"/>
                <a:lumOff val="40000"/>
              </a:schemeClr>
            </a:solidFill>
          </c:spPr>
          <c:invertIfNegative val="0"/>
          <c:errBars>
            <c:errBarType val="both"/>
            <c:errValType val="cust"/>
            <c:noEndCap val="0"/>
            <c:plus>
              <c:numLit>
                <c:formatCode>General</c:formatCode>
                <c:ptCount val="6"/>
                <c:pt idx="0">
                  <c:v>3.5</c:v>
                </c:pt>
                <c:pt idx="1">
                  <c:v>2.7</c:v>
                </c:pt>
                <c:pt idx="2">
                  <c:v>2.2999999999999998</c:v>
                </c:pt>
                <c:pt idx="3">
                  <c:v>2.8</c:v>
                </c:pt>
                <c:pt idx="4">
                  <c:v>2.6</c:v>
                </c:pt>
                <c:pt idx="5">
                  <c:v>1.9</c:v>
                </c:pt>
              </c:numLit>
            </c:plus>
            <c:minus>
              <c:numLit>
                <c:formatCode>General</c:formatCode>
                <c:ptCount val="6"/>
                <c:pt idx="0">
                  <c:v>3.5</c:v>
                </c:pt>
                <c:pt idx="1">
                  <c:v>2.7</c:v>
                </c:pt>
                <c:pt idx="2">
                  <c:v>2.2999999999999998</c:v>
                </c:pt>
                <c:pt idx="3">
                  <c:v>2.8</c:v>
                </c:pt>
                <c:pt idx="4">
                  <c:v>2.6</c:v>
                </c:pt>
                <c:pt idx="5">
                  <c:v>1.9</c:v>
                </c:pt>
              </c:numLit>
            </c:minus>
          </c:errBars>
          <c:cat>
            <c:strRef>
              <c:f>'+Mode by Demo'!$AB$1191:$AB$1196</c:f>
              <c:strCache>
                <c:ptCount val="6"/>
                <c:pt idx="0">
                  <c:v>15 - 24</c:v>
                </c:pt>
                <c:pt idx="1">
                  <c:v>25 - 34</c:v>
                </c:pt>
                <c:pt idx="2">
                  <c:v>35 - 44</c:v>
                </c:pt>
                <c:pt idx="3">
                  <c:v>45 - 54</c:v>
                </c:pt>
                <c:pt idx="4">
                  <c:v>55 - 64</c:v>
                </c:pt>
                <c:pt idx="5">
                  <c:v>65 +</c:v>
                </c:pt>
              </c:strCache>
            </c:strRef>
          </c:cat>
          <c:val>
            <c:numRef>
              <c:f>'+Mode by Demo'!$AD$1191:$AD$1196</c:f>
              <c:numCache>
                <c:formatCode>0.0</c:formatCode>
                <c:ptCount val="6"/>
                <c:pt idx="0">
                  <c:v>19.279900000000001</c:v>
                </c:pt>
                <c:pt idx="1">
                  <c:v>17.1173</c:v>
                </c:pt>
                <c:pt idx="2">
                  <c:v>14.1426</c:v>
                </c:pt>
                <c:pt idx="3">
                  <c:v>15.792</c:v>
                </c:pt>
                <c:pt idx="4">
                  <c:v>13.7919</c:v>
                </c:pt>
                <c:pt idx="5">
                  <c:v>10.985799999999999</c:v>
                </c:pt>
              </c:numCache>
            </c:numRef>
          </c:val>
        </c:ser>
        <c:dLbls>
          <c:showLegendKey val="0"/>
          <c:showVal val="0"/>
          <c:showCatName val="0"/>
          <c:showSerName val="0"/>
          <c:showPercent val="0"/>
          <c:showBubbleSize val="0"/>
        </c:dLbls>
        <c:gapWidth val="150"/>
        <c:axId val="769890176"/>
        <c:axId val="769900544"/>
      </c:barChart>
      <c:catAx>
        <c:axId val="769890176"/>
        <c:scaling>
          <c:orientation val="minMax"/>
        </c:scaling>
        <c:delete val="0"/>
        <c:axPos val="b"/>
        <c:title>
          <c:tx>
            <c:rich>
              <a:bodyPr/>
              <a:lstStyle/>
              <a:p>
                <a:pPr>
                  <a:defRPr/>
                </a:pPr>
                <a:r>
                  <a:rPr lang="en-US"/>
                  <a:t>Age-group (years)</a:t>
                </a:r>
              </a:p>
            </c:rich>
          </c:tx>
          <c:layout>
            <c:manualLayout>
              <c:xMode val="edge"/>
              <c:yMode val="edge"/>
              <c:x val="0.4688345447203715"/>
              <c:y val="0.92550857745807713"/>
            </c:manualLayout>
          </c:layout>
          <c:overlay val="0"/>
        </c:title>
        <c:numFmt formatCode="General" sourceLinked="1"/>
        <c:majorTickMark val="out"/>
        <c:minorTickMark val="none"/>
        <c:tickLblPos val="nextTo"/>
        <c:crossAx val="769900544"/>
        <c:crosses val="autoZero"/>
        <c:auto val="1"/>
        <c:lblAlgn val="ctr"/>
        <c:lblOffset val="100"/>
        <c:noMultiLvlLbl val="0"/>
      </c:catAx>
      <c:valAx>
        <c:axId val="769900544"/>
        <c:scaling>
          <c:orientation val="minMax"/>
          <c:max val="5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9890176"/>
        <c:crosses val="autoZero"/>
        <c:crossBetween val="between"/>
      </c:valAx>
    </c:plotArea>
    <c:legend>
      <c:legendPos val="r"/>
      <c:layout>
        <c:manualLayout>
          <c:xMode val="edge"/>
          <c:yMode val="edge"/>
          <c:x val="0.85776477820787989"/>
          <c:y val="6.1880461658332907E-2"/>
          <c:w val="0.12336688351423993"/>
          <c:h val="0.12107069060002357"/>
        </c:manualLayout>
      </c:layout>
      <c:overlay val="0"/>
      <c:spPr>
        <a:solidFill>
          <a:schemeClr val="bg1"/>
        </a:solidFill>
      </c:sp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661977087695545E-2"/>
          <c:y val="5.1400554097404488E-2"/>
          <c:w val="0.89446407221614233"/>
          <c:h val="0.7879550257314154"/>
        </c:manualLayout>
      </c:layout>
      <c:barChart>
        <c:barDir val="col"/>
        <c:grouping val="clustered"/>
        <c:varyColors val="0"/>
        <c:ser>
          <c:idx val="0"/>
          <c:order val="0"/>
          <c:tx>
            <c:strRef>
              <c:f>'+Mode by Demo'!$AC$1166</c:f>
              <c:strCache>
                <c:ptCount val="1"/>
                <c:pt idx="0">
                  <c:v>Males</c:v>
                </c:pt>
              </c:strCache>
            </c:strRef>
          </c:tx>
          <c:spPr>
            <a:solidFill>
              <a:schemeClr val="accent5">
                <a:lumMod val="75000"/>
              </a:schemeClr>
            </a:solidFill>
          </c:spPr>
          <c:invertIfNegative val="0"/>
          <c:errBars>
            <c:errBarType val="both"/>
            <c:errValType val="cust"/>
            <c:noEndCap val="0"/>
            <c:plus>
              <c:numLit>
                <c:formatCode>General</c:formatCode>
                <c:ptCount val="6"/>
                <c:pt idx="0">
                  <c:v>4</c:v>
                </c:pt>
                <c:pt idx="1">
                  <c:v>4.5999999999999996</c:v>
                </c:pt>
                <c:pt idx="2">
                  <c:v>3.9</c:v>
                </c:pt>
                <c:pt idx="3">
                  <c:v>4.2</c:v>
                </c:pt>
                <c:pt idx="4">
                  <c:v>4.4000000000000004</c:v>
                </c:pt>
                <c:pt idx="5">
                  <c:v>4</c:v>
                </c:pt>
              </c:numLit>
            </c:plus>
            <c:minus>
              <c:numLit>
                <c:formatCode>General</c:formatCode>
                <c:ptCount val="6"/>
                <c:pt idx="0">
                  <c:v>4</c:v>
                </c:pt>
                <c:pt idx="1">
                  <c:v>4.5999999999999996</c:v>
                </c:pt>
                <c:pt idx="2">
                  <c:v>3.9</c:v>
                </c:pt>
                <c:pt idx="3">
                  <c:v>4.2</c:v>
                </c:pt>
                <c:pt idx="4">
                  <c:v>4.4000000000000004</c:v>
                </c:pt>
                <c:pt idx="5">
                  <c:v>4</c:v>
                </c:pt>
              </c:numLit>
            </c:minus>
          </c:errBars>
          <c:cat>
            <c:strRef>
              <c:f>'+Mode by Demo'!$AB$1168:$AB$1173</c:f>
              <c:strCache>
                <c:ptCount val="6"/>
                <c:pt idx="0">
                  <c:v>15 - 24</c:v>
                </c:pt>
                <c:pt idx="1">
                  <c:v>25 - 34</c:v>
                </c:pt>
                <c:pt idx="2">
                  <c:v>35 - 44</c:v>
                </c:pt>
                <c:pt idx="3">
                  <c:v>45 - 54</c:v>
                </c:pt>
                <c:pt idx="4">
                  <c:v>55 - 64</c:v>
                </c:pt>
                <c:pt idx="5">
                  <c:v>65 +</c:v>
                </c:pt>
              </c:strCache>
            </c:strRef>
          </c:cat>
          <c:val>
            <c:numRef>
              <c:f>'+Mode by Demo'!$AC$1168:$AC$1173</c:f>
              <c:numCache>
                <c:formatCode>0.0</c:formatCode>
                <c:ptCount val="6"/>
                <c:pt idx="0">
                  <c:v>19.346399999999999</c:v>
                </c:pt>
                <c:pt idx="1">
                  <c:v>47.286200000000001</c:v>
                </c:pt>
                <c:pt idx="2">
                  <c:v>53.802100000000003</c:v>
                </c:pt>
                <c:pt idx="3">
                  <c:v>59.302799999999998</c:v>
                </c:pt>
                <c:pt idx="4">
                  <c:v>55.575699999999998</c:v>
                </c:pt>
                <c:pt idx="5">
                  <c:v>51.177900000000001</c:v>
                </c:pt>
              </c:numCache>
            </c:numRef>
          </c:val>
        </c:ser>
        <c:ser>
          <c:idx val="1"/>
          <c:order val="1"/>
          <c:tx>
            <c:strRef>
              <c:f>'+Mode by Demo'!$AD$1166</c:f>
              <c:strCache>
                <c:ptCount val="1"/>
                <c:pt idx="0">
                  <c:v>Females</c:v>
                </c:pt>
              </c:strCache>
            </c:strRef>
          </c:tx>
          <c:spPr>
            <a:solidFill>
              <a:schemeClr val="accent5">
                <a:lumMod val="60000"/>
                <a:lumOff val="40000"/>
              </a:schemeClr>
            </a:solidFill>
          </c:spPr>
          <c:invertIfNegative val="0"/>
          <c:errBars>
            <c:errBarType val="both"/>
            <c:errValType val="cust"/>
            <c:noEndCap val="0"/>
            <c:plus>
              <c:numLit>
                <c:formatCode>General</c:formatCode>
                <c:ptCount val="6"/>
                <c:pt idx="0">
                  <c:v>3.6</c:v>
                </c:pt>
                <c:pt idx="1">
                  <c:v>3.8</c:v>
                </c:pt>
                <c:pt idx="2">
                  <c:v>3.5</c:v>
                </c:pt>
                <c:pt idx="3">
                  <c:v>3.7</c:v>
                </c:pt>
                <c:pt idx="4">
                  <c:v>3.8</c:v>
                </c:pt>
                <c:pt idx="5">
                  <c:v>3.2</c:v>
                </c:pt>
              </c:numLit>
            </c:plus>
            <c:minus>
              <c:numLit>
                <c:formatCode>General</c:formatCode>
                <c:ptCount val="6"/>
                <c:pt idx="0">
                  <c:v>3.6</c:v>
                </c:pt>
                <c:pt idx="1">
                  <c:v>3.8</c:v>
                </c:pt>
                <c:pt idx="2">
                  <c:v>3.5</c:v>
                </c:pt>
                <c:pt idx="3">
                  <c:v>3.7</c:v>
                </c:pt>
                <c:pt idx="4">
                  <c:v>3.8</c:v>
                </c:pt>
                <c:pt idx="5">
                  <c:v>3.2</c:v>
                </c:pt>
              </c:numLit>
            </c:minus>
          </c:errBars>
          <c:cat>
            <c:strRef>
              <c:f>'+Mode by Demo'!$AB$1168:$AB$1173</c:f>
              <c:strCache>
                <c:ptCount val="6"/>
                <c:pt idx="0">
                  <c:v>15 - 24</c:v>
                </c:pt>
                <c:pt idx="1">
                  <c:v>25 - 34</c:v>
                </c:pt>
                <c:pt idx="2">
                  <c:v>35 - 44</c:v>
                </c:pt>
                <c:pt idx="3">
                  <c:v>45 - 54</c:v>
                </c:pt>
                <c:pt idx="4">
                  <c:v>55 - 64</c:v>
                </c:pt>
                <c:pt idx="5">
                  <c:v>65 +</c:v>
                </c:pt>
              </c:strCache>
            </c:strRef>
          </c:cat>
          <c:val>
            <c:numRef>
              <c:f>'+Mode by Demo'!$AD$1168:$AD$1173</c:f>
              <c:numCache>
                <c:formatCode>0.0</c:formatCode>
                <c:ptCount val="6"/>
                <c:pt idx="0">
                  <c:v>18.144500000000001</c:v>
                </c:pt>
                <c:pt idx="1">
                  <c:v>42.006999999999998</c:v>
                </c:pt>
                <c:pt idx="2">
                  <c:v>50.742800000000003</c:v>
                </c:pt>
                <c:pt idx="3">
                  <c:v>55.393500000000003</c:v>
                </c:pt>
                <c:pt idx="4">
                  <c:v>54.803899999999999</c:v>
                </c:pt>
                <c:pt idx="5">
                  <c:v>42.653799999999997</c:v>
                </c:pt>
              </c:numCache>
            </c:numRef>
          </c:val>
        </c:ser>
        <c:dLbls>
          <c:showLegendKey val="0"/>
          <c:showVal val="0"/>
          <c:showCatName val="0"/>
          <c:showSerName val="0"/>
          <c:showPercent val="0"/>
          <c:showBubbleSize val="0"/>
        </c:dLbls>
        <c:gapWidth val="150"/>
        <c:axId val="768460288"/>
        <c:axId val="768462208"/>
      </c:barChart>
      <c:catAx>
        <c:axId val="768460288"/>
        <c:scaling>
          <c:orientation val="minMax"/>
        </c:scaling>
        <c:delete val="0"/>
        <c:axPos val="b"/>
        <c:title>
          <c:tx>
            <c:rich>
              <a:bodyPr/>
              <a:lstStyle/>
              <a:p>
                <a:pPr>
                  <a:defRPr/>
                </a:pPr>
                <a:r>
                  <a:rPr lang="en-US"/>
                  <a:t>Age-group (years)</a:t>
                </a:r>
              </a:p>
            </c:rich>
          </c:tx>
          <c:layout>
            <c:manualLayout>
              <c:xMode val="edge"/>
              <c:yMode val="edge"/>
              <c:x val="0.46240927826474459"/>
              <c:y val="0.92763337797379064"/>
            </c:manualLayout>
          </c:layout>
          <c:overlay val="0"/>
        </c:title>
        <c:numFmt formatCode="General" sourceLinked="1"/>
        <c:majorTickMark val="out"/>
        <c:minorTickMark val="none"/>
        <c:tickLblPos val="nextTo"/>
        <c:crossAx val="768462208"/>
        <c:crosses val="autoZero"/>
        <c:auto val="1"/>
        <c:lblAlgn val="ctr"/>
        <c:lblOffset val="100"/>
        <c:noMultiLvlLbl val="0"/>
      </c:catAx>
      <c:valAx>
        <c:axId val="768462208"/>
        <c:scaling>
          <c:orientation val="minMax"/>
          <c:max val="100"/>
        </c:scaling>
        <c:delete val="0"/>
        <c:axPos val="l"/>
        <c:majorGridlines/>
        <c:title>
          <c:tx>
            <c:rich>
              <a:bodyPr rot="-5400000" vert="horz"/>
              <a:lstStyle/>
              <a:p>
                <a:pPr>
                  <a:defRPr/>
                </a:pPr>
                <a:r>
                  <a:rPr lang="en-US" sz="1100"/>
                  <a:t>Percent</a:t>
                </a:r>
              </a:p>
            </c:rich>
          </c:tx>
          <c:overlay val="0"/>
        </c:title>
        <c:numFmt formatCode="0" sourceLinked="0"/>
        <c:majorTickMark val="out"/>
        <c:minorTickMark val="none"/>
        <c:tickLblPos val="nextTo"/>
        <c:crossAx val="768460288"/>
        <c:crosses val="autoZero"/>
        <c:crossBetween val="between"/>
      </c:valAx>
    </c:plotArea>
    <c:legend>
      <c:legendPos val="r"/>
      <c:layout>
        <c:manualLayout>
          <c:xMode val="edge"/>
          <c:yMode val="edge"/>
          <c:x val="0.85776477820787989"/>
          <c:y val="6.1880461658332907E-2"/>
          <c:w val="0.12336688351423993"/>
          <c:h val="0.12107069060002357"/>
        </c:manualLayout>
      </c:layout>
      <c:overlay val="0"/>
      <c:spPr>
        <a:solidFill>
          <a:schemeClr val="bg1"/>
        </a:solidFill>
      </c:sp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N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22980697541437"/>
          <c:y val="5.1400554097404488E-2"/>
          <c:w val="0.85989607397895951"/>
          <c:h val="0.74768658951188149"/>
        </c:manualLayout>
      </c:layout>
      <c:barChart>
        <c:barDir val="col"/>
        <c:grouping val="clustered"/>
        <c:varyColors val="0"/>
        <c:ser>
          <c:idx val="0"/>
          <c:order val="0"/>
          <c:tx>
            <c:strRef>
              <c:f>'+Mode by Demo'!$R$594</c:f>
              <c:strCache>
                <c:ptCount val="1"/>
                <c:pt idx="0">
                  <c:v>Lotto only</c:v>
                </c:pt>
              </c:strCache>
            </c:strRef>
          </c:tx>
          <c:spPr>
            <a:solidFill>
              <a:schemeClr val="accent5">
                <a:lumMod val="75000"/>
              </a:schemeClr>
            </a:solidFill>
          </c:spPr>
          <c:invertIfNegative val="0"/>
          <c:errBars>
            <c:errBarType val="both"/>
            <c:errValType val="cust"/>
            <c:noEndCap val="0"/>
            <c:plus>
              <c:numLit>
                <c:formatCode>General</c:formatCode>
                <c:ptCount val="5"/>
                <c:pt idx="0">
                  <c:v>2.6</c:v>
                </c:pt>
                <c:pt idx="1">
                  <c:v>2.9</c:v>
                </c:pt>
                <c:pt idx="2">
                  <c:v>2.5</c:v>
                </c:pt>
                <c:pt idx="3">
                  <c:v>2.5</c:v>
                </c:pt>
                <c:pt idx="4">
                  <c:v>1.8</c:v>
                </c:pt>
              </c:numLit>
            </c:plus>
            <c:minus>
              <c:numLit>
                <c:formatCode>General</c:formatCode>
                <c:ptCount val="5"/>
                <c:pt idx="0">
                  <c:v>2.6</c:v>
                </c:pt>
                <c:pt idx="1">
                  <c:v>2.9</c:v>
                </c:pt>
                <c:pt idx="2">
                  <c:v>2.5</c:v>
                </c:pt>
                <c:pt idx="3">
                  <c:v>2.5</c:v>
                </c:pt>
                <c:pt idx="4">
                  <c:v>1.8</c:v>
                </c:pt>
              </c:numLit>
            </c:minus>
          </c:errBars>
          <c:cat>
            <c:strRef>
              <c:f>'+Mode by Demo'!$Q$595:$Q$599</c:f>
              <c:strCache>
                <c:ptCount val="5"/>
                <c:pt idx="0">
                  <c:v>1
(least deprived)</c:v>
                </c:pt>
                <c:pt idx="1">
                  <c:v>2</c:v>
                </c:pt>
                <c:pt idx="2">
                  <c:v>3</c:v>
                </c:pt>
                <c:pt idx="3">
                  <c:v>4</c:v>
                </c:pt>
                <c:pt idx="4">
                  <c:v>5
(most deprived)</c:v>
                </c:pt>
              </c:strCache>
            </c:strRef>
          </c:cat>
          <c:val>
            <c:numRef>
              <c:f>'+Mode by Demo'!$R$595:$R$599</c:f>
              <c:numCache>
                <c:formatCode>0.0</c:formatCode>
                <c:ptCount val="5"/>
                <c:pt idx="0">
                  <c:v>30.308</c:v>
                </c:pt>
                <c:pt idx="1">
                  <c:v>29.2837</c:v>
                </c:pt>
                <c:pt idx="2">
                  <c:v>27.1934</c:v>
                </c:pt>
                <c:pt idx="3">
                  <c:v>25.714400000000001</c:v>
                </c:pt>
                <c:pt idx="4">
                  <c:v>22.1629</c:v>
                </c:pt>
              </c:numCache>
            </c:numRef>
          </c:val>
        </c:ser>
        <c:dLbls>
          <c:showLegendKey val="0"/>
          <c:showVal val="0"/>
          <c:showCatName val="0"/>
          <c:showSerName val="0"/>
          <c:showPercent val="0"/>
          <c:showBubbleSize val="0"/>
        </c:dLbls>
        <c:gapWidth val="150"/>
        <c:axId val="769806336"/>
        <c:axId val="769808256"/>
      </c:barChart>
      <c:catAx>
        <c:axId val="769806336"/>
        <c:scaling>
          <c:orientation val="minMax"/>
        </c:scaling>
        <c:delete val="0"/>
        <c:axPos val="b"/>
        <c:title>
          <c:tx>
            <c:rich>
              <a:bodyPr/>
              <a:lstStyle/>
              <a:p>
                <a:pPr>
                  <a:defRPr/>
                </a:pPr>
                <a:r>
                  <a:rPr lang="en-US"/>
                  <a:t>Neighbourhood Deprivation</a:t>
                </a:r>
              </a:p>
            </c:rich>
          </c:tx>
          <c:layout>
            <c:manualLayout>
              <c:xMode val="edge"/>
              <c:yMode val="edge"/>
              <c:x val="0.41406298919039913"/>
              <c:y val="0.93081527394599606"/>
            </c:manualLayout>
          </c:layout>
          <c:overlay val="0"/>
        </c:title>
        <c:numFmt formatCode="General" sourceLinked="1"/>
        <c:majorTickMark val="out"/>
        <c:minorTickMark val="none"/>
        <c:tickLblPos val="nextTo"/>
        <c:crossAx val="769808256"/>
        <c:crosses val="autoZero"/>
        <c:auto val="1"/>
        <c:lblAlgn val="ctr"/>
        <c:lblOffset val="100"/>
        <c:noMultiLvlLbl val="0"/>
      </c:catAx>
      <c:valAx>
        <c:axId val="769808256"/>
        <c:scaling>
          <c:orientation val="minMax"/>
          <c:max val="50"/>
        </c:scaling>
        <c:delete val="0"/>
        <c:axPos val="l"/>
        <c:majorGridlines/>
        <c:title>
          <c:tx>
            <c:rich>
              <a:bodyPr rot="-5400000" vert="horz"/>
              <a:lstStyle/>
              <a:p>
                <a:pPr>
                  <a:defRPr/>
                </a:pPr>
                <a:r>
                  <a:rPr lang="en-US" sz="1100"/>
                  <a:t>Percent</a:t>
                </a:r>
              </a:p>
            </c:rich>
          </c:tx>
          <c:layout>
            <c:manualLayout>
              <c:xMode val="edge"/>
              <c:yMode val="edge"/>
              <c:x val="1.7893527698387739E-2"/>
              <c:y val="0.37127416148962655"/>
            </c:manualLayout>
          </c:layout>
          <c:overlay val="0"/>
        </c:title>
        <c:numFmt formatCode="0" sourceLinked="0"/>
        <c:majorTickMark val="out"/>
        <c:minorTickMark val="none"/>
        <c:tickLblPos val="nextTo"/>
        <c:crossAx val="769806336"/>
        <c:crosses val="autoZero"/>
        <c:crossBetween val="between"/>
        <c:majorUnit val="10"/>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0.26094</cdr:x>
      <cdr:y>0.0927</cdr:y>
    </cdr:from>
    <cdr:to>
      <cdr:x>0.26546</cdr:x>
      <cdr:y>0.85955</cdr:y>
    </cdr:to>
    <cdr:cxnSp macro="">
      <cdr:nvCxnSpPr>
        <cdr:cNvPr id="4" name="Straight Connector 3"/>
        <cdr:cNvCxnSpPr/>
      </cdr:nvCxnSpPr>
      <cdr:spPr>
        <a:xfrm xmlns:a="http://schemas.openxmlformats.org/drawingml/2006/main">
          <a:off x="1647825" y="314325"/>
          <a:ext cx="28575" cy="2600325"/>
        </a:xfrm>
        <a:prstGeom xmlns:a="http://schemas.openxmlformats.org/drawingml/2006/main" prst="line">
          <a:avLst/>
        </a:prstGeom>
        <a:ln xmlns:a="http://schemas.openxmlformats.org/drawingml/2006/main" w="19050">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152</Pages>
  <Words>60517</Words>
  <Characters>341319</Characters>
  <Application>Microsoft Office Word</Application>
  <DocSecurity>0</DocSecurity>
  <Lines>7419</Lines>
  <Paragraphs>3720</Paragraphs>
  <ScaleCrop>false</ScaleCrop>
  <HeadingPairs>
    <vt:vector size="2" baseType="variant">
      <vt:variant>
        <vt:lpstr>Title</vt:lpstr>
      </vt:variant>
      <vt:variant>
        <vt:i4>1</vt:i4>
      </vt:variant>
    </vt:vector>
  </HeadingPairs>
  <TitlesOfParts>
    <vt:vector size="1" baseType="lpstr">
      <vt:lpstr/>
    </vt:vector>
  </TitlesOfParts>
  <Company>The University of Auckland</Company>
  <LinksUpToDate>false</LinksUpToDate>
  <CharactersWithSpaces>398116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keywords>has risk/prot by column not row</cp:keywords>
  <cp:lastModifiedBy>FR</cp:lastModifiedBy>
  <cp:revision>27</cp:revision>
  <cp:lastPrinted>2014-12-17T20:55:00Z</cp:lastPrinted>
  <dcterms:created xsi:type="dcterms:W3CDTF">2015-07-24T00:26:00Z</dcterms:created>
  <dcterms:modified xsi:type="dcterms:W3CDTF">2015-07-24T04:23:00Z</dcterms:modified>
</cp:coreProperties>
</file>